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1A5AE" w14:textId="73192D3F" w:rsidR="002E442B" w:rsidRDefault="002E442B" w:rsidP="002F3D32">
      <w:pPr>
        <w:spacing w:line="480" w:lineRule="auto"/>
      </w:pPr>
      <w:r>
        <w:t xml:space="preserve">Hi everyone. First of all thank you Katja and Hanna for organising this panel! </w:t>
      </w:r>
      <w:r w:rsidR="00BF6AC2">
        <w:t xml:space="preserve">Apologies I missed the morning session, but </w:t>
      </w:r>
      <w:r>
        <w:t xml:space="preserve">also thank you to all my fellow panellists for </w:t>
      </w:r>
      <w:r w:rsidR="00D604E3">
        <w:t xml:space="preserve">what I am sure will be super interesting presentations. </w:t>
      </w:r>
    </w:p>
    <w:p w14:paraId="12250A02" w14:textId="77777777" w:rsidR="002E442B" w:rsidRDefault="002E442B" w:rsidP="002F3D32">
      <w:pPr>
        <w:spacing w:line="480" w:lineRule="auto"/>
      </w:pPr>
    </w:p>
    <w:p w14:paraId="0E6E0819" w14:textId="2B019C7A" w:rsidR="00603BD7" w:rsidRDefault="00603BD7" w:rsidP="002F3D32">
      <w:pPr>
        <w:spacing w:line="480" w:lineRule="auto"/>
      </w:pPr>
      <w:r>
        <w:t xml:space="preserve">In 2019, the American Society of International Law, in collaboration with the Centre of Reparation Research at the University of the West Indies, held a Symposium </w:t>
      </w:r>
      <w:r w:rsidR="0062594E">
        <w:t>on</w:t>
      </w:r>
      <w:r>
        <w:t xml:space="preserve"> the Lawfulness of T</w:t>
      </w:r>
      <w:r w:rsidR="0062594E">
        <w:t xml:space="preserve">ransatlantic </w:t>
      </w:r>
      <w:r>
        <w:t>C</w:t>
      </w:r>
      <w:r w:rsidR="0062594E">
        <w:t xml:space="preserve">hattel </w:t>
      </w:r>
      <w:r>
        <w:t>S</w:t>
      </w:r>
      <w:r w:rsidR="0062594E">
        <w:t>lavery – also known as TCS</w:t>
      </w:r>
      <w:r>
        <w:t>. Concluding that TCS was unlawful on the basis of the law applicable at th</w:t>
      </w:r>
      <w:r w:rsidR="00066A4F">
        <w:t>e</w:t>
      </w:r>
      <w:r>
        <w:t xml:space="preserve"> time, they decided to hold a second Symposium, in which the Brattle Group presented their initial Report on Reparations. </w:t>
      </w:r>
    </w:p>
    <w:p w14:paraId="6A9B2C42" w14:textId="77777777" w:rsidR="00FD3633" w:rsidRDefault="00FD3633" w:rsidP="002F3D32">
      <w:pPr>
        <w:spacing w:line="480" w:lineRule="auto"/>
      </w:pPr>
    </w:p>
    <w:p w14:paraId="2654016F" w14:textId="5237D243" w:rsidR="0008125B" w:rsidRDefault="00FD3633" w:rsidP="002F3D32">
      <w:pPr>
        <w:spacing w:line="480" w:lineRule="auto"/>
      </w:pPr>
      <w:r w:rsidRPr="00FD3633">
        <w:t>The Brattle Group is a global economic consulting firm that provides economic, financial, and regulatory advice to corporations, law firms, and public agencies. </w:t>
      </w:r>
      <w:r w:rsidR="0062594E">
        <w:t>And it is their</w:t>
      </w:r>
      <w:r w:rsidR="0045418F">
        <w:t xml:space="preserve"> ‘Report on Reparations for Transatlantic Chattel Slavery in the Americas and the Caribbean’</w:t>
      </w:r>
      <w:r w:rsidR="00066A4F">
        <w:t xml:space="preserve"> - </w:t>
      </w:r>
      <w:r w:rsidR="0045418F">
        <w:t xml:space="preserve"> also known as the ‘Brattle Report’</w:t>
      </w:r>
      <w:r w:rsidR="00066A4F">
        <w:t xml:space="preserve"> - </w:t>
      </w:r>
      <w:r w:rsidR="0062594E">
        <w:t>which was</w:t>
      </w:r>
      <w:r w:rsidR="00603BD7">
        <w:t xml:space="preserve"> published in 2023</w:t>
      </w:r>
      <w:r w:rsidR="0062594E">
        <w:t xml:space="preserve">, which I will centre my presentation on. </w:t>
      </w:r>
    </w:p>
    <w:p w14:paraId="53899464" w14:textId="77777777" w:rsidR="00B442B9" w:rsidRDefault="00B442B9" w:rsidP="002F3D32">
      <w:pPr>
        <w:spacing w:line="480" w:lineRule="auto"/>
      </w:pPr>
    </w:p>
    <w:p w14:paraId="776451A5" w14:textId="066988D1" w:rsidR="00B442B9" w:rsidRDefault="00B442B9" w:rsidP="002F3D32">
      <w:pPr>
        <w:spacing w:line="480" w:lineRule="auto"/>
      </w:pPr>
      <w:r>
        <w:t>It</w:t>
      </w:r>
      <w:r w:rsidR="001C5525">
        <w:t xml:space="preserve">'s a </w:t>
      </w:r>
      <w:r w:rsidR="00261D96">
        <w:t>ground-breaking</w:t>
      </w:r>
      <w:r w:rsidR="001C5525">
        <w:t xml:space="preserve"> </w:t>
      </w:r>
      <w:r w:rsidR="007812B7">
        <w:t xml:space="preserve">report that meticulously outlines the financial compensation owed by former enslaving countries to those </w:t>
      </w:r>
      <w:r w:rsidR="00B26E95">
        <w:t xml:space="preserve">that were enslaved. </w:t>
      </w:r>
      <w:r w:rsidR="00390B6C">
        <w:t>Cruciall</w:t>
      </w:r>
      <w:r w:rsidR="004F2812">
        <w:t>y</w:t>
      </w:r>
      <w:r w:rsidR="00390B6C">
        <w:t xml:space="preserve"> – especially to this panel - t</w:t>
      </w:r>
      <w:r w:rsidR="00FE265B">
        <w:t xml:space="preserve">hey make it very clear at the outset that </w:t>
      </w:r>
      <w:r w:rsidR="00390B6C">
        <w:t xml:space="preserve">no amount of money </w:t>
      </w:r>
      <w:r w:rsidR="00773F00">
        <w:t xml:space="preserve">can repair the harm caused by TCS. Instead they endeavour to </w:t>
      </w:r>
      <w:r w:rsidR="003C565B">
        <w:t xml:space="preserve">quantify certain components of the harm caused by TCS and create a document that </w:t>
      </w:r>
      <w:r w:rsidR="008D431A">
        <w:t xml:space="preserve">has symbolic, </w:t>
      </w:r>
      <w:r w:rsidR="00007836">
        <w:t xml:space="preserve">but also </w:t>
      </w:r>
      <w:r w:rsidR="008D431A">
        <w:t xml:space="preserve">political, </w:t>
      </w:r>
      <w:r w:rsidR="007E1465">
        <w:t xml:space="preserve">economic </w:t>
      </w:r>
      <w:r w:rsidR="00261D96">
        <w:t xml:space="preserve">and </w:t>
      </w:r>
      <w:r w:rsidR="008D431A">
        <w:t xml:space="preserve">diplomatic power. </w:t>
      </w:r>
    </w:p>
    <w:p w14:paraId="2474FFC1" w14:textId="77777777" w:rsidR="004F2812" w:rsidRDefault="004F2812" w:rsidP="002F3D32">
      <w:pPr>
        <w:spacing w:line="480" w:lineRule="auto"/>
      </w:pPr>
    </w:p>
    <w:p w14:paraId="69CEDF9F" w14:textId="342EBF76" w:rsidR="00F95BC3" w:rsidRDefault="004F2812" w:rsidP="002F3D32">
      <w:pPr>
        <w:spacing w:line="480" w:lineRule="auto"/>
      </w:pPr>
      <w:r>
        <w:lastRenderedPageBreak/>
        <w:t xml:space="preserve">I will now quickly summarise their findings and their methodology, to </w:t>
      </w:r>
      <w:r w:rsidR="001A073B">
        <w:t xml:space="preserve">ultimately raise some fundamental questions on the </w:t>
      </w:r>
      <w:r w:rsidR="00D01D8E">
        <w:t>incommensurability</w:t>
      </w:r>
      <w:r w:rsidR="001A073B">
        <w:t xml:space="preserve"> of slavery</w:t>
      </w:r>
      <w:r w:rsidR="00BD365E">
        <w:t xml:space="preserve"> and other crimes against humanity. </w:t>
      </w:r>
    </w:p>
    <w:p w14:paraId="1E3F500B" w14:textId="77777777" w:rsidR="00F95BC3" w:rsidRDefault="00F95BC3" w:rsidP="002F3D32">
      <w:pPr>
        <w:spacing w:line="480" w:lineRule="auto"/>
      </w:pPr>
    </w:p>
    <w:p w14:paraId="32FDB3B0" w14:textId="312C32F0" w:rsidR="00494DD6" w:rsidRDefault="009A5CD9" w:rsidP="002F3D32">
      <w:pPr>
        <w:spacing w:line="480" w:lineRule="auto"/>
      </w:pPr>
      <w:r>
        <w:t xml:space="preserve">This is not a critique of the Brattle Report. I understand its value and significance – not only that of a diplomatic bargaining chip, but also its symbolic power – and am impressed by the teams work, dedication and findings. Instead, I would like to </w:t>
      </w:r>
      <w:r w:rsidR="006F334E">
        <w:t xml:space="preserve">think </w:t>
      </w:r>
      <w:r w:rsidR="006F334E" w:rsidRPr="00EF34C3">
        <w:rPr>
          <w:i/>
          <w:iCs/>
        </w:rPr>
        <w:t>with</w:t>
      </w:r>
      <w:r>
        <w:t xml:space="preserve"> the Brattle Report to </w:t>
      </w:r>
      <w:r w:rsidR="00494DD6">
        <w:t>think</w:t>
      </w:r>
      <w:r>
        <w:t xml:space="preserve"> through some of the</w:t>
      </w:r>
      <w:r w:rsidR="00B218DD">
        <w:t xml:space="preserve"> following</w:t>
      </w:r>
      <w:r>
        <w:t xml:space="preserve"> questions:</w:t>
      </w:r>
    </w:p>
    <w:p w14:paraId="7876E6E2" w14:textId="77777777" w:rsidR="00DB522F" w:rsidRDefault="00DB522F" w:rsidP="002F3D32">
      <w:pPr>
        <w:spacing w:line="480" w:lineRule="auto"/>
      </w:pPr>
    </w:p>
    <w:p w14:paraId="242958C0" w14:textId="77777777" w:rsidR="00494DD6" w:rsidRDefault="00494DD6" w:rsidP="002F3D32">
      <w:pPr>
        <w:spacing w:line="480" w:lineRule="auto"/>
      </w:pPr>
      <w:r>
        <w:t>Is it possible to reckon with crimes against humanity in a quantifiable way?</w:t>
      </w:r>
    </w:p>
    <w:p w14:paraId="2F63D684" w14:textId="77777777" w:rsidR="00494DD6" w:rsidRDefault="00494DD6" w:rsidP="002F3D32">
      <w:pPr>
        <w:spacing w:line="480" w:lineRule="auto"/>
      </w:pPr>
    </w:p>
    <w:p w14:paraId="5F283839" w14:textId="1EEA67EB" w:rsidR="00DE2594" w:rsidRDefault="00494DD6" w:rsidP="002F3D32">
      <w:pPr>
        <w:spacing w:line="480" w:lineRule="auto"/>
      </w:pPr>
      <w:r w:rsidRPr="00766560">
        <w:t>How do we address past wrongs within a system that it has created?</w:t>
      </w:r>
    </w:p>
    <w:p w14:paraId="671C1F6E" w14:textId="77777777" w:rsidR="00DB522F" w:rsidRDefault="00DB522F" w:rsidP="002F3D32">
      <w:pPr>
        <w:spacing w:line="480" w:lineRule="auto"/>
      </w:pPr>
    </w:p>
    <w:p w14:paraId="4FDADB51" w14:textId="77777777" w:rsidR="00DB522F" w:rsidRDefault="00DB522F" w:rsidP="00DB522F">
      <w:pPr>
        <w:spacing w:line="480" w:lineRule="auto"/>
      </w:pPr>
      <w:r>
        <w:t>How do we tackle the deep paradoxes of the incommensurability of slavery?</w:t>
      </w:r>
    </w:p>
    <w:p w14:paraId="5B4EA9ED" w14:textId="77777777" w:rsidR="00DE2594" w:rsidRDefault="00DE2594" w:rsidP="002F3D32">
      <w:pPr>
        <w:spacing w:line="480" w:lineRule="auto"/>
        <w:rPr>
          <w:u w:val="single"/>
        </w:rPr>
      </w:pPr>
    </w:p>
    <w:p w14:paraId="56381FC4" w14:textId="1403D237" w:rsidR="00766560" w:rsidRPr="00766560" w:rsidRDefault="00766560" w:rsidP="002F3D32">
      <w:pPr>
        <w:spacing w:line="480" w:lineRule="auto"/>
        <w:rPr>
          <w:color w:val="FF0000"/>
        </w:rPr>
      </w:pPr>
      <w:r>
        <w:t>So, onto their methodology.</w:t>
      </w:r>
    </w:p>
    <w:p w14:paraId="3FB6336D" w14:textId="3454A49A" w:rsidR="00C44344" w:rsidRDefault="00862B8A" w:rsidP="002F3D32">
      <w:pPr>
        <w:spacing w:line="480" w:lineRule="auto"/>
      </w:pPr>
      <w:r>
        <w:t>The</w:t>
      </w:r>
      <w:r w:rsidR="00FC5D90">
        <w:t xml:space="preserve"> valuators of the Brattle Group</w:t>
      </w:r>
      <w:r>
        <w:t xml:space="preserve"> follow a building blocks approach. Starting with the time frame of TCS</w:t>
      </w:r>
      <w:r w:rsidR="005F6582">
        <w:t>,</w:t>
      </w:r>
      <w:r>
        <w:t xml:space="preserve"> </w:t>
      </w:r>
      <w:r w:rsidR="00FC5D90">
        <w:t xml:space="preserve">which </w:t>
      </w:r>
      <w:r>
        <w:t xml:space="preserve">they have decided </w:t>
      </w:r>
      <w:r w:rsidR="00FC5D90">
        <w:t>to</w:t>
      </w:r>
      <w:r>
        <w:t xml:space="preserve"> be from 1511 – 1870</w:t>
      </w:r>
      <w:r w:rsidR="00FC5D90">
        <w:t>. As</w:t>
      </w:r>
      <w:r>
        <w:t xml:space="preserve"> </w:t>
      </w:r>
      <w:r w:rsidR="00FC5D90">
        <w:t>some of you might realise,</w:t>
      </w:r>
      <w:r w:rsidR="005F6582">
        <w:t xml:space="preserve"> this framing is longer than the official narrative of the aboli</w:t>
      </w:r>
      <w:r w:rsidR="00885A49">
        <w:t>tion</w:t>
      </w:r>
      <w:r w:rsidR="005F6582">
        <w:t xml:space="preserve"> of slavery – 1865 - </w:t>
      </w:r>
      <w:r w:rsidR="00FC5D90">
        <w:t xml:space="preserve"> as </w:t>
      </w:r>
      <w:r w:rsidR="005F6582">
        <w:t xml:space="preserve">they </w:t>
      </w:r>
      <w:r>
        <w:t xml:space="preserve">have included the </w:t>
      </w:r>
      <w:r w:rsidR="005F6582">
        <w:t xml:space="preserve">five-year </w:t>
      </w:r>
      <w:r>
        <w:t xml:space="preserve">controversial “apprenticeship scheme”, </w:t>
      </w:r>
      <w:r w:rsidR="00885A49">
        <w:t xml:space="preserve">which occurred </w:t>
      </w:r>
      <w:r>
        <w:t>post “abolition</w:t>
      </w:r>
      <w:r w:rsidR="009B6698">
        <w:t>”</w:t>
      </w:r>
      <w:r>
        <w:t xml:space="preserve"> off slavery</w:t>
      </w:r>
      <w:r w:rsidR="00FC5D90">
        <w:t xml:space="preserve"> – in which </w:t>
      </w:r>
      <w:r w:rsidR="006107F3">
        <w:t xml:space="preserve">the enslaved were </w:t>
      </w:r>
      <w:r w:rsidR="00C44344">
        <w:t xml:space="preserve">forced to continue to work for their slaves masters to make the transition as easy as possible </w:t>
      </w:r>
      <w:r w:rsidR="00C44344" w:rsidRPr="00083512">
        <w:rPr>
          <w:i/>
          <w:iCs/>
        </w:rPr>
        <w:t>for everyone involved</w:t>
      </w:r>
      <w:r>
        <w:t xml:space="preserve">. </w:t>
      </w:r>
    </w:p>
    <w:p w14:paraId="623B4347" w14:textId="77777777" w:rsidR="00C44344" w:rsidRDefault="00C44344" w:rsidP="002F3D32">
      <w:pPr>
        <w:spacing w:line="480" w:lineRule="auto"/>
      </w:pPr>
    </w:p>
    <w:p w14:paraId="1FDD88FF" w14:textId="7C384E80" w:rsidR="002F3D32" w:rsidRDefault="00C44344" w:rsidP="002F3D32">
      <w:pPr>
        <w:spacing w:line="480" w:lineRule="auto"/>
      </w:pPr>
      <w:r>
        <w:lastRenderedPageBreak/>
        <w:t>After having established</w:t>
      </w:r>
      <w:r w:rsidR="00A3457C">
        <w:t xml:space="preserve"> the</w:t>
      </w:r>
      <w:r>
        <w:t xml:space="preserve"> time period</w:t>
      </w:r>
      <w:r w:rsidR="00A3457C">
        <w:t xml:space="preserve"> in which TCS occurred</w:t>
      </w:r>
      <w:r>
        <w:t xml:space="preserve">, the Brattle group </w:t>
      </w:r>
      <w:r w:rsidR="00862B8A">
        <w:t>decided to divide the harms in quantifiable and non-quantifiable</w:t>
      </w:r>
      <w:r>
        <w:t xml:space="preserve"> harms</w:t>
      </w:r>
      <w:r w:rsidR="00BE41C1">
        <w:t xml:space="preserve"> – which I will delve into in just a few minutes -</w:t>
      </w:r>
      <w:r w:rsidR="00862B8A">
        <w:t xml:space="preserve">, as well as </w:t>
      </w:r>
      <w:r w:rsidR="00873F1B">
        <w:t xml:space="preserve">divide </w:t>
      </w:r>
      <w:r w:rsidR="00A3457C">
        <w:t>their</w:t>
      </w:r>
      <w:r w:rsidR="00E92833">
        <w:t xml:space="preserve"> calculations </w:t>
      </w:r>
      <w:r w:rsidR="00974B85">
        <w:t>of harm caused</w:t>
      </w:r>
      <w:r w:rsidR="00EF34C3">
        <w:t xml:space="preserve">, </w:t>
      </w:r>
      <w:r w:rsidR="00974B85">
        <w:t xml:space="preserve"> </w:t>
      </w:r>
      <w:r w:rsidR="00E92833">
        <w:t>into the time frame of</w:t>
      </w:r>
      <w:r w:rsidR="00862B8A">
        <w:t xml:space="preserve"> slavery and </w:t>
      </w:r>
      <w:r w:rsidR="00F208D0">
        <w:t xml:space="preserve">that of </w:t>
      </w:r>
      <w:r w:rsidR="00862B8A">
        <w:t>post-slavery</w:t>
      </w:r>
      <w:r w:rsidR="00E92833">
        <w:t xml:space="preserve">. This is done </w:t>
      </w:r>
      <w:r w:rsidR="00862B8A">
        <w:t xml:space="preserve">to address the cumulative and wide ranging affects </w:t>
      </w:r>
      <w:r w:rsidR="00B36565">
        <w:t xml:space="preserve">that this </w:t>
      </w:r>
      <w:r w:rsidR="00C12089">
        <w:t xml:space="preserve">crime against humanity had on </w:t>
      </w:r>
      <w:r w:rsidR="00A83643">
        <w:t>those enslaved and their descendants</w:t>
      </w:r>
      <w:r w:rsidR="00AB6765">
        <w:t xml:space="preserve"> – a recognition of </w:t>
      </w:r>
      <w:r w:rsidR="009F0166">
        <w:t>the past and the present being intertwined</w:t>
      </w:r>
      <w:r w:rsidR="00583AC9">
        <w:t>, reminding me of</w:t>
      </w:r>
      <w:r w:rsidR="00BB55BC">
        <w:t xml:space="preserve"> one of </w:t>
      </w:r>
      <w:proofErr w:type="spellStart"/>
      <w:r w:rsidR="00BB55BC">
        <w:t>Trouillot’s</w:t>
      </w:r>
      <w:proofErr w:type="spellEnd"/>
      <w:r w:rsidR="00BB55BC">
        <w:t xml:space="preserve"> most poignant quotes that “</w:t>
      </w:r>
      <w:r w:rsidR="00BB55BC" w:rsidRPr="00BB55BC">
        <w:rPr>
          <w:i/>
          <w:iCs/>
        </w:rPr>
        <w:t>even in</w:t>
      </w:r>
      <w:r w:rsidR="00BB55BC">
        <w:t xml:space="preserve"> </w:t>
      </w:r>
      <w:r w:rsidR="00BB55BC" w:rsidRPr="00BB55BC">
        <w:rPr>
          <w:i/>
          <w:iCs/>
        </w:rPr>
        <w:t>relation to the Past our</w:t>
      </w:r>
      <w:r w:rsidR="00BB55BC">
        <w:t xml:space="preserve"> </w:t>
      </w:r>
      <w:r w:rsidR="00BB55BC" w:rsidRPr="00BB55BC">
        <w:rPr>
          <w:i/>
          <w:iCs/>
        </w:rPr>
        <w:t>authenticity resides in the</w:t>
      </w:r>
      <w:r w:rsidR="00BB55BC">
        <w:t xml:space="preserve"> </w:t>
      </w:r>
      <w:r w:rsidR="00BB55BC" w:rsidRPr="00BB55BC">
        <w:rPr>
          <w:i/>
          <w:iCs/>
        </w:rPr>
        <w:t>struggles of our present. Only</w:t>
      </w:r>
      <w:r w:rsidR="00BB55BC">
        <w:t xml:space="preserve"> </w:t>
      </w:r>
      <w:r w:rsidR="00BB55BC" w:rsidRPr="00BB55BC">
        <w:rPr>
          <w:i/>
          <w:iCs/>
        </w:rPr>
        <w:t>in that present can we be true</w:t>
      </w:r>
      <w:r w:rsidR="00BB55BC">
        <w:t xml:space="preserve"> </w:t>
      </w:r>
      <w:r w:rsidR="00BB55BC" w:rsidRPr="00BB55BC">
        <w:rPr>
          <w:i/>
          <w:iCs/>
        </w:rPr>
        <w:t>or false to the past we choose</w:t>
      </w:r>
      <w:r w:rsidR="00BB55BC">
        <w:t xml:space="preserve"> </w:t>
      </w:r>
      <w:r w:rsidR="00BB55BC" w:rsidRPr="00BB55BC">
        <w:rPr>
          <w:i/>
          <w:iCs/>
        </w:rPr>
        <w:t>to acknowledge.”</w:t>
      </w:r>
      <w:r w:rsidR="00C15FFA">
        <w:t xml:space="preserve"> </w:t>
      </w:r>
    </w:p>
    <w:p w14:paraId="1830853D" w14:textId="77777777" w:rsidR="002F3D32" w:rsidRDefault="002F3D32" w:rsidP="002F3D32">
      <w:pPr>
        <w:spacing w:line="480" w:lineRule="auto"/>
      </w:pPr>
    </w:p>
    <w:p w14:paraId="6F075416" w14:textId="35A0DB69" w:rsidR="00BB55BC" w:rsidRDefault="002F2EB2" w:rsidP="002F3D32">
      <w:pPr>
        <w:spacing w:line="480" w:lineRule="auto"/>
      </w:pPr>
      <w:r>
        <w:t xml:space="preserve">Quantifying the </w:t>
      </w:r>
      <w:r w:rsidRPr="00E84EB6">
        <w:rPr>
          <w:i/>
          <w:iCs/>
        </w:rPr>
        <w:t>legacy</w:t>
      </w:r>
      <w:r>
        <w:t xml:space="preserve"> of slavery, </w:t>
      </w:r>
      <w:r w:rsidR="00C44344">
        <w:t xml:space="preserve">thus </w:t>
      </w:r>
      <w:r>
        <w:t xml:space="preserve">also serves as </w:t>
      </w:r>
      <w:r w:rsidR="004B33D8">
        <w:t>an excellent tool to silence those who continue to maintain that “the past is in the past</w:t>
      </w:r>
      <w:r w:rsidR="00E84EB6">
        <w:t>,</w:t>
      </w:r>
      <w:r w:rsidR="004B33D8">
        <w:t>”</w:t>
      </w:r>
      <w:r w:rsidR="00C44344">
        <w:t xml:space="preserve"> and </w:t>
      </w:r>
      <w:r w:rsidR="00105F7F">
        <w:t xml:space="preserve">as a way to tackle imperial ignorance and remind those that need reminding, that </w:t>
      </w:r>
      <w:r w:rsidR="008A33FA">
        <w:t xml:space="preserve">gross crimes against humanity were committed during the period of Empire and colonialism. A reminder that needs </w:t>
      </w:r>
      <w:r w:rsidR="00665B34">
        <w:t xml:space="preserve">all the backing it can get </w:t>
      </w:r>
      <w:r w:rsidR="004B33D8">
        <w:t xml:space="preserve">in this increasingly </w:t>
      </w:r>
      <w:r w:rsidR="00790505">
        <w:t xml:space="preserve">hostile racist and fascist environment we find ourselves in. </w:t>
      </w:r>
    </w:p>
    <w:p w14:paraId="66722695" w14:textId="77777777" w:rsidR="00494DD6" w:rsidRDefault="00494DD6" w:rsidP="002F3D32">
      <w:pPr>
        <w:spacing w:line="480" w:lineRule="auto"/>
      </w:pPr>
    </w:p>
    <w:p w14:paraId="1EB1CD27" w14:textId="257025C2" w:rsidR="005517FD" w:rsidRDefault="000637C4" w:rsidP="002F3D32">
      <w:pPr>
        <w:spacing w:line="480" w:lineRule="auto"/>
      </w:pPr>
      <w:r>
        <w:t>Oka</w:t>
      </w:r>
      <w:r w:rsidR="002F3D32">
        <w:t>y</w:t>
      </w:r>
      <w:r>
        <w:t>, n</w:t>
      </w:r>
      <w:r w:rsidR="00CD102E">
        <w:t xml:space="preserve">ow onto some graphs, </w:t>
      </w:r>
      <w:r w:rsidR="002F3D32">
        <w:t xml:space="preserve">as </w:t>
      </w:r>
      <w:r w:rsidR="00CD102E">
        <w:t>that will make explaining the report much easier</w:t>
      </w:r>
      <w:r w:rsidR="00BE41C1">
        <w:t>.</w:t>
      </w:r>
      <w:r w:rsidR="00CB582D">
        <w:t xml:space="preserve"> I should probably add here that as an anthropologist it</w:t>
      </w:r>
      <w:r w:rsidR="002671DC">
        <w:t xml:space="preserve"> doesn’t come natural to me to analyse reports. But </w:t>
      </w:r>
      <w:r w:rsidR="002F3D32">
        <w:t xml:space="preserve">I do feel like </w:t>
      </w:r>
      <w:r w:rsidR="002671DC">
        <w:t xml:space="preserve">this one is too important to </w:t>
      </w:r>
      <w:r w:rsidR="009F5011">
        <w:t>skim over.</w:t>
      </w:r>
      <w:r w:rsidR="002F3D32">
        <w:t xml:space="preserve"> And I should also add that </w:t>
      </w:r>
      <w:r w:rsidR="00F279BE">
        <w:t xml:space="preserve">I do not want to use this </w:t>
      </w:r>
      <w:r w:rsidR="00BA6115">
        <w:t xml:space="preserve">report </w:t>
      </w:r>
      <w:r w:rsidR="00F279BE">
        <w:t>as ethnographic material</w:t>
      </w:r>
      <w:r w:rsidR="009D0012">
        <w:t xml:space="preserve">, </w:t>
      </w:r>
      <w:r w:rsidR="00F279BE">
        <w:t xml:space="preserve">as that would fall into </w:t>
      </w:r>
      <w:r w:rsidR="009D0012">
        <w:t xml:space="preserve">one of </w:t>
      </w:r>
      <w:r w:rsidR="00F279BE">
        <w:t xml:space="preserve">the </w:t>
      </w:r>
      <w:r w:rsidR="009D0012">
        <w:t xml:space="preserve">many anthropological </w:t>
      </w:r>
      <w:r w:rsidR="00F279BE">
        <w:t>trap</w:t>
      </w:r>
      <w:r w:rsidR="009D0012">
        <w:t xml:space="preserve">s </w:t>
      </w:r>
      <w:r w:rsidR="000C20DC">
        <w:t xml:space="preserve">– often of a colonial nature - </w:t>
      </w:r>
      <w:r w:rsidR="00F279BE">
        <w:t xml:space="preserve">of </w:t>
      </w:r>
      <w:r w:rsidR="00B82173">
        <w:t>denigrating knowledge</w:t>
      </w:r>
      <w:r w:rsidR="00E5752E">
        <w:t xml:space="preserve"> that is situated within a power imbalance</w:t>
      </w:r>
      <w:r w:rsidR="00B82173">
        <w:t xml:space="preserve"> </w:t>
      </w:r>
      <w:r w:rsidR="000C20DC">
        <w:t>as an object to be studied, rather than knowledge for knowledge’s sake.</w:t>
      </w:r>
    </w:p>
    <w:p w14:paraId="03B33164" w14:textId="77777777" w:rsidR="005517FD" w:rsidRDefault="005517FD" w:rsidP="002F3D32">
      <w:pPr>
        <w:spacing w:line="480" w:lineRule="auto"/>
      </w:pPr>
    </w:p>
    <w:p w14:paraId="644A081E" w14:textId="77777777" w:rsidR="00EF34C3" w:rsidRDefault="00EF34C3" w:rsidP="002F3D32">
      <w:pPr>
        <w:spacing w:line="480" w:lineRule="auto"/>
      </w:pPr>
      <w:r>
        <w:lastRenderedPageBreak/>
        <w:t>[OPEN POWER POINT!!!]</w:t>
      </w:r>
    </w:p>
    <w:p w14:paraId="05A91F79" w14:textId="047A5636" w:rsidR="00EF34C3" w:rsidRDefault="00BE41C1" w:rsidP="002F3D32">
      <w:pPr>
        <w:spacing w:line="480" w:lineRule="auto"/>
      </w:pPr>
      <w:r>
        <w:t xml:space="preserve"> </w:t>
      </w:r>
    </w:p>
    <w:p w14:paraId="41159697" w14:textId="172871F9" w:rsidR="00494DD6" w:rsidRDefault="006D725A" w:rsidP="002F3D32">
      <w:pPr>
        <w:spacing w:line="480" w:lineRule="auto"/>
      </w:pPr>
      <w:r>
        <w:t xml:space="preserve">So to begin with they estimate the total amount of enslaved that embarked, disembarked or died during the gruesome middle passage to be 9 million. </w:t>
      </w:r>
      <w:r w:rsidR="00C51216">
        <w:t xml:space="preserve">By their estimates the total amount of enslaved that harms were inflicted upon – which includes those born into slavery – were 19 million people. </w:t>
      </w:r>
      <w:r w:rsidR="005517FD">
        <w:t xml:space="preserve">This is a huge amount of people! It is strange to quantify, and </w:t>
      </w:r>
      <w:r w:rsidR="003F54B4">
        <w:t xml:space="preserve">it lends itself to abstraction, but </w:t>
      </w:r>
      <w:r w:rsidR="005517FD">
        <w:t xml:space="preserve">I urge you all to bear in mind </w:t>
      </w:r>
      <w:r w:rsidR="003F54B4">
        <w:t xml:space="preserve">that we are talking about people here. </w:t>
      </w:r>
      <w:r w:rsidR="009E3B55">
        <w:t>P</w:t>
      </w:r>
      <w:r w:rsidR="003F54B4">
        <w:t xml:space="preserve">eople who endured pain, suffering and hardship so gruelling that it is almost unimaginable. </w:t>
      </w:r>
    </w:p>
    <w:p w14:paraId="1F6B00DA" w14:textId="77777777" w:rsidR="00EE27EC" w:rsidRDefault="00EE27EC" w:rsidP="002F3D32">
      <w:pPr>
        <w:spacing w:line="480" w:lineRule="auto"/>
      </w:pPr>
    </w:p>
    <w:p w14:paraId="56F5F903" w14:textId="77777777" w:rsidR="00E61229" w:rsidRDefault="00E61229" w:rsidP="002F3D32">
      <w:pPr>
        <w:spacing w:line="480" w:lineRule="auto"/>
      </w:pPr>
      <w:r>
        <w:t xml:space="preserve">Here's another great graph that illustrates the embarkments by enslaving country throughout time, giving a good indicator of scope and scale. </w:t>
      </w:r>
    </w:p>
    <w:p w14:paraId="12AF51B1" w14:textId="77777777" w:rsidR="00E61229" w:rsidRDefault="00E61229" w:rsidP="002F3D32">
      <w:pPr>
        <w:spacing w:line="480" w:lineRule="auto"/>
      </w:pPr>
    </w:p>
    <w:p w14:paraId="60A9FD61" w14:textId="46307C53" w:rsidR="00EE27EC" w:rsidRDefault="00E61229" w:rsidP="002F3D32">
      <w:pPr>
        <w:spacing w:line="480" w:lineRule="auto"/>
      </w:pPr>
      <w:r>
        <w:t xml:space="preserve">And here is another one that summarises the distribution of enslaved people by enslaving country.  </w:t>
      </w:r>
    </w:p>
    <w:p w14:paraId="490A2177" w14:textId="77777777" w:rsidR="00C36D30" w:rsidRDefault="00C36D30" w:rsidP="002F3D32">
      <w:pPr>
        <w:spacing w:line="480" w:lineRule="auto"/>
      </w:pPr>
    </w:p>
    <w:p w14:paraId="78404086" w14:textId="2CD9A874" w:rsidR="00C36D30" w:rsidRDefault="00C36D30" w:rsidP="002F3D32">
      <w:pPr>
        <w:spacing w:line="480" w:lineRule="auto"/>
      </w:pPr>
      <w:r>
        <w:t xml:space="preserve">And finally, here is a summary of quantification </w:t>
      </w:r>
      <w:r w:rsidR="00911234">
        <w:t xml:space="preserve">for </w:t>
      </w:r>
      <w:r>
        <w:t xml:space="preserve">the enslavement period. </w:t>
      </w:r>
    </w:p>
    <w:p w14:paraId="17852863" w14:textId="1AF921B7" w:rsidR="00C36D30" w:rsidRDefault="00C36D30" w:rsidP="002F3D32">
      <w:pPr>
        <w:spacing w:line="480" w:lineRule="auto"/>
      </w:pPr>
      <w:r>
        <w:t>Quantifiable harms include: forgone earnings, loss of liberty, personal injury, gender-based violence, mental pain and anguish.</w:t>
      </w:r>
    </w:p>
    <w:p w14:paraId="26BE5B88" w14:textId="529BC685" w:rsidR="00C36D30" w:rsidRDefault="00C36D30" w:rsidP="002F3D32">
      <w:pPr>
        <w:spacing w:line="480" w:lineRule="auto"/>
      </w:pPr>
      <w:r>
        <w:t xml:space="preserve">Whereas non-quantifiable harms include: deprivation of citizenship, deprivation of family and identity. </w:t>
      </w:r>
    </w:p>
    <w:p w14:paraId="3874EDE9" w14:textId="77777777" w:rsidR="00C36D30" w:rsidRDefault="00C36D30" w:rsidP="002F3D32">
      <w:pPr>
        <w:spacing w:line="480" w:lineRule="auto"/>
      </w:pPr>
    </w:p>
    <w:p w14:paraId="3D6C493A" w14:textId="56CD46E5" w:rsidR="00C36D30" w:rsidRDefault="00C36D30" w:rsidP="002F3D32">
      <w:pPr>
        <w:spacing w:line="480" w:lineRule="auto"/>
      </w:pPr>
      <w:r>
        <w:t xml:space="preserve">At a conservatively set interest rate range of 2.3- 2.5%, they come to an estimation of US$ 77-108 trillion. </w:t>
      </w:r>
    </w:p>
    <w:p w14:paraId="16745705" w14:textId="77777777" w:rsidR="00C36D30" w:rsidRDefault="00C36D30" w:rsidP="002F3D32">
      <w:pPr>
        <w:spacing w:line="480" w:lineRule="auto"/>
      </w:pPr>
    </w:p>
    <w:p w14:paraId="5EE1EAEC" w14:textId="191C7A09" w:rsidR="00C36D30" w:rsidRDefault="00451D4B" w:rsidP="002F3D32">
      <w:pPr>
        <w:spacing w:line="480" w:lineRule="auto"/>
      </w:pPr>
      <w:r>
        <w:t>Now just a quick note on the forgone earnings category, especially because I will come back to it in a minute. The value of loss of life and forgone earnings are basically the same – this is called the loss of productive life methodology. As part of this approach loss of life is quantified ‘as the amount expected to be earned by an individual over their remaining life had it not ended prematurely’</w:t>
      </w:r>
      <w:r w:rsidR="00EC73F1">
        <w:t xml:space="preserve">, this is the same methodology as measuring </w:t>
      </w:r>
      <w:r w:rsidR="00AA6BA6">
        <w:t>uncompensated</w:t>
      </w:r>
      <w:r w:rsidR="00EC73F1">
        <w:t xml:space="preserve"> labour – and hence they are grouped together, and then aggregated</w:t>
      </w:r>
      <w:r w:rsidR="006D16EC">
        <w:t xml:space="preserve">. </w:t>
      </w:r>
    </w:p>
    <w:p w14:paraId="69F3088C" w14:textId="77777777" w:rsidR="006D16EC" w:rsidRDefault="006D16EC" w:rsidP="002F3D32">
      <w:pPr>
        <w:spacing w:line="480" w:lineRule="auto"/>
      </w:pPr>
    </w:p>
    <w:p w14:paraId="01876B33" w14:textId="06CE8782" w:rsidR="00725674" w:rsidRDefault="006D16EC" w:rsidP="00725674">
      <w:pPr>
        <w:spacing w:line="480" w:lineRule="auto"/>
      </w:pPr>
      <w:r>
        <w:t>Okay, now onto the summary of quantification for the post-enslavement period, which as you can see is measured in terms of total wealth disparity.</w:t>
      </w:r>
      <w:r w:rsidR="00A068AE">
        <w:t xml:space="preserve"> This is measured in the difference in wealth between the formerly enslaved and the societies that enslaved them. </w:t>
      </w:r>
      <w:r w:rsidR="00205D1C">
        <w:t>It is measured country by corresponding country, and within the US it is measured on more stark racial lines, that is between Black and African heritage citizens and white citizens. Recognising that this does not fully capture all harms from the period of post enslavement, they also identify additional quantifiable and non-quantifiable categories of harm</w:t>
      </w:r>
      <w:r w:rsidR="00725674">
        <w:t>, which – as you can see are measurable, but not all of them</w:t>
      </w:r>
      <w:r w:rsidR="008F4F6F">
        <w:t xml:space="preserve"> </w:t>
      </w:r>
      <w:r w:rsidR="00725674">
        <w:t xml:space="preserve">are quantifiable: They are: </w:t>
      </w:r>
    </w:p>
    <w:p w14:paraId="11CDE341" w14:textId="497848BD" w:rsidR="006D16EC" w:rsidRDefault="006718D8" w:rsidP="002F3D32">
      <w:pPr>
        <w:spacing w:line="480" w:lineRule="auto"/>
      </w:pPr>
      <w:r>
        <w:t xml:space="preserve"> </w:t>
      </w:r>
    </w:p>
    <w:p w14:paraId="494E4B3E" w14:textId="77777777" w:rsidR="008F4F6F" w:rsidRDefault="006718D8" w:rsidP="002F3D32">
      <w:pPr>
        <w:spacing w:line="480" w:lineRule="auto"/>
      </w:pPr>
      <w:r>
        <w:t>Loss of life, which is measure</w:t>
      </w:r>
      <w:r w:rsidR="00911234">
        <w:t>d</w:t>
      </w:r>
      <w:r>
        <w:t xml:space="preserve"> in the difference in life </w:t>
      </w:r>
      <w:r w:rsidR="00911234">
        <w:t>expectancy</w:t>
      </w:r>
      <w:r>
        <w:t>; loss of liberty, which is measured in the greater rate of imprisonment; income disparity – as already measured and then taken in its aggregate</w:t>
      </w:r>
      <w:r w:rsidR="00C5258D">
        <w:t xml:space="preserve"> as US$ 22.9 trillion</w:t>
      </w:r>
      <w:r>
        <w:t xml:space="preserve">; unemployment; health care; </w:t>
      </w:r>
    </w:p>
    <w:p w14:paraId="63369A27" w14:textId="009124AC" w:rsidR="00725674" w:rsidRDefault="006718D8" w:rsidP="002F3D32">
      <w:pPr>
        <w:spacing w:line="480" w:lineRule="auto"/>
      </w:pPr>
      <w:r>
        <w:t xml:space="preserve">and </w:t>
      </w:r>
      <w:r w:rsidR="00B05BA9">
        <w:t xml:space="preserve">finally, </w:t>
      </w:r>
      <w:r>
        <w:t xml:space="preserve">compensatory payment to slavers – as most of you probably know in many countries it was slaver </w:t>
      </w:r>
      <w:r>
        <w:rPr>
          <w:i/>
          <w:iCs/>
        </w:rPr>
        <w:t xml:space="preserve">owners </w:t>
      </w:r>
      <w:r>
        <w:t>who were compensated for their loss in property, establishing an elite class</w:t>
      </w:r>
      <w:r w:rsidR="00096758">
        <w:t xml:space="preserve"> and a political economy of whiteness</w:t>
      </w:r>
      <w:r>
        <w:t xml:space="preserve"> still active today</w:t>
      </w:r>
      <w:r w:rsidR="00911234">
        <w:t xml:space="preserve">. </w:t>
      </w:r>
      <w:r w:rsidR="008F4F6F">
        <w:t xml:space="preserve">So this sum </w:t>
      </w:r>
      <w:r w:rsidR="00E96136">
        <w:lastRenderedPageBreak/>
        <w:t xml:space="preserve">of so called “reparations” </w:t>
      </w:r>
      <w:r w:rsidR="008F4F6F">
        <w:t xml:space="preserve">is added to the reparations calculation, with an added interest rate. </w:t>
      </w:r>
    </w:p>
    <w:p w14:paraId="3D9B2C9C" w14:textId="10B09CC7" w:rsidR="006718D8" w:rsidRDefault="006718D8" w:rsidP="00DB522F">
      <w:pPr>
        <w:spacing w:line="480" w:lineRule="auto"/>
      </w:pPr>
      <w:r>
        <w:t>Non-</w:t>
      </w:r>
      <w:r w:rsidR="007513A3">
        <w:t>quantifiable</w:t>
      </w:r>
      <w:r>
        <w:t xml:space="preserve"> harms: intergenerational Trauma, feelings of non-acceptance, issues of intersectionality and loss of heritage. </w:t>
      </w:r>
    </w:p>
    <w:p w14:paraId="780CCCBF" w14:textId="77777777" w:rsidR="00C5258D" w:rsidRPr="006718D8" w:rsidRDefault="00C5258D" w:rsidP="00DB522F">
      <w:pPr>
        <w:spacing w:line="480" w:lineRule="auto"/>
      </w:pPr>
    </w:p>
    <w:p w14:paraId="326D79C0" w14:textId="3EF7F17C" w:rsidR="006D16EC" w:rsidRDefault="00911234" w:rsidP="00DB522F">
      <w:pPr>
        <w:spacing w:line="480" w:lineRule="auto"/>
      </w:pPr>
      <w:r>
        <w:t>So, when added all together, with either the interest rate of 2.3% or 2.5% the Brattle Group calculate reparations owed for Transatlantic Chattel Slavery to be between 100-130US$ trillion. And this, as they often reiterate is a conservative measurement!</w:t>
      </w:r>
      <w:r w:rsidR="00882515">
        <w:t xml:space="preserve"> As it stands every sum owed, exceeds almost every enslaving country’s GDP. </w:t>
      </w:r>
    </w:p>
    <w:p w14:paraId="5E430546" w14:textId="77777777" w:rsidR="00911234" w:rsidRDefault="00911234" w:rsidP="00DB522F">
      <w:pPr>
        <w:spacing w:line="480" w:lineRule="auto"/>
      </w:pPr>
    </w:p>
    <w:p w14:paraId="228F27F2" w14:textId="572DCFA2" w:rsidR="00911234" w:rsidRDefault="006923BA" w:rsidP="00DB522F">
      <w:pPr>
        <w:spacing w:line="480" w:lineRule="auto"/>
      </w:pPr>
      <w:r>
        <w:t>Here are a few more graphs that break it down.</w:t>
      </w:r>
    </w:p>
    <w:p w14:paraId="330E5DDE" w14:textId="77777777" w:rsidR="006923BA" w:rsidRDefault="006923BA" w:rsidP="00DB522F">
      <w:pPr>
        <w:spacing w:line="480" w:lineRule="auto"/>
      </w:pPr>
    </w:p>
    <w:p w14:paraId="18F753EB" w14:textId="67612B60" w:rsidR="006923BA" w:rsidRDefault="006923BA" w:rsidP="00DB522F">
      <w:pPr>
        <w:spacing w:line="480" w:lineRule="auto"/>
      </w:pPr>
      <w:r>
        <w:t xml:space="preserve">And, crucially </w:t>
      </w:r>
      <w:r w:rsidR="00DE61CC">
        <w:t>although this estimate</w:t>
      </w:r>
      <w:r w:rsidR="00022ED4">
        <w:t xml:space="preserve"> </w:t>
      </w:r>
      <w:r w:rsidR="00DE61CC">
        <w:t>exceeds almost every country’s GDP, this measurement should be taken in its cumulative measure.</w:t>
      </w:r>
      <w:r w:rsidR="00882515">
        <w:t xml:space="preserve"> As you can see in this graph, it really puts the amount owed in perspective.</w:t>
      </w:r>
      <w:r w:rsidR="00DE61CC">
        <w:t xml:space="preserve"> Afterall slavery was a centuries long project of extraction. </w:t>
      </w:r>
    </w:p>
    <w:p w14:paraId="6DBCCDB5" w14:textId="77777777" w:rsidR="00133A65" w:rsidRDefault="00133A65"/>
    <w:p w14:paraId="26F00927" w14:textId="77777777" w:rsidR="00602E40" w:rsidRDefault="00602E40"/>
    <w:p w14:paraId="368B22F8" w14:textId="2AFF7547" w:rsidR="00602E40" w:rsidRDefault="00801380">
      <w:r>
        <w:t xml:space="preserve">Which, I guess, leads me to my </w:t>
      </w:r>
      <w:r w:rsidR="00E7629F">
        <w:t xml:space="preserve">framing </w:t>
      </w:r>
      <w:r w:rsidR="00CC3BF1">
        <w:t>questions:</w:t>
      </w:r>
    </w:p>
    <w:p w14:paraId="4CD282B0" w14:textId="77777777" w:rsidR="00CC3BF1" w:rsidRDefault="00CC3BF1"/>
    <w:p w14:paraId="60F0A050" w14:textId="77777777" w:rsidR="0020550D" w:rsidRDefault="0020550D"/>
    <w:p w14:paraId="4B425153" w14:textId="27629364" w:rsidR="0020550D" w:rsidRDefault="00CA3B38">
      <w:r>
        <w:t xml:space="preserve">First, </w:t>
      </w:r>
      <w:r w:rsidR="0020550D">
        <w:t>Is it possible to reckon with crimes against humanity in a quantifiable way?</w:t>
      </w:r>
    </w:p>
    <w:p w14:paraId="727C5359" w14:textId="77777777" w:rsidR="00CA3B38" w:rsidRDefault="00CA3B38"/>
    <w:p w14:paraId="433C4ECC" w14:textId="77777777" w:rsidR="00A54B47" w:rsidRDefault="00A54B47"/>
    <w:p w14:paraId="6B21F778" w14:textId="01B5FF9A" w:rsidR="00A54B47" w:rsidRDefault="00A54B47" w:rsidP="000B64EE">
      <w:pPr>
        <w:spacing w:line="480" w:lineRule="auto"/>
      </w:pPr>
      <w:r>
        <w:t>Obviously not. The report lists harms such as “the creation of Blackness” as an unquantifiable harm. A harm that is so enormous, a harm that has shaped our very definition of what it means to be Human</w:t>
      </w:r>
      <w:r w:rsidR="00625328">
        <w:t xml:space="preserve">, as </w:t>
      </w:r>
      <w:r>
        <w:t>Sylvia Wynter</w:t>
      </w:r>
      <w:r w:rsidR="00625328">
        <w:t xml:space="preserve"> has so eloquently put it. </w:t>
      </w:r>
      <w:r>
        <w:t>A</w:t>
      </w:r>
      <w:r w:rsidR="000B64EE">
        <w:t>nd</w:t>
      </w:r>
      <w:r>
        <w:t xml:space="preserve"> with Blackness, comes the creation</w:t>
      </w:r>
      <w:r w:rsidR="008E341C">
        <w:t xml:space="preserve"> of Whiteness</w:t>
      </w:r>
      <w:r>
        <w:t xml:space="preserve"> and </w:t>
      </w:r>
      <w:r w:rsidR="00742283">
        <w:t>an</w:t>
      </w:r>
      <w:r w:rsidR="008E341C">
        <w:t xml:space="preserve"> </w:t>
      </w:r>
      <w:r w:rsidR="001F3340">
        <w:t xml:space="preserve">active </w:t>
      </w:r>
      <w:r>
        <w:t>legacy of racism</w:t>
      </w:r>
      <w:r w:rsidR="006228AD">
        <w:t xml:space="preserve">, which </w:t>
      </w:r>
      <w:r w:rsidR="00625328">
        <w:t xml:space="preserve">when </w:t>
      </w:r>
      <w:r w:rsidR="00625328">
        <w:lastRenderedPageBreak/>
        <w:t xml:space="preserve">thinking with Judith Butler, begs us to ask which lives are </w:t>
      </w:r>
      <w:proofErr w:type="spellStart"/>
      <w:r w:rsidR="00625328">
        <w:t>grievable</w:t>
      </w:r>
      <w:proofErr w:type="spellEnd"/>
      <w:r w:rsidR="00625328">
        <w:t xml:space="preserve"> and which are not?</w:t>
      </w:r>
      <w:r w:rsidR="0049020F">
        <w:t xml:space="preserve"> Leading us straight to the genocide in Gaza.</w:t>
      </w:r>
      <w:r w:rsidR="006228AD">
        <w:t xml:space="preserve"> </w:t>
      </w:r>
    </w:p>
    <w:p w14:paraId="3856A5F6" w14:textId="77777777" w:rsidR="00CA3B38" w:rsidRDefault="00CA3B38" w:rsidP="000B64EE">
      <w:pPr>
        <w:spacing w:line="480" w:lineRule="auto"/>
      </w:pPr>
    </w:p>
    <w:p w14:paraId="28F94F87" w14:textId="5A8AE4AC" w:rsidR="00CA3B38" w:rsidRDefault="00CA3B38" w:rsidP="000B64EE">
      <w:pPr>
        <w:spacing w:line="480" w:lineRule="auto"/>
      </w:pPr>
      <w:r>
        <w:t xml:space="preserve">The second question - How do we address past wrongs within a system that it has created? – really gets </w:t>
      </w:r>
      <w:r w:rsidR="006E5552">
        <w:t>to</w:t>
      </w:r>
      <w:r>
        <w:t xml:space="preserve"> some of the most foundational paradoxes of the incommensurability of slavery. </w:t>
      </w:r>
      <w:r w:rsidR="00F41D7A">
        <w:t xml:space="preserve">In the Brattle report, for example, the calculation for “loss of liberty” is estimated based on the value of manumissions. </w:t>
      </w:r>
      <w:r w:rsidR="00121D80">
        <w:t>Manumission</w:t>
      </w:r>
      <w:r w:rsidR="00121D80" w:rsidRPr="00121D80">
        <w:t xml:space="preserve"> is the act of releasing </w:t>
      </w:r>
      <w:r w:rsidR="00121D80">
        <w:t xml:space="preserve">the enslaved from </w:t>
      </w:r>
      <w:r w:rsidR="00121D80" w:rsidRPr="00121D80">
        <w:t>bondage, essentially granting them freedom from slavery. It's a formal process where an enslaver voluntarily frees the enslaved person, often through a legal document or deed</w:t>
      </w:r>
      <w:r w:rsidR="00121D80">
        <w:t xml:space="preserve"> – and crucially, through compensatory payment. </w:t>
      </w:r>
      <w:r w:rsidR="00A56CB5">
        <w:t xml:space="preserve">So what does it mean, to </w:t>
      </w:r>
      <w:r w:rsidR="0074703B">
        <w:t>us</w:t>
      </w:r>
      <w:r w:rsidR="004E15BD">
        <w:t xml:space="preserve">e an estimate of </w:t>
      </w:r>
      <w:r w:rsidR="00AF188F">
        <w:t>someone’s worth, valuated by a system that does not even think them to be Human, merely chattel</w:t>
      </w:r>
      <w:r w:rsidR="00A66BD2">
        <w:t>?</w:t>
      </w:r>
    </w:p>
    <w:p w14:paraId="60E7FC9B" w14:textId="77777777" w:rsidR="005915D8" w:rsidRDefault="005915D8" w:rsidP="000B64EE">
      <w:pPr>
        <w:spacing w:line="480" w:lineRule="auto"/>
      </w:pPr>
    </w:p>
    <w:p w14:paraId="0335039D" w14:textId="1BD0DBB1" w:rsidR="00292C5D" w:rsidRDefault="00292C5D" w:rsidP="000B64EE">
      <w:pPr>
        <w:spacing w:line="480" w:lineRule="auto"/>
      </w:pPr>
      <w:r>
        <w:t xml:space="preserve">Similarly, when examining the loss of productive life methodology – the one where estimations are based on the </w:t>
      </w:r>
      <w:r w:rsidR="00D720B4">
        <w:t xml:space="preserve">loss of wages of a working life </w:t>
      </w:r>
      <w:r w:rsidR="00017C37">
        <w:t>–</w:t>
      </w:r>
      <w:r w:rsidR="00D720B4">
        <w:t xml:space="preserve"> </w:t>
      </w:r>
      <w:r w:rsidR="005915D8">
        <w:t xml:space="preserve">one can quickly see </w:t>
      </w:r>
      <w:r w:rsidR="00017C37">
        <w:t>that</w:t>
      </w:r>
      <w:r w:rsidR="005915D8">
        <w:t xml:space="preserve"> it</w:t>
      </w:r>
      <w:r w:rsidR="00017C37">
        <w:t xml:space="preserve"> is measured within </w:t>
      </w:r>
      <w:r w:rsidR="00CE0A95">
        <w:t xml:space="preserve">the </w:t>
      </w:r>
      <w:r w:rsidR="00017C37">
        <w:t>racial capitalist system it</w:t>
      </w:r>
      <w:r w:rsidR="00CE0A95">
        <w:t xml:space="preserve"> itself</w:t>
      </w:r>
      <w:r w:rsidR="00017C37">
        <w:t xml:space="preserve"> has created. </w:t>
      </w:r>
      <w:r w:rsidR="00E51A0B">
        <w:t xml:space="preserve">TCS, empire and colonialism </w:t>
      </w:r>
      <w:r w:rsidR="009D5FA9">
        <w:t>created th</w:t>
      </w:r>
      <w:r w:rsidR="005915D8">
        <w:t>is</w:t>
      </w:r>
      <w:r w:rsidR="009D5FA9">
        <w:t xml:space="preserve"> </w:t>
      </w:r>
      <w:r w:rsidR="00C50B8A">
        <w:t xml:space="preserve">particularly extractive </w:t>
      </w:r>
      <w:r w:rsidR="00BC5C83">
        <w:t>world system of racial capitalism – if you want to take Cedric Robinson’s term – or</w:t>
      </w:r>
      <w:r w:rsidR="001353CF">
        <w:t xml:space="preserve">, perhaps more encompassing the ‘global colonial </w:t>
      </w:r>
      <w:r w:rsidR="00CE0A95">
        <w:t>economy</w:t>
      </w:r>
      <w:r w:rsidR="001353CF">
        <w:t xml:space="preserve">’ as Gurminder Bhambra calls it. </w:t>
      </w:r>
      <w:r w:rsidR="007E180C">
        <w:t xml:space="preserve">To then measure </w:t>
      </w:r>
      <w:r w:rsidR="006E7F33">
        <w:t>someone’s loss of life in terms of an oppressive wage-labour system</w:t>
      </w:r>
      <w:r w:rsidR="007F0BDE">
        <w:t xml:space="preserve"> -</w:t>
      </w:r>
      <w:r w:rsidR="006E7F33">
        <w:t xml:space="preserve"> which this initial life had been extracted for to create</w:t>
      </w:r>
      <w:r w:rsidR="007F0BDE">
        <w:t xml:space="preserve"> - </w:t>
      </w:r>
      <w:r w:rsidR="006E7F33">
        <w:t xml:space="preserve">seems </w:t>
      </w:r>
      <w:r w:rsidR="005E1242">
        <w:t>paradoxical and lands you in a bit of a chicken and egg situation</w:t>
      </w:r>
      <w:r w:rsidR="0084226D">
        <w:t>, or a</w:t>
      </w:r>
      <w:r w:rsidR="00C97AD6">
        <w:t xml:space="preserve"> conceptual</w:t>
      </w:r>
      <w:r w:rsidR="0084226D">
        <w:t xml:space="preserve"> cage that you cannot break out o</w:t>
      </w:r>
      <w:r w:rsidR="00165384">
        <w:t>f.</w:t>
      </w:r>
      <w:r w:rsidR="006E7F33">
        <w:t xml:space="preserve"> </w:t>
      </w:r>
    </w:p>
    <w:p w14:paraId="6ABBC167" w14:textId="77777777" w:rsidR="005E1242" w:rsidRDefault="005E1242" w:rsidP="000B64EE">
      <w:pPr>
        <w:spacing w:line="480" w:lineRule="auto"/>
      </w:pPr>
    </w:p>
    <w:p w14:paraId="6FF2E1AA" w14:textId="44BE32AE" w:rsidR="007E512C" w:rsidRDefault="007E512C" w:rsidP="000B64EE">
      <w:pPr>
        <w:spacing w:line="480" w:lineRule="auto"/>
      </w:pPr>
      <w:r>
        <w:t xml:space="preserve">Which, </w:t>
      </w:r>
      <w:r w:rsidR="00CF1686">
        <w:t>I reckon leads me to the third and final question.</w:t>
      </w:r>
    </w:p>
    <w:p w14:paraId="7D7ADD6C" w14:textId="77777777" w:rsidR="005E1242" w:rsidRDefault="005E1242" w:rsidP="005E1242">
      <w:r>
        <w:lastRenderedPageBreak/>
        <w:t>How do we tackle the deep paradoxes of the incommensurability of slavery?</w:t>
      </w:r>
    </w:p>
    <w:p w14:paraId="28BDCDE8" w14:textId="77777777" w:rsidR="00BA1CAD" w:rsidRDefault="00BA1CAD" w:rsidP="005E1242"/>
    <w:p w14:paraId="6F94F6EE" w14:textId="77777777" w:rsidR="00CF1686" w:rsidRDefault="00CF1686" w:rsidP="005E1242"/>
    <w:p w14:paraId="51FCD206" w14:textId="55960514" w:rsidR="00CF1686" w:rsidRDefault="00FB666D" w:rsidP="00FB666D">
      <w:pPr>
        <w:spacing w:line="480" w:lineRule="auto"/>
      </w:pPr>
      <w:r>
        <w:t xml:space="preserve">As some of the examples shown today point to, it is only by a wholesale abolitionism. And here I am </w:t>
      </w:r>
      <w:r w:rsidR="00BA1CAD">
        <w:t>drawing on the works of</w:t>
      </w:r>
      <w:r>
        <w:t xml:space="preserve"> Ruth</w:t>
      </w:r>
      <w:r w:rsidR="009313C2">
        <w:t xml:space="preserve"> Wilson</w:t>
      </w:r>
      <w:r>
        <w:t xml:space="preserve"> Gilmore, Angela Davis, but also James Baldwin and Amilcar Cabral and many more. Abolitionism, or </w:t>
      </w:r>
      <w:r w:rsidR="00F123F9">
        <w:t xml:space="preserve">Bhambra’s call for a reparatory social science, or </w:t>
      </w:r>
      <w:r>
        <w:t xml:space="preserve">whatever you wish to call the act of imagining a world beyond these current confines and systems of racial capitalism, nationalism, and all the other ‘isms’ </w:t>
      </w:r>
      <w:r w:rsidR="008F6074">
        <w:t>means</w:t>
      </w:r>
      <w:r>
        <w:t xml:space="preserve"> constructing a world that works for all of us, in which we </w:t>
      </w:r>
      <w:r w:rsidR="00EA5FE3">
        <w:t xml:space="preserve">have </w:t>
      </w:r>
      <w:r>
        <w:t>to re-imagine, re-conceptualise</w:t>
      </w:r>
      <w:r w:rsidR="00EA5FE3">
        <w:t xml:space="preserve">, </w:t>
      </w:r>
      <w:r w:rsidR="00413A4B">
        <w:t xml:space="preserve">re-distribute, </w:t>
      </w:r>
      <w:r w:rsidR="00EA5FE3">
        <w:t>re-build</w:t>
      </w:r>
      <w:r>
        <w:t xml:space="preserve"> and re-humanise. </w:t>
      </w:r>
      <w:r w:rsidR="005675B8">
        <w:t>It might seem abstract</w:t>
      </w:r>
      <w:r w:rsidR="00D60A71">
        <w:t xml:space="preserve"> and impossible, but then again so did </w:t>
      </w:r>
      <w:r w:rsidR="00B35A45">
        <w:t xml:space="preserve">the abolition of </w:t>
      </w:r>
      <w:r w:rsidR="00D60A71">
        <w:t xml:space="preserve">slavery. </w:t>
      </w:r>
      <w:r w:rsidR="00BD6FF4">
        <w:t>So</w:t>
      </w:r>
      <w:r w:rsidR="009F531C">
        <w:t xml:space="preserve"> in essence, the only way to </w:t>
      </w:r>
      <w:r w:rsidR="00E62DF2">
        <w:t xml:space="preserve">tackle the incommensurability of slavery </w:t>
      </w:r>
      <w:r w:rsidR="009F531C">
        <w:t>is</w:t>
      </w:r>
      <w:r w:rsidR="00E62DF2">
        <w:t xml:space="preserve"> with the rich legacy that stems from its abolition</w:t>
      </w:r>
      <w:r w:rsidR="00CD4A0E">
        <w:t>.</w:t>
      </w:r>
    </w:p>
    <w:p w14:paraId="2227E9CA" w14:textId="77777777" w:rsidR="00D872C5" w:rsidRDefault="00D872C5" w:rsidP="005E1242"/>
    <w:p w14:paraId="1450DEAA" w14:textId="77777777" w:rsidR="005E1242" w:rsidRDefault="005E1242" w:rsidP="000B64EE">
      <w:pPr>
        <w:spacing w:line="480" w:lineRule="auto"/>
      </w:pPr>
    </w:p>
    <w:p w14:paraId="298881B5" w14:textId="77777777" w:rsidR="0020550D" w:rsidRDefault="0020550D"/>
    <w:p w14:paraId="1CE77E45" w14:textId="77777777" w:rsidR="00875CBA" w:rsidRDefault="00875CBA">
      <w:pPr>
        <w:rPr>
          <w:i/>
          <w:iCs/>
        </w:rPr>
      </w:pPr>
    </w:p>
    <w:sectPr w:rsidR="00875CBA" w:rsidSect="00BC30F4">
      <w:headerReference w:type="default" r:id="rId7"/>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F1455" w14:textId="77777777" w:rsidR="00B63060" w:rsidRDefault="00B63060" w:rsidP="009D2F2E">
      <w:r>
        <w:separator/>
      </w:r>
    </w:p>
  </w:endnote>
  <w:endnote w:type="continuationSeparator" w:id="0">
    <w:p w14:paraId="67C13816" w14:textId="77777777" w:rsidR="00B63060" w:rsidRDefault="00B63060" w:rsidP="009D2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6307764"/>
      <w:docPartObj>
        <w:docPartGallery w:val="Page Numbers (Bottom of Page)"/>
        <w:docPartUnique/>
      </w:docPartObj>
    </w:sdtPr>
    <w:sdtContent>
      <w:p w14:paraId="26A6DA56" w14:textId="705FCD58" w:rsidR="009D2F2E" w:rsidRDefault="009D2F2E" w:rsidP="00FC59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E4A550" w14:textId="77777777" w:rsidR="009D2F2E" w:rsidRDefault="009D2F2E" w:rsidP="009D2F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088809"/>
      <w:docPartObj>
        <w:docPartGallery w:val="Page Numbers (Bottom of Page)"/>
        <w:docPartUnique/>
      </w:docPartObj>
    </w:sdtPr>
    <w:sdtContent>
      <w:p w14:paraId="10DF0771" w14:textId="08FB9717" w:rsidR="009D2F2E" w:rsidRDefault="009D2F2E" w:rsidP="00FC590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97BE3CD" w14:textId="77777777" w:rsidR="009D2F2E" w:rsidRDefault="009D2F2E" w:rsidP="009D2F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AFFF3" w14:textId="77777777" w:rsidR="00B63060" w:rsidRDefault="00B63060" w:rsidP="009D2F2E">
      <w:r>
        <w:separator/>
      </w:r>
    </w:p>
  </w:footnote>
  <w:footnote w:type="continuationSeparator" w:id="0">
    <w:p w14:paraId="10A95FBA" w14:textId="77777777" w:rsidR="00B63060" w:rsidRDefault="00B63060" w:rsidP="009D2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069CE" w14:textId="2A3B2A97" w:rsidR="00E0419B" w:rsidRDefault="00E0419B" w:rsidP="00E0419B">
    <w:pPr>
      <w:pStyle w:val="Header"/>
      <w:jc w:val="right"/>
    </w:pPr>
    <w:r>
      <w:t>Victoria L. Klinkert</w:t>
    </w:r>
  </w:p>
  <w:p w14:paraId="64E80980" w14:textId="7DED6157" w:rsidR="00E0419B" w:rsidRDefault="00E0419B" w:rsidP="00E0419B">
    <w:pPr>
      <w:pStyle w:val="Header"/>
      <w:jc w:val="right"/>
    </w:pPr>
    <w: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64979"/>
    <w:multiLevelType w:val="hybridMultilevel"/>
    <w:tmpl w:val="849E1F90"/>
    <w:lvl w:ilvl="0" w:tplc="DDCEAA4A">
      <w:start w:val="1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E50EE"/>
    <w:multiLevelType w:val="hybridMultilevel"/>
    <w:tmpl w:val="CD5A8786"/>
    <w:lvl w:ilvl="0" w:tplc="AA203AF8">
      <w:start w:val="1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68186D"/>
    <w:multiLevelType w:val="hybridMultilevel"/>
    <w:tmpl w:val="7E7E45B8"/>
    <w:lvl w:ilvl="0" w:tplc="446098D4">
      <w:start w:val="15"/>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6748474">
    <w:abstractNumId w:val="1"/>
  </w:num>
  <w:num w:numId="2" w16cid:durableId="92553524">
    <w:abstractNumId w:val="2"/>
  </w:num>
  <w:num w:numId="3" w16cid:durableId="1650941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2C"/>
    <w:rsid w:val="00007836"/>
    <w:rsid w:val="00017C37"/>
    <w:rsid w:val="00022ED4"/>
    <w:rsid w:val="000375B9"/>
    <w:rsid w:val="000637C4"/>
    <w:rsid w:val="00065A63"/>
    <w:rsid w:val="00066A4F"/>
    <w:rsid w:val="0008125B"/>
    <w:rsid w:val="00083512"/>
    <w:rsid w:val="00087012"/>
    <w:rsid w:val="00093628"/>
    <w:rsid w:val="00096758"/>
    <w:rsid w:val="000A4943"/>
    <w:rsid w:val="000B37F3"/>
    <w:rsid w:val="000B54DD"/>
    <w:rsid w:val="000B64EE"/>
    <w:rsid w:val="000C128D"/>
    <w:rsid w:val="000C20DC"/>
    <w:rsid w:val="000C37FA"/>
    <w:rsid w:val="000D36BF"/>
    <w:rsid w:val="000F149C"/>
    <w:rsid w:val="00105F7F"/>
    <w:rsid w:val="00117930"/>
    <w:rsid w:val="001202CE"/>
    <w:rsid w:val="00121D80"/>
    <w:rsid w:val="00133A65"/>
    <w:rsid w:val="001353CF"/>
    <w:rsid w:val="00140BD8"/>
    <w:rsid w:val="00155B1E"/>
    <w:rsid w:val="00165384"/>
    <w:rsid w:val="001A073B"/>
    <w:rsid w:val="001C5525"/>
    <w:rsid w:val="001D18F6"/>
    <w:rsid w:val="001F3340"/>
    <w:rsid w:val="0020550D"/>
    <w:rsid w:val="00205D1C"/>
    <w:rsid w:val="0024660E"/>
    <w:rsid w:val="00261D96"/>
    <w:rsid w:val="002671DC"/>
    <w:rsid w:val="00292C5D"/>
    <w:rsid w:val="002B23C1"/>
    <w:rsid w:val="002B684F"/>
    <w:rsid w:val="002E442B"/>
    <w:rsid w:val="002F0D2C"/>
    <w:rsid w:val="002F2EB2"/>
    <w:rsid w:val="002F3D32"/>
    <w:rsid w:val="00305759"/>
    <w:rsid w:val="003706D1"/>
    <w:rsid w:val="00390B6C"/>
    <w:rsid w:val="003C565B"/>
    <w:rsid w:val="003F54B4"/>
    <w:rsid w:val="00413A4B"/>
    <w:rsid w:val="00425FC3"/>
    <w:rsid w:val="00451D4B"/>
    <w:rsid w:val="0045418F"/>
    <w:rsid w:val="00461299"/>
    <w:rsid w:val="0049020F"/>
    <w:rsid w:val="00494DD6"/>
    <w:rsid w:val="004B33D8"/>
    <w:rsid w:val="004B757D"/>
    <w:rsid w:val="004E15BD"/>
    <w:rsid w:val="004E1A96"/>
    <w:rsid w:val="004F2812"/>
    <w:rsid w:val="004F7562"/>
    <w:rsid w:val="005517FD"/>
    <w:rsid w:val="005675B8"/>
    <w:rsid w:val="00583AC9"/>
    <w:rsid w:val="00584281"/>
    <w:rsid w:val="005915D8"/>
    <w:rsid w:val="005C4A95"/>
    <w:rsid w:val="005E1242"/>
    <w:rsid w:val="005F6582"/>
    <w:rsid w:val="00602E40"/>
    <w:rsid w:val="00603BD7"/>
    <w:rsid w:val="00605BF0"/>
    <w:rsid w:val="006107F3"/>
    <w:rsid w:val="006228AD"/>
    <w:rsid w:val="00625328"/>
    <w:rsid w:val="0062594E"/>
    <w:rsid w:val="00646F90"/>
    <w:rsid w:val="00665B34"/>
    <w:rsid w:val="006718D8"/>
    <w:rsid w:val="006923BA"/>
    <w:rsid w:val="006D16EC"/>
    <w:rsid w:val="006D725A"/>
    <w:rsid w:val="006E5552"/>
    <w:rsid w:val="006E7F33"/>
    <w:rsid w:val="006F334E"/>
    <w:rsid w:val="00725674"/>
    <w:rsid w:val="00741C25"/>
    <w:rsid w:val="00742283"/>
    <w:rsid w:val="0074703B"/>
    <w:rsid w:val="007513A3"/>
    <w:rsid w:val="00766560"/>
    <w:rsid w:val="007672F2"/>
    <w:rsid w:val="00773F00"/>
    <w:rsid w:val="00774B9C"/>
    <w:rsid w:val="007812B7"/>
    <w:rsid w:val="00790505"/>
    <w:rsid w:val="007A434D"/>
    <w:rsid w:val="007E1465"/>
    <w:rsid w:val="007E161E"/>
    <w:rsid w:val="007E180C"/>
    <w:rsid w:val="007E512C"/>
    <w:rsid w:val="007F0BDE"/>
    <w:rsid w:val="00801380"/>
    <w:rsid w:val="0084226D"/>
    <w:rsid w:val="00842C30"/>
    <w:rsid w:val="00846FE2"/>
    <w:rsid w:val="00862B8A"/>
    <w:rsid w:val="00873F1B"/>
    <w:rsid w:val="00875CBA"/>
    <w:rsid w:val="00882515"/>
    <w:rsid w:val="00885A49"/>
    <w:rsid w:val="008A33FA"/>
    <w:rsid w:val="008D431A"/>
    <w:rsid w:val="008E341C"/>
    <w:rsid w:val="008F4F6F"/>
    <w:rsid w:val="008F6074"/>
    <w:rsid w:val="00911234"/>
    <w:rsid w:val="009313C2"/>
    <w:rsid w:val="00974288"/>
    <w:rsid w:val="00974B85"/>
    <w:rsid w:val="009A5CD9"/>
    <w:rsid w:val="009B6698"/>
    <w:rsid w:val="009D0012"/>
    <w:rsid w:val="009D2F2E"/>
    <w:rsid w:val="009D5FA9"/>
    <w:rsid w:val="009E3B55"/>
    <w:rsid w:val="009F0166"/>
    <w:rsid w:val="009F5011"/>
    <w:rsid w:val="009F531C"/>
    <w:rsid w:val="00A068AE"/>
    <w:rsid w:val="00A3457C"/>
    <w:rsid w:val="00A54B47"/>
    <w:rsid w:val="00A56CB5"/>
    <w:rsid w:val="00A66BD2"/>
    <w:rsid w:val="00A72606"/>
    <w:rsid w:val="00A83643"/>
    <w:rsid w:val="00A87A97"/>
    <w:rsid w:val="00AA6BA6"/>
    <w:rsid w:val="00AB6765"/>
    <w:rsid w:val="00AF188F"/>
    <w:rsid w:val="00AF422C"/>
    <w:rsid w:val="00B02532"/>
    <w:rsid w:val="00B05BA9"/>
    <w:rsid w:val="00B1075E"/>
    <w:rsid w:val="00B218DD"/>
    <w:rsid w:val="00B26E95"/>
    <w:rsid w:val="00B35A45"/>
    <w:rsid w:val="00B36565"/>
    <w:rsid w:val="00B442B9"/>
    <w:rsid w:val="00B63060"/>
    <w:rsid w:val="00B82173"/>
    <w:rsid w:val="00BA1CAD"/>
    <w:rsid w:val="00BA6115"/>
    <w:rsid w:val="00BB55BC"/>
    <w:rsid w:val="00BC30F4"/>
    <w:rsid w:val="00BC5C83"/>
    <w:rsid w:val="00BD365E"/>
    <w:rsid w:val="00BD6FF4"/>
    <w:rsid w:val="00BE41C1"/>
    <w:rsid w:val="00BF3B30"/>
    <w:rsid w:val="00BF6AC2"/>
    <w:rsid w:val="00C12089"/>
    <w:rsid w:val="00C15FFA"/>
    <w:rsid w:val="00C36D30"/>
    <w:rsid w:val="00C44344"/>
    <w:rsid w:val="00C50B8A"/>
    <w:rsid w:val="00C51216"/>
    <w:rsid w:val="00C5258D"/>
    <w:rsid w:val="00C612B7"/>
    <w:rsid w:val="00C92C2A"/>
    <w:rsid w:val="00C97AD6"/>
    <w:rsid w:val="00CA3B38"/>
    <w:rsid w:val="00CB582D"/>
    <w:rsid w:val="00CC3BF1"/>
    <w:rsid w:val="00CD102E"/>
    <w:rsid w:val="00CD4A0E"/>
    <w:rsid w:val="00CE0A95"/>
    <w:rsid w:val="00CF1686"/>
    <w:rsid w:val="00D01D8E"/>
    <w:rsid w:val="00D01DD3"/>
    <w:rsid w:val="00D604E3"/>
    <w:rsid w:val="00D60A71"/>
    <w:rsid w:val="00D720B4"/>
    <w:rsid w:val="00D872C5"/>
    <w:rsid w:val="00DB522F"/>
    <w:rsid w:val="00DD55F1"/>
    <w:rsid w:val="00DE2594"/>
    <w:rsid w:val="00DE61CC"/>
    <w:rsid w:val="00E0419B"/>
    <w:rsid w:val="00E14828"/>
    <w:rsid w:val="00E426AD"/>
    <w:rsid w:val="00E51A0B"/>
    <w:rsid w:val="00E5752E"/>
    <w:rsid w:val="00E61229"/>
    <w:rsid w:val="00E62DF2"/>
    <w:rsid w:val="00E73162"/>
    <w:rsid w:val="00E7629F"/>
    <w:rsid w:val="00E84EB6"/>
    <w:rsid w:val="00E92833"/>
    <w:rsid w:val="00E96136"/>
    <w:rsid w:val="00EA5FE3"/>
    <w:rsid w:val="00EC73F1"/>
    <w:rsid w:val="00EE27EC"/>
    <w:rsid w:val="00EF34C3"/>
    <w:rsid w:val="00EF590A"/>
    <w:rsid w:val="00F01706"/>
    <w:rsid w:val="00F05D12"/>
    <w:rsid w:val="00F123F9"/>
    <w:rsid w:val="00F208D0"/>
    <w:rsid w:val="00F279BE"/>
    <w:rsid w:val="00F41D7A"/>
    <w:rsid w:val="00F85DB8"/>
    <w:rsid w:val="00F95BC3"/>
    <w:rsid w:val="00FB666D"/>
    <w:rsid w:val="00FC32C1"/>
    <w:rsid w:val="00FC5D90"/>
    <w:rsid w:val="00FD3633"/>
    <w:rsid w:val="00FE265B"/>
    <w:rsid w:val="00FE3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EBDEAA2"/>
  <w15:chartTrackingRefBased/>
  <w15:docId w15:val="{A18B2901-6FB5-234F-8985-3C36D46F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628"/>
    <w:pPr>
      <w:ind w:left="720"/>
      <w:contextualSpacing/>
    </w:pPr>
  </w:style>
  <w:style w:type="paragraph" w:styleId="Footer">
    <w:name w:val="footer"/>
    <w:basedOn w:val="Normal"/>
    <w:link w:val="FooterChar"/>
    <w:uiPriority w:val="99"/>
    <w:unhideWhenUsed/>
    <w:rsid w:val="009D2F2E"/>
    <w:pPr>
      <w:tabs>
        <w:tab w:val="center" w:pos="4513"/>
        <w:tab w:val="right" w:pos="9026"/>
      </w:tabs>
    </w:pPr>
  </w:style>
  <w:style w:type="character" w:customStyle="1" w:styleId="FooterChar">
    <w:name w:val="Footer Char"/>
    <w:basedOn w:val="DefaultParagraphFont"/>
    <w:link w:val="Footer"/>
    <w:uiPriority w:val="99"/>
    <w:rsid w:val="009D2F2E"/>
  </w:style>
  <w:style w:type="character" w:styleId="PageNumber">
    <w:name w:val="page number"/>
    <w:basedOn w:val="DefaultParagraphFont"/>
    <w:uiPriority w:val="99"/>
    <w:semiHidden/>
    <w:unhideWhenUsed/>
    <w:rsid w:val="009D2F2E"/>
  </w:style>
  <w:style w:type="paragraph" w:styleId="Header">
    <w:name w:val="header"/>
    <w:basedOn w:val="Normal"/>
    <w:link w:val="HeaderChar"/>
    <w:uiPriority w:val="99"/>
    <w:unhideWhenUsed/>
    <w:rsid w:val="00E0419B"/>
    <w:pPr>
      <w:tabs>
        <w:tab w:val="center" w:pos="4513"/>
        <w:tab w:val="right" w:pos="9026"/>
      </w:tabs>
    </w:pPr>
  </w:style>
  <w:style w:type="character" w:customStyle="1" w:styleId="HeaderChar">
    <w:name w:val="Header Char"/>
    <w:basedOn w:val="DefaultParagraphFont"/>
    <w:link w:val="Header"/>
    <w:uiPriority w:val="99"/>
    <w:rsid w:val="00E04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8</Pages>
  <Words>1716</Words>
  <Characters>9784</Characters>
  <Application>Microsoft Office Word</Application>
  <DocSecurity>0</DocSecurity>
  <Lines>81</Lines>
  <Paragraphs>22</Paragraphs>
  <ScaleCrop>false</ScaleCrop>
  <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klinkert</dc:creator>
  <cp:keywords/>
  <dc:description/>
  <cp:lastModifiedBy>Klinkert, Victoria</cp:lastModifiedBy>
  <cp:revision>215</cp:revision>
  <dcterms:created xsi:type="dcterms:W3CDTF">2025-06-06T12:24:00Z</dcterms:created>
  <dcterms:modified xsi:type="dcterms:W3CDTF">2025-11-05T10:41:00Z</dcterms:modified>
</cp:coreProperties>
</file>