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EAAD6" w14:textId="193BA274" w:rsidR="00151DC1" w:rsidRDefault="000903D1" w:rsidP="00FF4E93">
      <w:pPr>
        <w:pStyle w:val="Title"/>
        <w:rPr>
          <w:rFonts w:ascii="Times New Roman" w:hAnsi="Times New Roman" w:cs="Times New Roman"/>
          <w:lang w:eastAsia="de-AT"/>
        </w:rPr>
      </w:pPr>
      <w:r w:rsidRPr="00FF4E93">
        <w:rPr>
          <w:rFonts w:ascii="Times New Roman" w:hAnsi="Times New Roman" w:cs="Times New Roman"/>
          <w:lang w:eastAsia="de-AT"/>
        </w:rPr>
        <w:t xml:space="preserve">Business </w:t>
      </w:r>
      <w:r w:rsidR="004222CC">
        <w:rPr>
          <w:rFonts w:ascii="Times New Roman" w:hAnsi="Times New Roman" w:cs="Times New Roman"/>
          <w:lang w:eastAsia="de-AT"/>
        </w:rPr>
        <w:t>M</w:t>
      </w:r>
      <w:r w:rsidRPr="00FF4E93">
        <w:rPr>
          <w:rFonts w:ascii="Times New Roman" w:hAnsi="Times New Roman" w:cs="Times New Roman"/>
          <w:lang w:eastAsia="de-AT"/>
        </w:rPr>
        <w:t xml:space="preserve">odel </w:t>
      </w:r>
      <w:r w:rsidR="004222CC">
        <w:rPr>
          <w:rFonts w:ascii="Times New Roman" w:hAnsi="Times New Roman" w:cs="Times New Roman"/>
          <w:lang w:eastAsia="de-AT"/>
        </w:rPr>
        <w:t>C</w:t>
      </w:r>
      <w:r w:rsidRPr="00FF4E93">
        <w:rPr>
          <w:rFonts w:ascii="Times New Roman" w:hAnsi="Times New Roman" w:cs="Times New Roman"/>
          <w:lang w:eastAsia="de-AT"/>
        </w:rPr>
        <w:t xml:space="preserve">onfigurations for </w:t>
      </w:r>
      <w:r w:rsidR="004222CC">
        <w:rPr>
          <w:rFonts w:ascii="Times New Roman" w:hAnsi="Times New Roman" w:cs="Times New Roman"/>
          <w:lang w:eastAsia="de-AT"/>
        </w:rPr>
        <w:t>H</w:t>
      </w:r>
      <w:r w:rsidRPr="00FF4E93">
        <w:rPr>
          <w:rFonts w:ascii="Times New Roman" w:hAnsi="Times New Roman" w:cs="Times New Roman"/>
          <w:lang w:eastAsia="de-AT"/>
        </w:rPr>
        <w:t xml:space="preserve">igh </w:t>
      </w:r>
      <w:r w:rsidR="004222CC">
        <w:rPr>
          <w:rFonts w:ascii="Times New Roman" w:hAnsi="Times New Roman" w:cs="Times New Roman"/>
          <w:lang w:eastAsia="de-AT"/>
        </w:rPr>
        <w:t>P</w:t>
      </w:r>
      <w:r w:rsidRPr="00FF4E93">
        <w:rPr>
          <w:rFonts w:ascii="Times New Roman" w:hAnsi="Times New Roman" w:cs="Times New Roman"/>
          <w:lang w:eastAsia="de-AT"/>
        </w:rPr>
        <w:t>erformance</w:t>
      </w:r>
      <w:bookmarkStart w:id="0" w:name="_GoBack"/>
      <w:bookmarkEnd w:id="0"/>
    </w:p>
    <w:p w14:paraId="43777908" w14:textId="77777777" w:rsidR="00FF4E93" w:rsidRPr="00FF4E93" w:rsidRDefault="00FF4E93" w:rsidP="00FF4E93">
      <w:pPr>
        <w:rPr>
          <w:sz w:val="6"/>
          <w:lang w:eastAsia="de-AT"/>
        </w:rPr>
      </w:pPr>
    </w:p>
    <w:p w14:paraId="5BB9B146" w14:textId="77777777" w:rsidR="00FF4E93" w:rsidRPr="00FF4E93" w:rsidRDefault="00FF4E93" w:rsidP="00FF4E93">
      <w:pPr>
        <w:spacing w:before="0" w:after="0" w:line="240" w:lineRule="auto"/>
        <w:jc w:val="left"/>
        <w:rPr>
          <w:rFonts w:eastAsia="Times New Roman"/>
          <w:b/>
          <w:sz w:val="26"/>
          <w:szCs w:val="26"/>
          <w:lang w:val="en-US" w:eastAsia="en-US"/>
        </w:rPr>
      </w:pPr>
      <w:r w:rsidRPr="00FF4E93">
        <w:rPr>
          <w:rFonts w:eastAsia="Times New Roman"/>
          <w:b/>
          <w:color w:val="000000"/>
          <w:sz w:val="26"/>
          <w:szCs w:val="26"/>
          <w:lang w:val="en-US" w:eastAsia="en-US"/>
        </w:rPr>
        <w:t xml:space="preserve">Moellers, T.; </w:t>
      </w:r>
      <w:proofErr w:type="spellStart"/>
      <w:r w:rsidRPr="00FF4E93">
        <w:rPr>
          <w:rFonts w:eastAsia="Times New Roman"/>
          <w:b/>
          <w:color w:val="000000"/>
          <w:sz w:val="26"/>
          <w:szCs w:val="26"/>
          <w:lang w:val="en-US" w:eastAsia="en-US"/>
        </w:rPr>
        <w:t>Visini</w:t>
      </w:r>
      <w:proofErr w:type="spellEnd"/>
      <w:r w:rsidRPr="00FF4E93">
        <w:rPr>
          <w:rFonts w:eastAsia="Times New Roman"/>
          <w:b/>
          <w:color w:val="000000"/>
          <w:sz w:val="26"/>
          <w:szCs w:val="26"/>
          <w:lang w:val="en-US" w:eastAsia="en-US"/>
        </w:rPr>
        <w:t xml:space="preserve">, C.; Gassmann, P.; </w:t>
      </w:r>
      <w:proofErr w:type="spellStart"/>
      <w:r w:rsidRPr="00FF4E93">
        <w:rPr>
          <w:rFonts w:eastAsia="Times New Roman"/>
          <w:b/>
          <w:color w:val="000000"/>
          <w:sz w:val="26"/>
          <w:szCs w:val="26"/>
          <w:lang w:val="en-US" w:eastAsia="en-US"/>
        </w:rPr>
        <w:t>Haldimann</w:t>
      </w:r>
      <w:proofErr w:type="spellEnd"/>
      <w:r w:rsidRPr="00FF4E93">
        <w:rPr>
          <w:rFonts w:eastAsia="Times New Roman"/>
          <w:b/>
          <w:color w:val="000000"/>
          <w:sz w:val="26"/>
          <w:szCs w:val="26"/>
          <w:lang w:val="en-US" w:eastAsia="en-US"/>
        </w:rPr>
        <w:t>, M.; Gassmann, O.</w:t>
      </w:r>
    </w:p>
    <w:p w14:paraId="447CBAEB" w14:textId="596AF9E0" w:rsidR="00151DC1" w:rsidRDefault="00151DC1" w:rsidP="00151DC1">
      <w:pPr>
        <w:spacing w:before="0" w:after="0" w:line="240" w:lineRule="auto"/>
        <w:rPr>
          <w:rFonts w:eastAsia="Times New Roman"/>
        </w:rPr>
      </w:pPr>
    </w:p>
    <w:p w14:paraId="7800FBA2" w14:textId="77777777" w:rsidR="00FF4E93" w:rsidRPr="00FF4E93" w:rsidRDefault="00FF4E93" w:rsidP="00151DC1">
      <w:pPr>
        <w:spacing w:before="0" w:after="0" w:line="240" w:lineRule="auto"/>
        <w:rPr>
          <w:rFonts w:eastAsia="Times New Roman"/>
        </w:rPr>
      </w:pPr>
    </w:p>
    <w:p w14:paraId="4586DCB0" w14:textId="77777777" w:rsidR="00283132" w:rsidRPr="00FF4E93" w:rsidRDefault="00283132" w:rsidP="00283132">
      <w:pPr>
        <w:rPr>
          <w:color w:val="000000" w:themeColor="text1"/>
          <w:sz w:val="28"/>
          <w:lang w:eastAsia="de-AT"/>
        </w:rPr>
      </w:pPr>
      <w:r w:rsidRPr="00FF4E93">
        <w:rPr>
          <w:b/>
          <w:color w:val="000000" w:themeColor="text1"/>
          <w:sz w:val="28"/>
          <w:lang w:eastAsia="de-AT"/>
        </w:rPr>
        <w:t>Note</w:t>
      </w:r>
      <w:r w:rsidRPr="00FF4E93">
        <w:rPr>
          <w:color w:val="000000" w:themeColor="text1"/>
          <w:sz w:val="28"/>
          <w:lang w:eastAsia="de-AT"/>
        </w:rPr>
        <w:t xml:space="preserve">: We have created a website for this paper where parts of the underlying data can be interactively explored. This website substitutes a static appendix. It can be accessed at </w:t>
      </w:r>
      <w:r w:rsidRPr="00FF4E93">
        <w:rPr>
          <w:i/>
          <w:color w:val="000000" w:themeColor="text1"/>
          <w:sz w:val="28"/>
          <w:lang w:eastAsia="de-AT"/>
        </w:rPr>
        <w:t>http://54.76.155.222/bmp-paper/</w:t>
      </w:r>
      <w:r w:rsidRPr="00FF4E93">
        <w:rPr>
          <w:color w:val="000000" w:themeColor="text1"/>
          <w:sz w:val="28"/>
          <w:lang w:eastAsia="de-AT"/>
        </w:rPr>
        <w:t xml:space="preserve"> until August 1, 2019.</w:t>
      </w:r>
    </w:p>
    <w:p w14:paraId="44EAC669" w14:textId="77777777" w:rsidR="00151DC1" w:rsidRPr="00FF4E93" w:rsidRDefault="00151DC1" w:rsidP="00151DC1">
      <w:pPr>
        <w:spacing w:after="0"/>
        <w:rPr>
          <w:rFonts w:eastAsia="Times New Roman"/>
          <w:color w:val="000000"/>
          <w:sz w:val="26"/>
          <w:lang w:eastAsia="de-AT"/>
        </w:rPr>
      </w:pPr>
    </w:p>
    <w:p w14:paraId="7DCA8089" w14:textId="77777777" w:rsidR="00151DC1" w:rsidRPr="00FF4E93" w:rsidRDefault="00151DC1" w:rsidP="00151DC1">
      <w:pPr>
        <w:spacing w:line="240" w:lineRule="auto"/>
        <w:rPr>
          <w:rFonts w:eastAsia="Times New Roman"/>
          <w:b/>
          <w:sz w:val="26"/>
        </w:rPr>
      </w:pPr>
      <w:r w:rsidRPr="00FF4E93">
        <w:rPr>
          <w:rFonts w:eastAsia="Times New Roman"/>
          <w:b/>
          <w:sz w:val="26"/>
        </w:rPr>
        <w:t xml:space="preserve">Abstract </w:t>
      </w:r>
    </w:p>
    <w:p w14:paraId="5CB1F22B" w14:textId="700A424B" w:rsidR="00151DC1" w:rsidRPr="00FF4E93" w:rsidRDefault="00D231CD" w:rsidP="00151DC1">
      <w:pPr>
        <w:spacing w:after="0"/>
        <w:rPr>
          <w:rFonts w:eastAsia="Times New Roman"/>
          <w:sz w:val="26"/>
        </w:rPr>
      </w:pPr>
      <w:r w:rsidRPr="00FF4E93">
        <w:rPr>
          <w:rFonts w:eastAsia="Times New Roman"/>
          <w:sz w:val="26"/>
        </w:rPr>
        <w:t>The design of their business models is decisive for the market success of entrepreneurial ventures attempting to commercialize an emerging technology.</w:t>
      </w:r>
      <w:r w:rsidR="00151DC1" w:rsidRPr="00FF4E93">
        <w:rPr>
          <w:rFonts w:eastAsia="Times New Roman"/>
          <w:sz w:val="26"/>
        </w:rPr>
        <w:t xml:space="preserve"> Growing evidence suggests that entrepreneurs can draw on a series of proven mechanisms, business model patterns, for business model innovation. Yet, these patterns typically only cover individual parts of a complete business model, and few have been examined in relation to start-up success. As a result, little  is known about how patterns are successfully combined for commercializing technological innovation. In this study of 730 business models from the artificial intelligence, drones, and augmented/virtual reality industry, we probe how highly successful entrepreneurial ventures combine patterns into consistent business models. Unexpectedly, we identify configurations, which are based on only three elementary patterns, i.e. </w:t>
      </w:r>
      <w:r w:rsidR="00151DC1" w:rsidRPr="00FF4E93">
        <w:rPr>
          <w:rFonts w:eastAsia="Times New Roman"/>
          <w:i/>
          <w:sz w:val="26"/>
        </w:rPr>
        <w:t xml:space="preserve">Layer Player, Open Business Model, </w:t>
      </w:r>
      <w:r w:rsidR="00151DC1" w:rsidRPr="00FF4E93">
        <w:rPr>
          <w:rFonts w:eastAsia="Times New Roman"/>
          <w:sz w:val="26"/>
        </w:rPr>
        <w:t>and</w:t>
      </w:r>
      <w:r w:rsidR="00151DC1" w:rsidRPr="00FF4E93">
        <w:rPr>
          <w:rFonts w:eastAsia="Times New Roman"/>
          <w:i/>
          <w:sz w:val="26"/>
        </w:rPr>
        <w:t xml:space="preserve"> Solution Provider</w:t>
      </w:r>
      <w:r w:rsidR="00151DC1" w:rsidRPr="00FF4E93">
        <w:rPr>
          <w:rFonts w:eastAsia="Times New Roman"/>
          <w:sz w:val="26"/>
        </w:rPr>
        <w:t xml:space="preserve"> and a limited number of complementary patterns to form distinct variants. Our emergent theory hence builds on three dominant business model configurations that exist across different technology domains. We thereby contribute to theoretical concepts on business models and open innovation. Knowledge on these configurations and their variants can enable practitioners to better leverage business model patterns for systematic business model innovation.</w:t>
      </w:r>
    </w:p>
    <w:p w14:paraId="31A432C4" w14:textId="77777777" w:rsidR="00151DC1" w:rsidRPr="00FF4E93" w:rsidRDefault="00151DC1" w:rsidP="00151DC1">
      <w:pPr>
        <w:spacing w:after="0"/>
        <w:rPr>
          <w:rFonts w:eastAsia="Times New Roman"/>
          <w:color w:val="000000"/>
          <w:sz w:val="26"/>
          <w:lang w:eastAsia="de-AT"/>
        </w:rPr>
      </w:pPr>
      <w:r w:rsidRPr="00FF4E93">
        <w:rPr>
          <w:rFonts w:eastAsia="Times New Roman"/>
          <w:sz w:val="26"/>
        </w:rPr>
        <w:t>Keywords: Business model innovation, business model pattern, technology ventures</w:t>
      </w:r>
    </w:p>
    <w:p w14:paraId="033C4633" w14:textId="77777777" w:rsidR="00151DC1" w:rsidRPr="00FF4E93" w:rsidRDefault="00151DC1" w:rsidP="00151DC1">
      <w:pPr>
        <w:spacing w:before="0" w:after="0" w:line="240" w:lineRule="auto"/>
        <w:jc w:val="left"/>
        <w:rPr>
          <w:rFonts w:eastAsia="Times New Roman"/>
          <w:color w:val="000000"/>
          <w:sz w:val="26"/>
          <w:lang w:eastAsia="de-AT"/>
        </w:rPr>
      </w:pPr>
      <w:r w:rsidRPr="00FF4E93">
        <w:rPr>
          <w:rFonts w:eastAsia="Times New Roman"/>
          <w:color w:val="000000"/>
          <w:sz w:val="26"/>
          <w:lang w:eastAsia="de-AT"/>
        </w:rPr>
        <w:br w:type="page"/>
      </w:r>
    </w:p>
    <w:p w14:paraId="3A5DC076" w14:textId="77777777" w:rsidR="00151DC1" w:rsidRPr="00FF4E93" w:rsidRDefault="00151DC1" w:rsidP="00151DC1">
      <w:pPr>
        <w:pStyle w:val="Heading1"/>
        <w:rPr>
          <w:rFonts w:cs="Times New Roman"/>
          <w:lang w:eastAsia="de-AT"/>
        </w:rPr>
      </w:pPr>
      <w:bookmarkStart w:id="1" w:name="_Toc536101275"/>
      <w:r w:rsidRPr="00FF4E93">
        <w:rPr>
          <w:rFonts w:cs="Times New Roman"/>
          <w:lang w:eastAsia="de-AT"/>
        </w:rPr>
        <w:lastRenderedPageBreak/>
        <w:t>Introduction</w:t>
      </w:r>
      <w:bookmarkEnd w:id="1"/>
    </w:p>
    <w:p w14:paraId="39AD2F9C" w14:textId="77777777" w:rsidR="00151DC1" w:rsidRPr="00FF4E93" w:rsidRDefault="00151DC1" w:rsidP="00151DC1">
      <w:pPr>
        <w:spacing w:after="0"/>
        <w:rPr>
          <w:rFonts w:eastAsia="Times New Roman"/>
          <w:sz w:val="26"/>
        </w:rPr>
      </w:pPr>
      <w:r w:rsidRPr="00FF4E93">
        <w:rPr>
          <w:rFonts w:eastAsia="Times New Roman"/>
          <w:sz w:val="26"/>
          <w:shd w:val="clear" w:color="auto" w:fill="FFFFFF"/>
        </w:rPr>
        <w:t>The emergence of new technologies represents one of the fundamental drivers for new venture formation. Despite disadvantages in terms of size, process maturity, or reputation, entrepreneurial ventures often manage to outcompete incumbents (Williamson, 2010). It is the development of innovative business models through which these firms change the competitive landscape and achieve superior financial performance when commercializing those technologies (Chesbrough, 2010, 2012).</w:t>
      </w:r>
    </w:p>
    <w:p w14:paraId="44083BC1" w14:textId="77777777" w:rsidR="00151DC1" w:rsidRPr="00FF4E93" w:rsidRDefault="00151DC1" w:rsidP="00151DC1">
      <w:pPr>
        <w:spacing w:after="0"/>
        <w:rPr>
          <w:rFonts w:eastAsia="Times New Roman"/>
          <w:sz w:val="26"/>
          <w:shd w:val="clear" w:color="auto" w:fill="FFFFFF"/>
        </w:rPr>
      </w:pPr>
      <w:r w:rsidRPr="00FF4E93">
        <w:rPr>
          <w:rFonts w:eastAsia="Times New Roman"/>
          <w:sz w:val="26"/>
          <w:shd w:val="clear" w:color="auto" w:fill="FFFFFF"/>
        </w:rPr>
        <w:t>A business model represents the fundamental logic through which firms create and capture value (Chesbrough, 2007). As a model (Baden-Fuller &amp; Morgan, 2010) it represents a simplified version of operational reality and defines the essential mechanisms that explain this logic (</w:t>
      </w:r>
      <w:proofErr w:type="spellStart"/>
      <w:r w:rsidRPr="00FF4E93">
        <w:rPr>
          <w:rFonts w:eastAsia="Times New Roman"/>
          <w:sz w:val="26"/>
          <w:shd w:val="clear" w:color="auto" w:fill="FFFFFF"/>
        </w:rPr>
        <w:t>Abdelkafi</w:t>
      </w:r>
      <w:proofErr w:type="spellEnd"/>
      <w:r w:rsidRPr="00FF4E93">
        <w:rPr>
          <w:rFonts w:eastAsia="Times New Roman"/>
          <w:sz w:val="26"/>
          <w:shd w:val="clear" w:color="auto" w:fill="FFFFFF"/>
        </w:rPr>
        <w:t xml:space="preserve">, </w:t>
      </w:r>
      <w:proofErr w:type="spellStart"/>
      <w:r w:rsidRPr="00FF4E93">
        <w:rPr>
          <w:rFonts w:eastAsia="Times New Roman"/>
          <w:sz w:val="26"/>
          <w:shd w:val="clear" w:color="auto" w:fill="FFFFFF"/>
        </w:rPr>
        <w:t>Makhotin</w:t>
      </w:r>
      <w:proofErr w:type="spellEnd"/>
      <w:r w:rsidRPr="00FF4E93">
        <w:rPr>
          <w:rFonts w:eastAsia="Times New Roman"/>
          <w:sz w:val="26"/>
          <w:shd w:val="clear" w:color="auto" w:fill="FFFFFF"/>
        </w:rPr>
        <w:t xml:space="preserve">, &amp; </w:t>
      </w:r>
      <w:proofErr w:type="spellStart"/>
      <w:r w:rsidRPr="00FF4E93">
        <w:rPr>
          <w:rFonts w:eastAsia="Times New Roman"/>
          <w:sz w:val="26"/>
          <w:shd w:val="clear" w:color="auto" w:fill="FFFFFF"/>
        </w:rPr>
        <w:t>Posselt</w:t>
      </w:r>
      <w:proofErr w:type="spellEnd"/>
      <w:r w:rsidRPr="00FF4E93">
        <w:rPr>
          <w:rFonts w:eastAsia="Times New Roman"/>
          <w:sz w:val="26"/>
          <w:shd w:val="clear" w:color="auto" w:fill="FFFFFF"/>
        </w:rPr>
        <w:t xml:space="preserve">, 2013; Massa, Tucci, &amp; </w:t>
      </w:r>
      <w:proofErr w:type="spellStart"/>
      <w:r w:rsidRPr="00FF4E93">
        <w:rPr>
          <w:rFonts w:eastAsia="Times New Roman"/>
          <w:sz w:val="26"/>
          <w:shd w:val="clear" w:color="auto" w:fill="FFFFFF"/>
        </w:rPr>
        <w:t>Afuah</w:t>
      </w:r>
      <w:proofErr w:type="spellEnd"/>
      <w:r w:rsidRPr="00FF4E93">
        <w:rPr>
          <w:rFonts w:eastAsia="Times New Roman"/>
          <w:sz w:val="26"/>
          <w:shd w:val="clear" w:color="auto" w:fill="FFFFFF"/>
        </w:rPr>
        <w:t xml:space="preserve">, 2016). Interestingly, a business model as a model is often not unique. Various scholars have illustrated the possibility for ventures to </w:t>
      </w:r>
      <w:r w:rsidRPr="00FF4E93">
        <w:rPr>
          <w:rFonts w:eastAsia="Times New Roman"/>
          <w:i/>
          <w:iCs/>
          <w:sz w:val="26"/>
          <w:shd w:val="clear" w:color="auto" w:fill="FFFFFF"/>
        </w:rPr>
        <w:t xml:space="preserve">transfer </w:t>
      </w:r>
      <w:r w:rsidRPr="00FF4E93">
        <w:rPr>
          <w:rFonts w:eastAsia="Times New Roman"/>
          <w:sz w:val="26"/>
          <w:shd w:val="clear" w:color="auto" w:fill="FFFFFF"/>
        </w:rPr>
        <w:t>(Teece, 2010)</w:t>
      </w:r>
      <w:r w:rsidRPr="00FF4E93">
        <w:rPr>
          <w:rFonts w:eastAsia="Times New Roman"/>
          <w:i/>
          <w:iCs/>
          <w:sz w:val="26"/>
          <w:shd w:val="clear" w:color="auto" w:fill="FFFFFF"/>
        </w:rPr>
        <w:t xml:space="preserve">, adopt </w:t>
      </w:r>
      <w:r w:rsidRPr="00FF4E93">
        <w:rPr>
          <w:rFonts w:eastAsia="Times New Roman"/>
          <w:sz w:val="26"/>
          <w:shd w:val="clear" w:color="auto" w:fill="FFFFFF"/>
        </w:rPr>
        <w:t xml:space="preserve">(Rumble &amp; </w:t>
      </w:r>
      <w:proofErr w:type="spellStart"/>
      <w:r w:rsidRPr="00FF4E93">
        <w:rPr>
          <w:rFonts w:eastAsia="Times New Roman"/>
          <w:sz w:val="26"/>
          <w:shd w:val="clear" w:color="auto" w:fill="FFFFFF"/>
        </w:rPr>
        <w:t>Mangematin</w:t>
      </w:r>
      <w:proofErr w:type="spellEnd"/>
      <w:r w:rsidRPr="00FF4E93">
        <w:rPr>
          <w:rFonts w:eastAsia="Times New Roman"/>
          <w:sz w:val="26"/>
          <w:shd w:val="clear" w:color="auto" w:fill="FFFFFF"/>
        </w:rPr>
        <w:t>, 2015)</w:t>
      </w:r>
      <w:r w:rsidRPr="00FF4E93">
        <w:rPr>
          <w:rFonts w:eastAsia="Times New Roman"/>
          <w:i/>
          <w:iCs/>
          <w:sz w:val="26"/>
          <w:shd w:val="clear" w:color="auto" w:fill="FFFFFF"/>
        </w:rPr>
        <w:t xml:space="preserve">, replicate </w:t>
      </w:r>
      <w:r w:rsidRPr="00FF4E93">
        <w:rPr>
          <w:rFonts w:eastAsia="Times New Roman"/>
          <w:sz w:val="26"/>
          <w:shd w:val="clear" w:color="auto" w:fill="FFFFFF"/>
        </w:rPr>
        <w:t>(</w:t>
      </w:r>
      <w:proofErr w:type="spellStart"/>
      <w:r w:rsidRPr="00FF4E93">
        <w:rPr>
          <w:rFonts w:eastAsia="Times New Roman"/>
          <w:sz w:val="26"/>
          <w:shd w:val="clear" w:color="auto" w:fill="FFFFFF"/>
        </w:rPr>
        <w:t>Doganova</w:t>
      </w:r>
      <w:proofErr w:type="spellEnd"/>
      <w:r w:rsidRPr="00FF4E93">
        <w:rPr>
          <w:rFonts w:eastAsia="Times New Roman"/>
          <w:sz w:val="26"/>
          <w:shd w:val="clear" w:color="auto" w:fill="FFFFFF"/>
        </w:rPr>
        <w:t xml:space="preserve"> &amp; Eyquem-Renault, 2009)</w:t>
      </w:r>
      <w:r w:rsidRPr="00FF4E93">
        <w:rPr>
          <w:rFonts w:eastAsia="Times New Roman"/>
          <w:i/>
          <w:iCs/>
          <w:sz w:val="26"/>
          <w:shd w:val="clear" w:color="auto" w:fill="FFFFFF"/>
        </w:rPr>
        <w:t xml:space="preserve">, </w:t>
      </w:r>
      <w:r w:rsidRPr="00FF4E93">
        <w:rPr>
          <w:rFonts w:eastAsia="Times New Roman"/>
          <w:sz w:val="26"/>
          <w:shd w:val="clear" w:color="auto" w:fill="FFFFFF"/>
        </w:rPr>
        <w:t>or</w:t>
      </w:r>
      <w:r w:rsidRPr="00FF4E93">
        <w:rPr>
          <w:rFonts w:eastAsia="Times New Roman"/>
          <w:i/>
          <w:iCs/>
          <w:sz w:val="26"/>
          <w:shd w:val="clear" w:color="auto" w:fill="FFFFFF"/>
        </w:rPr>
        <w:t xml:space="preserve"> imitate </w:t>
      </w:r>
      <w:r w:rsidRPr="00FF4E93">
        <w:rPr>
          <w:rFonts w:eastAsia="Times New Roman"/>
          <w:sz w:val="26"/>
          <w:shd w:val="clear" w:color="auto" w:fill="FFFFFF"/>
        </w:rPr>
        <w:t>(</w:t>
      </w:r>
      <w:proofErr w:type="spellStart"/>
      <w:r w:rsidRPr="00FF4E93">
        <w:rPr>
          <w:rFonts w:eastAsia="Times New Roman"/>
          <w:sz w:val="26"/>
          <w:shd w:val="clear" w:color="auto" w:fill="FFFFFF"/>
        </w:rPr>
        <w:t>Casadesus-Masanell</w:t>
      </w:r>
      <w:proofErr w:type="spellEnd"/>
      <w:r w:rsidRPr="00FF4E93">
        <w:rPr>
          <w:rFonts w:eastAsia="Times New Roman"/>
          <w:sz w:val="26"/>
          <w:shd w:val="clear" w:color="auto" w:fill="FFFFFF"/>
        </w:rPr>
        <w:t xml:space="preserve"> &amp; Zhu, 2013) business models through controlled mental operations leveraging knowledge about concepts and relations among them from other domains (Martins, </w:t>
      </w:r>
      <w:proofErr w:type="spellStart"/>
      <w:r w:rsidRPr="00FF4E93">
        <w:rPr>
          <w:rFonts w:eastAsia="Times New Roman"/>
          <w:sz w:val="26"/>
          <w:shd w:val="clear" w:color="auto" w:fill="FFFFFF"/>
        </w:rPr>
        <w:t>Rindova</w:t>
      </w:r>
      <w:proofErr w:type="spellEnd"/>
      <w:r w:rsidRPr="00FF4E93">
        <w:rPr>
          <w:rFonts w:eastAsia="Times New Roman"/>
          <w:sz w:val="26"/>
          <w:shd w:val="clear" w:color="auto" w:fill="FFFFFF"/>
        </w:rPr>
        <w:t xml:space="preserve">, &amp; Greenbaum, 2015). Accordingly, Gassmann and colleagues (2016) interpret that a business model essentially represents a recombination of </w:t>
      </w:r>
      <w:r w:rsidRPr="00FF4E93">
        <w:rPr>
          <w:rFonts w:eastAsia="Times New Roman"/>
          <w:i/>
          <w:iCs/>
          <w:sz w:val="26"/>
          <w:shd w:val="clear" w:color="auto" w:fill="FFFFFF"/>
        </w:rPr>
        <w:t>patterns</w:t>
      </w:r>
      <w:r w:rsidRPr="00FF4E93">
        <w:rPr>
          <w:rFonts w:eastAsia="Times New Roman"/>
          <w:sz w:val="26"/>
          <w:shd w:val="clear" w:color="auto" w:fill="FFFFFF"/>
        </w:rPr>
        <w:t xml:space="preserve"> and define the latter as a proven configuration of business model elements.</w:t>
      </w:r>
    </w:p>
    <w:p w14:paraId="0AE92AEA" w14:textId="77777777" w:rsidR="00151DC1" w:rsidRPr="00FF4E93" w:rsidRDefault="00151DC1" w:rsidP="00151DC1">
      <w:pPr>
        <w:spacing w:after="0"/>
        <w:rPr>
          <w:rFonts w:eastAsia="Times New Roman"/>
          <w:sz w:val="26"/>
        </w:rPr>
      </w:pPr>
      <w:r w:rsidRPr="00FF4E93">
        <w:rPr>
          <w:rFonts w:eastAsia="Times New Roman"/>
          <w:sz w:val="26"/>
          <w:shd w:val="clear" w:color="auto" w:fill="FFFFFF"/>
        </w:rPr>
        <w:t xml:space="preserve">Business model patterns have received increased attention among management researchers and practitioners. The majority of works focuses on their identification in the context of particular themes, (e.g., McGrath, 2010) or sectors (e.g., </w:t>
      </w:r>
      <w:proofErr w:type="spellStart"/>
      <w:r w:rsidRPr="00FF4E93">
        <w:rPr>
          <w:rFonts w:eastAsia="Times New Roman"/>
          <w:sz w:val="26"/>
          <w:shd w:val="clear" w:color="auto" w:fill="FFFFFF"/>
        </w:rPr>
        <w:t>Timmers</w:t>
      </w:r>
      <w:proofErr w:type="spellEnd"/>
      <w:r w:rsidRPr="00FF4E93">
        <w:rPr>
          <w:rFonts w:eastAsia="Times New Roman"/>
          <w:sz w:val="26"/>
          <w:shd w:val="clear" w:color="auto" w:fill="FFFFFF"/>
        </w:rPr>
        <w:t>, 1998). Other scholars compile comprehensive, context-independent lists, based on empirical insights (Gassmann et al., 2017) or literature (</w:t>
      </w:r>
      <w:proofErr w:type="spellStart"/>
      <w:r w:rsidRPr="00FF4E93">
        <w:rPr>
          <w:rFonts w:eastAsia="Times New Roman"/>
          <w:sz w:val="26"/>
          <w:shd w:val="clear" w:color="auto" w:fill="FFFFFF"/>
        </w:rPr>
        <w:t>Remane</w:t>
      </w:r>
      <w:proofErr w:type="spellEnd"/>
      <w:r w:rsidRPr="00FF4E93">
        <w:rPr>
          <w:rFonts w:eastAsia="Times New Roman"/>
          <w:sz w:val="26"/>
          <w:shd w:val="clear" w:color="auto" w:fill="FFFFFF"/>
        </w:rPr>
        <w:t xml:space="preserve">, </w:t>
      </w:r>
      <w:proofErr w:type="spellStart"/>
      <w:r w:rsidRPr="00FF4E93">
        <w:rPr>
          <w:rFonts w:eastAsia="Times New Roman"/>
          <w:sz w:val="26"/>
          <w:shd w:val="clear" w:color="auto" w:fill="FFFFFF"/>
        </w:rPr>
        <w:t>Hanelt</w:t>
      </w:r>
      <w:proofErr w:type="spellEnd"/>
      <w:r w:rsidRPr="00FF4E93">
        <w:rPr>
          <w:rFonts w:eastAsia="Times New Roman"/>
          <w:sz w:val="26"/>
          <w:shd w:val="clear" w:color="auto" w:fill="FFFFFF"/>
        </w:rPr>
        <w:t xml:space="preserve">, </w:t>
      </w:r>
      <w:proofErr w:type="spellStart"/>
      <w:r w:rsidRPr="00FF4E93">
        <w:rPr>
          <w:rFonts w:eastAsia="Times New Roman"/>
          <w:sz w:val="26"/>
          <w:shd w:val="clear" w:color="auto" w:fill="FFFFFF"/>
        </w:rPr>
        <w:t>Tesch</w:t>
      </w:r>
      <w:proofErr w:type="spellEnd"/>
      <w:r w:rsidRPr="00FF4E93">
        <w:rPr>
          <w:rFonts w:eastAsia="Times New Roman"/>
          <w:sz w:val="26"/>
          <w:shd w:val="clear" w:color="auto" w:fill="FFFFFF"/>
        </w:rPr>
        <w:t xml:space="preserve">, &amp; Kolbe, 2017). </w:t>
      </w:r>
    </w:p>
    <w:p w14:paraId="2E2017A5" w14:textId="77777777" w:rsidR="00151DC1" w:rsidRPr="00FF4E93" w:rsidRDefault="00151DC1" w:rsidP="00151DC1">
      <w:pPr>
        <w:spacing w:after="0"/>
        <w:rPr>
          <w:rFonts w:eastAsia="Times New Roman"/>
          <w:sz w:val="26"/>
          <w:shd w:val="clear" w:color="auto" w:fill="FFFFFF"/>
        </w:rPr>
      </w:pPr>
      <w:r w:rsidRPr="00FF4E93">
        <w:rPr>
          <w:rFonts w:eastAsia="Times New Roman"/>
          <w:sz w:val="26"/>
          <w:shd w:val="clear" w:color="auto" w:fill="FFFFFF"/>
        </w:rPr>
        <w:t xml:space="preserve">Yet, despite their valuable contribution to understand such configurations of logics for value creation and capture among entrepreneurial firms, important issues remain. First, scholars relating to theories on business model patterns provide actionable insights into transferable mechanisms, but have collectively produced a cognitively overcharging amount of patterns. Although central to their usefulness there exists little empirically grounded understanding on the innovation potential of individual patterns for varying contexts. Second, research lacks empirically robust inferences about the relationship between the content of business model design and firm performance (cfr. Eckhart, 2013). Scholars relating to theories of business model configurations (e.g., Amit &amp; </w:t>
      </w:r>
      <w:proofErr w:type="spellStart"/>
      <w:r w:rsidRPr="00FF4E93">
        <w:rPr>
          <w:rFonts w:eastAsia="Times New Roman"/>
          <w:sz w:val="26"/>
          <w:shd w:val="clear" w:color="auto" w:fill="FFFFFF"/>
        </w:rPr>
        <w:t>Zott</w:t>
      </w:r>
      <w:proofErr w:type="spellEnd"/>
      <w:r w:rsidRPr="00FF4E93">
        <w:rPr>
          <w:rFonts w:eastAsia="Times New Roman"/>
          <w:sz w:val="26"/>
          <w:shd w:val="clear" w:color="auto" w:fill="FFFFFF"/>
        </w:rPr>
        <w:t xml:space="preserve">, 2007; </w:t>
      </w:r>
      <w:proofErr w:type="spellStart"/>
      <w:r w:rsidRPr="00FF4E93">
        <w:rPr>
          <w:rFonts w:eastAsia="Times New Roman"/>
          <w:sz w:val="26"/>
          <w:shd w:val="clear" w:color="auto" w:fill="FFFFFF"/>
        </w:rPr>
        <w:t>Kulins</w:t>
      </w:r>
      <w:proofErr w:type="spellEnd"/>
      <w:r w:rsidRPr="00FF4E93">
        <w:rPr>
          <w:rFonts w:eastAsia="Times New Roman"/>
          <w:sz w:val="26"/>
          <w:shd w:val="clear" w:color="auto" w:fill="FFFFFF"/>
        </w:rPr>
        <w:t xml:space="preserve"> et al., 2016; </w:t>
      </w:r>
      <w:proofErr w:type="spellStart"/>
      <w:r w:rsidRPr="00FF4E93">
        <w:rPr>
          <w:rFonts w:eastAsia="Times New Roman"/>
          <w:sz w:val="26"/>
          <w:shd w:val="clear" w:color="auto" w:fill="FFFFFF"/>
        </w:rPr>
        <w:t>Leppänen</w:t>
      </w:r>
      <w:proofErr w:type="spellEnd"/>
      <w:r w:rsidRPr="00FF4E93">
        <w:rPr>
          <w:rFonts w:eastAsia="Times New Roman"/>
          <w:sz w:val="26"/>
          <w:shd w:val="clear" w:color="auto" w:fill="FFFFFF"/>
        </w:rPr>
        <w:t xml:space="preserve">, 2017) relate business model design to firm performance but do not inquire into business model characteristics, such as patterns that </w:t>
      </w:r>
      <w:r w:rsidRPr="00FF4E93">
        <w:rPr>
          <w:rFonts w:eastAsia="Times New Roman"/>
          <w:sz w:val="26"/>
          <w:shd w:val="clear" w:color="auto" w:fill="FFFFFF"/>
        </w:rPr>
        <w:lastRenderedPageBreak/>
        <w:t xml:space="preserve">would </w:t>
      </w:r>
      <w:r w:rsidRPr="00FF4E93">
        <w:rPr>
          <w:rFonts w:eastAsia="Times New Roman"/>
          <w:i/>
          <w:iCs/>
          <w:sz w:val="26"/>
          <w:shd w:val="clear" w:color="auto" w:fill="FFFFFF"/>
        </w:rPr>
        <w:t xml:space="preserve">“meaningfully capture the complexity of organizational reality” </w:t>
      </w:r>
      <w:r w:rsidRPr="00FF4E93">
        <w:rPr>
          <w:rFonts w:eastAsia="Times New Roman"/>
          <w:sz w:val="26"/>
          <w:shd w:val="clear" w:color="auto" w:fill="FFFFFF"/>
        </w:rPr>
        <w:t>(</w:t>
      </w:r>
      <w:proofErr w:type="spellStart"/>
      <w:r w:rsidRPr="00FF4E93">
        <w:rPr>
          <w:rFonts w:eastAsia="Times New Roman"/>
          <w:sz w:val="26"/>
          <w:shd w:val="clear" w:color="auto" w:fill="FFFFFF"/>
        </w:rPr>
        <w:t>Ketchen</w:t>
      </w:r>
      <w:proofErr w:type="spellEnd"/>
      <w:r w:rsidRPr="00FF4E93">
        <w:rPr>
          <w:rFonts w:eastAsia="Times New Roman"/>
          <w:sz w:val="26"/>
          <w:shd w:val="clear" w:color="auto" w:fill="FFFFFF"/>
        </w:rPr>
        <w:t xml:space="preserve"> &amp; Shook, 1996, p.441). Taken together, these issues highlight the need for a better understanding of business model pattern configurations. </w:t>
      </w:r>
    </w:p>
    <w:p w14:paraId="2037D71B" w14:textId="77777777" w:rsidR="00151DC1" w:rsidRPr="00FF4E93" w:rsidRDefault="00151DC1" w:rsidP="00151DC1">
      <w:pPr>
        <w:spacing w:after="0"/>
        <w:rPr>
          <w:rFonts w:eastAsia="Times New Roman"/>
          <w:sz w:val="26"/>
          <w:shd w:val="clear" w:color="auto" w:fill="FFFFFF"/>
        </w:rPr>
      </w:pPr>
      <w:r w:rsidRPr="00FF4E93">
        <w:rPr>
          <w:rFonts w:eastAsia="Times New Roman"/>
          <w:sz w:val="26"/>
          <w:shd w:val="clear" w:color="auto" w:fill="FFFFFF"/>
        </w:rPr>
        <w:t xml:space="preserve">Through this research we address this research gap by asking </w:t>
      </w:r>
      <w:r w:rsidRPr="00FF4E93">
        <w:rPr>
          <w:rFonts w:eastAsia="Times New Roman"/>
          <w:i/>
          <w:sz w:val="26"/>
        </w:rPr>
        <w:t xml:space="preserve">‘How do entrepreneurial ventures in emerging technology domains create fitness in their business models?’ </w:t>
      </w:r>
      <w:r w:rsidRPr="00FF4E93">
        <w:rPr>
          <w:rFonts w:eastAsia="Times New Roman"/>
          <w:sz w:val="26"/>
          <w:shd w:val="clear" w:color="auto" w:fill="FFFFFF"/>
        </w:rPr>
        <w:t xml:space="preserve">Given the theoretical and empirical limits of prior theories, we opted for a mixed methods, theory-building approach </w:t>
      </w:r>
      <w:r w:rsidRPr="00FF4E93">
        <w:rPr>
          <w:rFonts w:eastAsia="Times New Roman"/>
          <w:sz w:val="26"/>
          <w:shd w:val="clear" w:color="auto" w:fill="FFFFFF"/>
        </w:rPr>
        <w:fldChar w:fldCharType="begin" w:fldLock="1"/>
      </w:r>
      <w:r w:rsidRPr="00FF4E93">
        <w:rPr>
          <w:rFonts w:eastAsia="Times New Roman"/>
          <w:sz w:val="26"/>
          <w:shd w:val="clear" w:color="auto" w:fill="FFFFFF"/>
        </w:rPr>
        <w:instrText>ADDIN CSL_CITATION {"citationItems":[{"id":"ITEM-1","itemData":{"author":[{"dropping-particle":"","family":"Eisenhardt","given":"Kathleen M","non-dropping-particle":"","parse-names":false,"suffix":""}],"container-title":"Academy of Management Review","id":"ITEM-1","issue":"4","issued":{"date-parts":[["1989"]]},"page":"532-550","title":"Building Theories from Case Study Research","type":"article-journal","volume":"14"},"uris":["http://www.mendeley.com/documents/?uuid=0b393c97-7ca8-41ab-aeb7-0e5fd1a4f93e"]},{"id":"ITEM-2","itemData":{"author":[{"dropping-particle":"","family":"Yin","given":"Robert K","non-dropping-particle":"","parse-names":false,"suffix":""}],"edition":"5th","id":"ITEM-2","issued":{"date-parts":[["2014"]]},"publisher":"Sage","publisher-place":"Thousand Oaks, CA","title":"Case Study Research: Design and Methods","type":"book"},"uris":["http://www.mendeley.com/documents/?uuid=a4e200f8-a54b-49a5-828a-21445c0d2b2d"]},{"id":"ITEM-3","itemData":{"author":[{"dropping-particle":"","family":"Creswell","given":"John W.","non-dropping-particle":"","parse-names":false,"suffix":""},{"dropping-particle":"","family":"Plano Clark","given":"Vicki L.","non-dropping-particle":"","parse-names":false,"suffix":""}],"edition":"3rd","id":"ITEM-3","issued":{"date-parts":[["2017"]]},"number-of-pages":"520","publisher":"Sage Publications","publisher-place":"Thousand Oaks, CA","title":"Designing and Conducting Mixed Methods Research","type":"book"},"uris":["http://www.mendeley.com/documents/?uuid=82491925-a1e1-4504-9e0d-bf7c24706e84"]}],"mendeley":{"formattedCitation":"(Creswell &amp; Plano Clark, 2017; Eisenhardt, 1989; Yin, 2014)","plainTextFormattedCitation":"(Creswell &amp; Plano Clark, 2017; Eisenhardt, 1989; Yin, 2014)","previouslyFormattedCitation":"(Creswell &amp; Plano Clark, 2017; Eisenhardt, 1989; Yin, 2014)"},"properties":{"noteIndex":0},"schema":"https://github.com/citation-style-language/schema/raw/master/csl-citation.json"}</w:instrText>
      </w:r>
      <w:r w:rsidRPr="00FF4E93">
        <w:rPr>
          <w:rFonts w:eastAsia="Times New Roman"/>
          <w:sz w:val="26"/>
          <w:shd w:val="clear" w:color="auto" w:fill="FFFFFF"/>
        </w:rPr>
        <w:fldChar w:fldCharType="separate"/>
      </w:r>
      <w:r w:rsidRPr="00FF4E93">
        <w:rPr>
          <w:rFonts w:eastAsia="Times New Roman"/>
          <w:noProof/>
          <w:sz w:val="26"/>
          <w:shd w:val="clear" w:color="auto" w:fill="FFFFFF"/>
        </w:rPr>
        <w:t>(Creswell &amp; Plano Clark, 2017; Eisenhardt, 1989; Yin, 2014)</w:t>
      </w:r>
      <w:r w:rsidRPr="00FF4E93">
        <w:rPr>
          <w:rFonts w:eastAsia="Times New Roman"/>
          <w:sz w:val="26"/>
          <w:shd w:val="clear" w:color="auto" w:fill="FFFFFF"/>
        </w:rPr>
        <w:fldChar w:fldCharType="end"/>
      </w:r>
      <w:r w:rsidRPr="00FF4E93">
        <w:rPr>
          <w:rFonts w:eastAsia="Times New Roman"/>
          <w:sz w:val="26"/>
          <w:shd w:val="clear" w:color="auto" w:fill="FFFFFF"/>
        </w:rPr>
        <w:t>. We therefore quantitatively identify configurations of business model patterns and qualitatively interpret how fitness emerges within these configurations. Our setting is 730 high-performing entrepreneurial ventures, offering us a potentially wide variation of business model configurations that emerged from new technological developments.</w:t>
      </w:r>
    </w:p>
    <w:p w14:paraId="1943E933" w14:textId="57FA4F8F" w:rsidR="00151DC1" w:rsidRPr="00FF4E93" w:rsidRDefault="00151DC1" w:rsidP="00151DC1">
      <w:pPr>
        <w:spacing w:after="0"/>
        <w:rPr>
          <w:rFonts w:eastAsia="Times New Roman"/>
          <w:sz w:val="26"/>
          <w:shd w:val="clear" w:color="auto" w:fill="FFFFFF"/>
        </w:rPr>
      </w:pPr>
      <w:r w:rsidRPr="00FF4E93">
        <w:rPr>
          <w:rFonts w:eastAsia="Times New Roman"/>
          <w:sz w:val="26"/>
          <w:shd w:val="clear" w:color="auto" w:fill="FFFFFF"/>
        </w:rPr>
        <w:t xml:space="preserve">Our study contributes to theory of business models and open innovation. We identify three dominant configurations based on the business model patterns </w:t>
      </w:r>
      <w:r w:rsidRPr="00FF4E93">
        <w:rPr>
          <w:rFonts w:eastAsia="Times New Roman"/>
          <w:i/>
          <w:sz w:val="26"/>
          <w:shd w:val="clear" w:color="auto" w:fill="FFFFFF"/>
        </w:rPr>
        <w:t xml:space="preserve">Layer Player, Solution Provider, </w:t>
      </w:r>
      <w:r w:rsidRPr="00FF4E93">
        <w:rPr>
          <w:rFonts w:eastAsia="Times New Roman"/>
          <w:sz w:val="26"/>
          <w:shd w:val="clear" w:color="auto" w:fill="FFFFFF"/>
        </w:rPr>
        <w:t xml:space="preserve">and </w:t>
      </w:r>
      <w:r w:rsidRPr="00FF4E93">
        <w:rPr>
          <w:rFonts w:eastAsia="Times New Roman"/>
          <w:i/>
          <w:sz w:val="26"/>
          <w:shd w:val="clear" w:color="auto" w:fill="FFFFFF"/>
        </w:rPr>
        <w:t xml:space="preserve">Open Business Model </w:t>
      </w:r>
      <w:r w:rsidRPr="00FF4E93">
        <w:rPr>
          <w:rFonts w:eastAsia="Times New Roman"/>
          <w:i/>
          <w:sz w:val="26"/>
          <w:shd w:val="clear" w:color="auto" w:fill="FFFFFF"/>
        </w:rPr>
        <w:fldChar w:fldCharType="begin" w:fldLock="1"/>
      </w:r>
      <w:r w:rsidR="00C95F78" w:rsidRPr="00FF4E93">
        <w:rPr>
          <w:rFonts w:eastAsia="Times New Roman"/>
          <w:i/>
          <w:sz w:val="26"/>
          <w:shd w:val="clear" w:color="auto" w:fill="FFFFFF"/>
        </w:rPr>
        <w:instrText>ADDIN CSL_CITATION {"citationItems":[{"id":"ITEM-1","itemData":{"author":[{"dropping-particle":"","family":"Gassmann","given":"Oliver","non-dropping-particle":"","parse-names":false,"suffix":""},{"dropping-particle":"","family":"Frankenberger","given":"Karolin","non-dropping-particle":"","parse-names":false,"suffix":""},{"dropping-particle":"","family":"Csik","given":"Michaela","non-dropping-particle":"","parse-names":false,"suffix":""}],"edition":"2nd","id":"ITEM-1","issued":{"date-parts":[["2017"]]},"number-of-pages":"416","publisher":"Carl Hanser Verlag","publisher-place":"Munich, Germany","title":"The Business Model Navigator","type":"book"},"uris":["http://www.mendeley.com/documents/?uuid=684e1517-e17a-4ba8-a565-5ce0cc4aa250"]}],"mendeley":{"formattedCitation":"(Gassmann, Frankenberger, &amp; Csik, 2017)","plainTextFormattedCitation":"(Gassmann, Frankenberger, &amp; Csik, 2017)","previouslyFormattedCitation":"(Gassmann et al., 2017)"},"properties":{"noteIndex":0},"schema":"https://github.com/citation-style-language/schema/raw/master/csl-citation.json"}</w:instrText>
      </w:r>
      <w:r w:rsidRPr="00FF4E93">
        <w:rPr>
          <w:rFonts w:eastAsia="Times New Roman"/>
          <w:i/>
          <w:sz w:val="26"/>
          <w:shd w:val="clear" w:color="auto" w:fill="FFFFFF"/>
        </w:rPr>
        <w:fldChar w:fldCharType="separate"/>
      </w:r>
      <w:r w:rsidR="00C95F78" w:rsidRPr="00FF4E93">
        <w:rPr>
          <w:rFonts w:eastAsia="Times New Roman"/>
          <w:noProof/>
          <w:sz w:val="26"/>
          <w:shd w:val="clear" w:color="auto" w:fill="FFFFFF"/>
        </w:rPr>
        <w:t>(Gassmann, Frankenberger, &amp; Csik, 2017)</w:t>
      </w:r>
      <w:r w:rsidRPr="00FF4E93">
        <w:rPr>
          <w:rFonts w:eastAsia="Times New Roman"/>
          <w:i/>
          <w:sz w:val="26"/>
          <w:shd w:val="clear" w:color="auto" w:fill="FFFFFF"/>
        </w:rPr>
        <w:fldChar w:fldCharType="end"/>
      </w:r>
      <w:r w:rsidRPr="00FF4E93">
        <w:rPr>
          <w:rFonts w:eastAsia="Times New Roman"/>
          <w:i/>
          <w:sz w:val="26"/>
          <w:shd w:val="clear" w:color="auto" w:fill="FFFFFF"/>
        </w:rPr>
        <w:t>.</w:t>
      </w:r>
      <w:r w:rsidRPr="00FF4E93">
        <w:rPr>
          <w:rFonts w:eastAsia="Times New Roman"/>
          <w:sz w:val="26"/>
          <w:shd w:val="clear" w:color="auto" w:fill="FFFFFF"/>
        </w:rPr>
        <w:t xml:space="preserve"> While ventures from different technology domains consistently combine these patterns into complete business models, individual variants that include complementary patterns are often technology-specific.</w:t>
      </w:r>
    </w:p>
    <w:p w14:paraId="5D55FA74" w14:textId="77777777" w:rsidR="00151DC1" w:rsidRPr="00FF4E93" w:rsidRDefault="00151DC1" w:rsidP="00151DC1">
      <w:pPr>
        <w:pStyle w:val="Heading1"/>
        <w:rPr>
          <w:rFonts w:cs="Times New Roman"/>
        </w:rPr>
      </w:pPr>
      <w:bookmarkStart w:id="2" w:name="_Toc536101276"/>
      <w:r w:rsidRPr="00FF4E93">
        <w:rPr>
          <w:rFonts w:cs="Times New Roman"/>
        </w:rPr>
        <w:t>Theoretical Background</w:t>
      </w:r>
      <w:bookmarkEnd w:id="2"/>
    </w:p>
    <w:p w14:paraId="4676256F" w14:textId="77777777" w:rsidR="00151DC1" w:rsidRPr="00FF4E93" w:rsidRDefault="00151DC1" w:rsidP="00151DC1">
      <w:pPr>
        <w:spacing w:after="0"/>
        <w:rPr>
          <w:rFonts w:eastAsia="Times New Roman"/>
          <w:i/>
          <w:sz w:val="26"/>
        </w:rPr>
      </w:pPr>
      <w:r w:rsidRPr="00FF4E93">
        <w:rPr>
          <w:rFonts w:eastAsia="Times New Roman"/>
          <w:i/>
          <w:sz w:val="26"/>
        </w:rPr>
        <w:t>Business models and patterns</w:t>
      </w:r>
    </w:p>
    <w:p w14:paraId="3D86DF60" w14:textId="3A5B3AA8" w:rsidR="00151DC1" w:rsidRPr="00FF4E93" w:rsidRDefault="00151DC1" w:rsidP="00151DC1">
      <w:pPr>
        <w:spacing w:after="0"/>
        <w:rPr>
          <w:rFonts w:eastAsia="Times New Roman"/>
          <w:sz w:val="26"/>
        </w:rPr>
      </w:pPr>
      <w:r w:rsidRPr="00FF4E93">
        <w:rPr>
          <w:rFonts w:eastAsia="Times New Roman"/>
          <w:sz w:val="26"/>
        </w:rPr>
        <w:t xml:space="preserve">A business models defines the logic of how a firm </w:t>
      </w:r>
      <w:r w:rsidRPr="00FF4E93">
        <w:rPr>
          <w:rFonts w:eastAsia="Times New Roman"/>
          <w:i/>
          <w:sz w:val="26"/>
        </w:rPr>
        <w:t>“creates and delivers value to customers, and then converts payments received to profits.”</w:t>
      </w:r>
      <w:r w:rsidRPr="00FF4E93">
        <w:rPr>
          <w:rFonts w:eastAsia="Times New Roman"/>
          <w:sz w:val="26"/>
        </w:rPr>
        <w:t xml:space="preserve"> (Teece, 2010, p.172). This logic is constituted by a set of interrelated elements, encompassing resources and transactions between various stakeholders </w:t>
      </w:r>
      <w:r w:rsidRPr="00FF4E93">
        <w:rPr>
          <w:rFonts w:eastAsia="Times New Roman"/>
          <w:sz w:val="26"/>
        </w:rPr>
        <w:fldChar w:fldCharType="begin" w:fldLock="1"/>
      </w:r>
      <w:r w:rsidR="00C95F78" w:rsidRPr="00FF4E93">
        <w:rPr>
          <w:rFonts w:eastAsia="Times New Roman"/>
          <w:sz w:val="26"/>
        </w:rPr>
        <w:instrText>ADDIN CSL_CITATION {"citationItems":[{"id":"ITEM-1","itemData":{"abstract":"While research on business models and business model innovation continue to exhibit growth, the field is still, even after more than two decades of research, characterized by a striking lack of cumulative theorizing and an opportunistic borrowing of more or less related ideas from neighbouring fields in the place of cumulative theory. We argue that the lack of cumulativeness stems from lack of construct clarity (i.e., BM and BMI are seldom defined with much precision) and lack of agreement on definitions, which in turn imply that the core constructs are not dimensionalized in a way that eases theory-building and empirical testing. Lack of progress on these matters partly reflect that the BM and BMI constructs are used in multiple explanatory contexts, so that it is not entirely clear what are the problems that BM and BMI research seek to solve. We argue, with Teece (2010), that the BM and BMI constructs are fundamentally about the architecture of the firm's value creation, delivery and capture mechanisms; theoretically the key aspect of BMs is complementarity between activities underlying these mechanisms; BMI means novel changes of such complementary relations; and this understanding not only unifies diverse contributions to the literature but is also productive of new insight.","author":[{"dropping-particle":"","family":"Foss","given":"Nicolai J.","non-dropping-particle":"","parse-names":false,"suffix":""},{"dropping-particle":"","family":"Saebi","given":"Tina","non-dropping-particle":"","parse-names":false,"suffix":""}],"container-title":"Long Range Planning","id":"ITEM-1","issue":"1","issued":{"date-parts":[["2018"]]},"page":"9-21","publisher":"Elsevier Ltd","title":"Business models and business model innovation: Between wicked and paradigmatic problems","type":"article-journal","volume":"51"},"uris":["http://www.mendeley.com/documents/?uuid=fd22735b-10ca-4d3b-8c21-8deb5bc57250"]},{"id":"ITEM-2","itemData":{"abstract":"Business models, dynamic capabilities, and strategy are interdependent. The strength of a firm's dynamic capabilities help shape its proficiency at business model design. Through its effect on organization design, a business model influences the firm's dynamic capabilities and places bounds on the feasibility of particular strategies. While these relationships are understood at a theoretical level, there is a need for future empirical work to flesh out the details. In particular, studies that provide a better understanding of business model innovation, implementation, and change will also shed light on important aspects of dynamic capabilities.","author":[{"dropping-particle":"","family":"Teece","given":"David J.","non-dropping-particle":"","parse-names":false,"suffix":""}],"container-title":"Long Range Planning","id":"ITEM-2","issue":"1","issued":{"date-parts":[["2018"]]},"page":"40-49","publisher":"Elsevier Ltd","title":"Business models and dynamic capabilities","type":"article-journal","volume":"51"},"uris":["http://www.mendeley.com/documents/?uuid=7cee8555-e8a5-4b09-a8e6-57b18ce52072"]},{"id":"ITEM-3","itemData":{"abstract":"Building on existing literature, we conceptualize a firm's business model as a system of interdependent activities that transcends the focal firm and spans its boundaries. The activity system enables the firm, in concert with its partners, to create value and also to appropriate a share of that value. Anchored on theoretical and empirical research, we suggest two sets of parameters that activity systems designers need to consider: design elements - content, structure and governance - that describe the architecture of an activity system; and design themes - novelty, lock-in, complementarities and efficiency - that describe the sources of the activity system's value creation. © 2009 Elsevier Ltd.","author":[{"dropping-particle":"","family":"Zott","given":"Christoph","non-dropping-particle":"","parse-names":false,"suffix":""},{"dropping-particle":"","family":"Amit","given":"Raphael","non-dropping-particle":"","parse-names":false,"suffix":""}],"container-title":"Long Range Planning","id":"ITEM-3","issue":"2-3","issued":{"date-parts":[["2010"]]},"page":"216-226","title":"Business model design: An activity system perspective","type":"article-journal","volume":"43"},"uris":["http://www.mendeley.com/documents/?uuid=f92106a2-b65e-4ebd-9d20-6eb7e5f5609a"]},{"id":"ITEM-4","itemData":{"abstract":"We explore the theoretical foundations of value creation in e-business by examining how 59 American and European e-businesses that have recently become publicly traded corporations create value. We observe that in e-business new value can be created by the ways in which transactions are enabled. Grounded in the rich data obtained from case study analyses and in the received theory in entrepreneurship and strategic management, we develop a model of the sources of value creation. The model suggests that the value creation potential of e-businesses hinges on four interdependent dimensions, namely: efficiency, complementarities, lock-in, and novelty. Our findings suggest that no single entrepreneurship or strategic management theory can fully explain the value creation potential of e-business. Rather, an integration of the received theoretical perspectives on value creation is needed. To enable such an integration, we offer the business model construct as a unit of analysis for future research on value creation in e-business. A business model depicts the design of transaction content, structure, and governance so as to create value through the exploitation of business opportunities. We propose that a firms business model is an important locus of innovation and a crucial source of value creation for the firm and its suppliers, partners, and customers.","author":[{"dropping-particle":"","family":"Amit","given":"Raphael","non-dropping-particle":"","parse-names":false,"suffix":""},{"dropping-particle":"","family":"Zott","given":"Christoph","non-dropping-particle":"","parse-names":false,"suffix":""}],"container-title":"Strategic Management Journal","id":"ITEM-4","issue":"6-7","issued":{"date-parts":[["2001"]]},"page":"493-520","title":"Value creation in e-business","type":"article-journal","volume":"22"},"uris":["http://www.mendeley.com/documents/?uuid=9f247bfb-bcf1-482e-adfe-60013bbbee3e"]}],"mendeley":{"formattedCitation":"(Amit &amp; Zott, 2001; Foss &amp; Saebi, 2018; Teece, 2018; Zott &amp; Amit, 2010)","plainTextFormattedCitation":"(Amit &amp; Zott, 2001; Foss &amp; Saebi, 2018; Teece, 2018; Zott &amp; Amit, 2010)","previouslyFormattedCitation":"(Amit &amp; Zott, 2001; Foss &amp; Saebi, 2018; Teece, 2018; Zott &amp; Amit, 2010b)"},"properties":{"noteIndex":0},"schema":"https://github.com/citation-style-language/schema/raw/master/csl-citation.json"}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(Amit &amp; Zott, 2001; Foss &amp; Saebi, 2018; Teece, 2018; Zott &amp; Amit, 2010)</w:t>
      </w:r>
      <w:r w:rsidRPr="00FF4E93">
        <w:rPr>
          <w:rFonts w:eastAsia="Times New Roman"/>
          <w:sz w:val="26"/>
        </w:rPr>
        <w:fldChar w:fldCharType="end"/>
      </w:r>
      <w:r w:rsidRPr="00FF4E93">
        <w:rPr>
          <w:rFonts w:eastAsia="Times New Roman"/>
          <w:sz w:val="26"/>
        </w:rPr>
        <w:t xml:space="preserve">. The business model straddles both an operational and a model dimension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Casadesus-Masanell","given":"Ramon","non-dropping-particle":"","parse-names":false,"suffix":""},{"dropping-particle":"","family":"Heilbron","given":"John","non-dropping-particle":"","parse-names":false,"suffix":""}],"container-title":"Advances in Strategic Management","id":"ITEM-1","issued":{"date-parts":[["2015"]]},"title":"The Business Model : Nature and Benefits","type":"article-journal","volume":"33"},"uris":["http://www.mendeley.com/documents/?uuid=1a560db1-f101-4322-8060-9de8120f4d90"]},{"id":"ITEM-2","itemData":{"author":[{"dropping-particle":"","family":"Gassmann","given":"Oliver","non-dropping-particle":"","parse-names":false,"suffix":""},{"dropping-particle":"","family":"Frankenberger","given":"Karolin","non-dropping-particle":"","parse-names":false,"suffix":""},{"dropping-particle":"","family":"Sauer","given":"Roman","non-dropping-particle":"","parse-names":false,"suffix":""}],"id":"ITEM-2","issued":{"date-parts":[["2016"]]},"publisher":"Palgrave Macmillan","title":"Exploring the field of Business Model Innovation: New Theoretical Perspectives","type":"book"},"uris":["http://www.mendeley.com/documents/?uuid=541f9f4e-872b-49e0-90de-a0142c143fa2"]}],"mendeley":{"formattedCitation":"(Casadesus-Masanell &amp; Heilbron, 2015; Gassmann, Frankenberger, &amp; Sauer, 2016)","plainTextFormattedCitation":"(Casadesus-Masanell &amp; Heilbron, 2015; Gassmann, Frankenberger, &amp; Sauer, 2016)","previouslyFormattedCitation":"(Casadesus-Masanell &amp; Heilbron, 2015; Gassmann, Frankenberger, &amp; Sauer, 2016)"},"properties":{"noteIndex":0},"schema":"https://github.com/citation-style-language/schema/raw/master/csl-citation.json"}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(Casadesus-Masanell &amp; Heilbron, 2015; Gassmann, Frankenberger, &amp; Sauer, 2016)</w:t>
      </w:r>
      <w:r w:rsidRPr="00FF4E93">
        <w:rPr>
          <w:rFonts w:eastAsia="Times New Roman"/>
          <w:sz w:val="26"/>
        </w:rPr>
        <w:fldChar w:fldCharType="end"/>
      </w:r>
      <w:r w:rsidRPr="00FF4E93">
        <w:rPr>
          <w:rFonts w:eastAsia="Times New Roman"/>
          <w:sz w:val="26"/>
        </w:rPr>
        <w:t xml:space="preserve">: In the first view it depicts the complex organizational reality of doing business; it is an inherent aspect of every company </w:t>
      </w:r>
      <w:r w:rsidRPr="00FF4E93">
        <w:rPr>
          <w:rFonts w:eastAsia="Times New Roman"/>
          <w:sz w:val="26"/>
        </w:rPr>
        <w:fldChar w:fldCharType="begin" w:fldLock="1"/>
      </w:r>
      <w:r w:rsidR="00C95F78" w:rsidRPr="00FF4E93">
        <w:rPr>
          <w:rFonts w:eastAsia="Times New Roman"/>
          <w:sz w:val="26"/>
        </w:rPr>
        <w:instrText>ADDIN CSL_CITATION {"citationItems":[{"id":"ITEM-1","itemData":{"abstract":"Business models matter. A better business model often will beat a better idea or technology.To innovate your business model, you must first understand what it is, and then examine what paths exist for you to improve upon it. Every company has a business model, whether they articulate it or not. At its heart, a business model performs two important functions: value creation and value capture. There can be real tensions between the aspects of a business model that create value and those that help to capture a portion of that value. Richard S. Rosenbloom, Professor Emeritus of Harvard, and I have developed a specific working definition (see Exhibit 1)[1]. The functions of a business model are: 1. Articulate the value proposition, that is, the value created for users by the offering 2. Identify a market segment, that is, the users to whom the offering is useful and for what purpose 3. Define the structure of the value chain required by the firm to create and distribute the offering, and determine the complementary assets needed to support the firm’s position in this chain. This includes the firm’s suppliers and customers, and should extend from raw materials to the final customer4. Specify the revenue generation mechanism(s) for the firm, and estimate the cost structure and profit potential of producing the offering, given the value proposition and value chain structure chosen 5. Describe the position of the firm within the value network (also referred to as an ecosystem) linking suppliers and customers, including identification of potential complementors and competitors 6. Formulate the competitive strategy by which the innovating firm will gain and hold advantage over rivals More can be done to improve a specific business model if managers think of stages of business model advancement. The Business Model Framework (BMF) is a model that sequences possible business models from very basic (and not very valuable) models to far more advanced (and very valuable) models. Type 1 – Company has an undifferentiated business model. Type 2 – Company has some differentiation in its business model. Type 3 – Company develops a segmented business model. Type 4 – Company has an externally aware business model.Type 5 – Company integrates its innovation process with its business model. Type 6 – Company’s business model is an adaptive platform. One important capability that enables this integration of business models throughout a value chain is the ability of the company to e…","author":[{"dropping-particle":"","family":"Chesbrough","given":"Henry","non-dropping-particle":"","parse-names":false,"suffix":""}],"container-title":"Strategy &amp; Leadership","id":"ITEM-1","issue":"6","issued":{"date-parts":[["2007"]]},"page":"12-17","title":"Business model innovation: it's not just about technology anymore","type":"article-journal","volume":"35"},"uris":["http://www.mendeley.com/documents/?uuid=f2c87b80-37b8-42ba-95c8-989aa0378e49"]}],"mendeley":{"formattedCitation":"(Chesbrough, 2007)","plainTextFormattedCitation":"(Chesbrough, 2007)","previouslyFormattedCitation":"(Chesbrough, 2007a)"},"properties":{"noteIndex":0},"schema":"https://github.com/citation-style-language/schema/raw/master/csl-citation.json"}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(Chesbrough, 2007)</w:t>
      </w:r>
      <w:r w:rsidRPr="00FF4E93">
        <w:rPr>
          <w:rFonts w:eastAsia="Times New Roman"/>
          <w:sz w:val="26"/>
        </w:rPr>
        <w:fldChar w:fldCharType="end"/>
      </w:r>
      <w:r w:rsidRPr="00FF4E93">
        <w:rPr>
          <w:rFonts w:eastAsia="Times New Roman"/>
          <w:sz w:val="26"/>
        </w:rPr>
        <w:t xml:space="preserve">. In the latter view it is a simplified version of reality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{"citationItems":[{"id":"ITEM-1","itemData":{"author":[{"dropping-particle":"","family":"Lave","given":"Charles A.","non-dropping-particle":"","parse-names":false,"suffix":""},{"dropping-particle":"","family":"March","given":"James G.","non-dropping-particle":"","parse-names":false,"suffix":""}],"id":"ITEM-1","issued":{"date-parts":[["1993"]]},"number-of-pages":"421","publisher":"University Press of America","publisher-place":"Landham, MD","title":"An Introduction to Models in the Social Sciences","type":"book"},"uris":["http://www.mendeley.com/documents/?uuid=f4091c05-8fd2-45a0-8c61-9cf821f7094a"]},{"id":"ITEM-2","itemData":{"abstract":"Drawing on research undertaken in the history and philosophy of science, with particular reference to the extensive literature which discusses the use of models in biology and economics, we explore the question 'Are Business Models useful?' We point out that they act as various forms of model: to provide means to describe and classify businesses; to operate as sites for scientific investigation; and to act as recipes for creative managers. We argue that studying business models as models is rewarding in that it enables us to see how they embody multiple and mediating roles. We illustrate our ideas with reference to practices in the real world and to academic analyses, especially in this Long Range Planning Special Issue on Business Models. ?? 2010 Elsevier Ltd.","author":[{"dropping-particle":"","family":"Baden-Fuller","given":"Charles","non-dropping-particle":"","parse-names":false,"suffix":""},{"dropping-particle":"","family":"Morgan","given":"Mary S.","non-dropping-particle":"","parse-names":false,"suffix":""}],"container-title":"Long Range Planning","id":"ITEM-2","issue":"2-3","issued":{"date-parts":[["2010"]]},"page":"156-171","publisher":"Elsevier Ltd","title":"Business models as models","type":"article-journal","volume":"43"},"uris":["http://www.mendeley.com/documents/?uuid=83bc767c-0e00-454a-9ef3-bacc47d950f9"]}],"mendeley":{"formattedCitation":"(Baden-Fuller &amp; Morgan, 2010; Lave &amp; March, 1993)","manualFormatting":"(Lave &amp; March, 1993)","plainTextFormattedCitation":"(Baden-Fuller &amp; Morgan, 2010; Lave &amp; March, 1993)","previouslyFormattedCitation":"(Baden-Fuller &amp; Morgan, 2010; Lave &amp; March, 1993)"},"properties":{"noteIndex":0},"schema":"https://github.com/citation-style-language/schema/raw/master/csl-citation.json"}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(Lave &amp; March, 1993)</w:t>
      </w:r>
      <w:r w:rsidRPr="00FF4E93">
        <w:rPr>
          <w:rFonts w:eastAsia="Times New Roman"/>
          <w:sz w:val="26"/>
        </w:rPr>
        <w:fldChar w:fldCharType="end"/>
      </w:r>
      <w:r w:rsidRPr="00FF4E93">
        <w:rPr>
          <w:rFonts w:eastAsia="Times New Roman"/>
          <w:sz w:val="26"/>
        </w:rPr>
        <w:t xml:space="preserve">: the business model describes the elements and their linkages that constitute the essence of a firm’s value capture and creation mechanisms and drive firm performance </w:t>
      </w:r>
      <w:r w:rsidRPr="00FF4E93">
        <w:rPr>
          <w:rFonts w:eastAsia="Times New Roman"/>
          <w:sz w:val="26"/>
        </w:rPr>
        <w:fldChar w:fldCharType="begin" w:fldLock="1"/>
      </w:r>
      <w:r w:rsidR="00C95F78" w:rsidRPr="00FF4E93">
        <w:rPr>
          <w:rFonts w:eastAsia="Times New Roman"/>
          <w:sz w:val="26"/>
        </w:rPr>
        <w:instrText>ADDIN CSL_CITATION {"citationItems":[{"id":"ITEM-1","itemData":{"abstract":"Over the last 15 years, business model innovation (BMI) has gained an increasing amount of attention in management research and among practitioners. The emerging BMI literature addresses an important phenomenon but lacks theoretical underpinning, and empirical inquiry is not cumulative. Thus, a concerted research effort seems warranted. Accordingly, we take stock of the extant literature on BMI. We identify and analyze 150 peer-reviewed scholarly articles on BMI published between 2000 and 2015. We provide the first comprehensive systematic review of the BMI literature, include a critical assessment of these research efforts, and offer suggestions for future research. We argue that the literature faces problems with respect to construct clarity and has gaps with respect to the identification of antecedent conditions, contingencies, and outcomes. We identify important avenues for future research and show how the complexity theory, innovation, and other streams of literature can help overcome many of the gaps in the BMI literature.","author":[{"dropping-particle":"","family":"Foss","given":"Nicolai J.","non-dropping-particle":"","parse-names":false,"suffix":""},{"dropping-particle":"","family":"Saebi","given":"Tina","non-dropping-particle":"","parse-names":false,"suffix":""}],"container-title":"Journal of Management","id":"ITEM-1","issue":"1","issued":{"date-parts":[["2017"]]},"page":"200-227","title":"Fifteen Years of Research on Business Model Innovation: How Far Have We Come, and Where Should We Go?","type":"article-journal","volume":"43"},"uris":["http://www.mendeley.com/documents/?uuid=26935964-cb7a-4738-b00f-9db692c70c93"]},{"id":"ITEM-2","itemData":{"abstract":"Ever since the Internet boom of the mid-1990s, firms have been experimenting with new ways of doing business, which has led to a branching of the scholarly literature on business models. Three interpretations of the meaning and function of &amp;quot;business models&amp;quot; have emerged from the management literature: (1) business models as attributes of real firms, (2) business models as cognitive/linguistic schemas, and (3) business models as formal conceptual representations of how a business functions. Relatedly, a provocative debate about the relationship between business models and strategy has fascinated many scholars. We offer a critical review of this now vast business model literature. In addition to complementing and extending prior reviews, we also aim at a second and more important contribution: We aim at identifying the reasons behind the apparent lack of agreement in the interpretation of business models, and the relationship between business models and strategy. Whether strategy scholars consider business model research a new field may be due to the fact that the business model perspective may be challenging the assumptions of traditional theories of value creation and capture. We conclude by discussing how the business model perspective can contribute to research in different fields, offering future research directions.","author":[{"dropping-particle":"","family":"Massa","given":"Lorenzo","non-dropping-particle":"","parse-names":false,"suffix":""},{"dropping-particle":"","family":"Tucci","given":"Christopher","non-dropping-particle":"","parse-names":false,"suffix":""},{"dropping-particle":"","family":"Afuah","given":"Allan","non-dropping-particle":"","parse-names":false,"suffix":""}],"container-title":"Academy of Management Annals","id":"ITEM-2","issue":"1","issued":{"date-parts":[["2017"]]},"title":"A critical assessment of business model research","type":"article-journal","volume":"11"},"uris":["http://www.mendeley.com/documents/?uuid=5d2003b2-71d1-4133-babd-e1835583c562"]},{"id":"ITEM-3","itemData":{"abstract":"Drawing on research undertaken in the history and philosophy of science, with particular reference to the extensive literature which discusses the use of models in biology and economics, we explore the question 'Are Business Models useful?' We point out that they act as various forms of model: to provide means to describe and classify businesses; to operate as sites for scientific investigation; and to act as recipes for creative managers. We argue that studying business models as models is rewarding in that it enables us to see how they embody multiple and mediating roles. We illustrate our ideas with reference to practices in the real world and to academic analyses, especially in this Long Range Planning Special Issue on Business Models. ?? 2010 Elsevier Ltd.","author":[{"dropping-particle":"","family":"Baden-Fuller","given":"Charles","non-dropping-particle":"","parse-names":false,"suffix":""},{"dropping-particle":"","family":"Morgan","given":"Mary S.","non-dropping-particle":"","parse-names":false,"suffix":""}],"container-title":"Long Range Planning","id":"ITEM-3","issue":"2-3","issued":{"date-parts":[["2010"]]},"page":"156-171","publisher":"Elsevier Ltd","title":"Business models as models","type":"article-journal","volume":"43"},"uris":["http://www.mendeley.com/documents/?uuid=83bc767c-0e00-454a-9ef3-bacc47d950f9"]}],"mendeley":{"formattedCitation":"(Baden-Fuller &amp; Morgan, 2010; Foss &amp; Saebi, 2017; Massa, Tucci, &amp; Afuah, 2017)","plainTextFormattedCitation":"(Baden-Fuller &amp; Morgan, 2010; Foss &amp; Saebi, 2017; Massa, Tucci, &amp; Afuah, 2017)","previouslyFormattedCitation":"(Baden-Fuller &amp; Morgan, 2010; Foss &amp; Saebi, 2017; Massa et al., 2017)"},"properties":{"noteIndex":0},"schema":"https://github.com/citation-style-language/schema/raw/master/csl-citation.json"}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(Baden-Fuller &amp; Morgan, 2010; Foss &amp; Saebi, 2017; Massa, Tucci, &amp; Afuah, 2017)</w:t>
      </w:r>
      <w:r w:rsidRPr="00FF4E93">
        <w:rPr>
          <w:rFonts w:eastAsia="Times New Roman"/>
          <w:sz w:val="26"/>
        </w:rPr>
        <w:fldChar w:fldCharType="end"/>
      </w:r>
      <w:r w:rsidRPr="00FF4E93">
        <w:rPr>
          <w:rFonts w:eastAsia="Times New Roman"/>
          <w:sz w:val="26"/>
        </w:rPr>
        <w:t xml:space="preserve">. </w:t>
      </w:r>
    </w:p>
    <w:p w14:paraId="7A344DB9" w14:textId="42332F96" w:rsidR="00151DC1" w:rsidRPr="00FF4E93" w:rsidRDefault="00151DC1" w:rsidP="00151DC1">
      <w:pPr>
        <w:spacing w:after="0"/>
        <w:rPr>
          <w:rFonts w:eastAsia="Times New Roman"/>
          <w:sz w:val="26"/>
        </w:rPr>
      </w:pPr>
      <w:r w:rsidRPr="00FF4E93">
        <w:rPr>
          <w:rFonts w:eastAsia="Times New Roman"/>
          <w:i/>
          <w:sz w:val="26"/>
        </w:rPr>
        <w:t>Business models as models</w:t>
      </w:r>
      <w:r w:rsidRPr="00FF4E93">
        <w:rPr>
          <w:rFonts w:eastAsia="Times New Roman"/>
          <w:sz w:val="26"/>
        </w:rPr>
        <w:t xml:space="preserve"> exist in different forms, but their common goal is to facilitate the categorization of (obscurely ordered, individualistic) empirical realities and </w:t>
      </w:r>
      <w:r w:rsidRPr="00FF4E93">
        <w:rPr>
          <w:rFonts w:eastAsia="Times New Roman"/>
          <w:sz w:val="26"/>
        </w:rPr>
        <w:lastRenderedPageBreak/>
        <w:t xml:space="preserve">substitute those for analysis </w:t>
      </w:r>
      <w:r w:rsidRPr="00FF4E93">
        <w:rPr>
          <w:rFonts w:eastAsia="Times New Roman"/>
          <w:sz w:val="26"/>
        </w:rPr>
        <w:fldChar w:fldCharType="begin" w:fldLock="1"/>
      </w:r>
      <w:r w:rsidRPr="00FF4E93">
        <w:rPr>
          <w:rFonts w:eastAsia="Times New Roman"/>
          <w:sz w:val="26"/>
        </w:rPr>
        <w:instrText>ADDIN CSL_CITATION {"citationItems":[{"id":"ITEM-1","itemData":{"abstract":"Categorization processes have gained currency in organizational theory. Categories are endemic to organizations and markets, serving as touchstones for organizational identity claims and for audience attention, legitimation, and valuation. Durand and Paolella argue for an expansion of current perspectives on categories, particularly that of prototype theory. Although we agree in spirit, we advocate an expansion of their perspective, which seems to focus primarily on the cognitive aspects of categorization and the force of their constraint, particularly at the individual level of analysis. We suggest three revisions to Durand and Paolella's arguments in order to extend the conversation. First, we advocate that categorization processes might usefully be understood by socio</w:instrText>
      </w:r>
      <w:r w:rsidRPr="00FF4E93">
        <w:rPr>
          <w:rFonts w:ascii="Cambria Math" w:eastAsia="Calibri" w:hAnsi="Cambria Math" w:cs="Cambria Math"/>
          <w:sz w:val="26"/>
        </w:rPr>
        <w:instrText>‐</w:instrText>
      </w:r>
      <w:r w:rsidRPr="00FF4E93">
        <w:rPr>
          <w:rFonts w:eastAsia="Times New Roman"/>
          <w:sz w:val="26"/>
        </w:rPr>
        <w:instrText>cultural perspectives that explicitly consider the role of audiences and the embeddedness of categories in wider classification systems. Second, we connect categorization processes to identity formation and maintenance at the levels of both the organization and the market. Third, we move beyond the constraining power of categories to consider their generative capabilities in processes of emergence and change. Overall, we discuss these in the context of organizational identities and cultural classification systems.","author":[{"dropping-particle":"","family":"Glynn","given":"Mary Ann","non-dropping-particle":"","parse-names":false,"suffix":""},{"dropping-particle":"","family":"Navis","given":"Chad","non-dropping-particle":"","parse-names":false,"suffix":""}],"container-title":"Journal of Management Studies","id":"ITEM-1","issue":"6","issued":{"date-parts":[["2013"]]},"page":"1124-1137","title":"Categories, identities, and cultural classification: Moving beyond a model of categorical constraint","type":"article-journal","volume":"50"},"uris":["http://www.mendeley.com/documents/?uuid=0e13b6c1-a93d-4ecd-b75d-b22b7f7848b1"]},{"id":"ITEM-2","itemData":{"abstract":"Focuses on the new trend in categorization research. List of issues raised by newer categorization research concerning conception and learning; Empirical findings established by the research; Correlation between attribute clusters and the structure and formation of categories; Formation of a taxonomy when hierarchical levels relate to each other.","author":[{"dropping-particle":"","family":"Mervis","given":"Carolyn","non-dropping-particle":"","parse-names":false,"suffix":""},{"dropping-particle":"","family":"Rosch","given":"Eleanor","non-dropping-particle":"","parse-names":false,"suffix":""}],"container-title":"Annual Review of Psychology","id":"ITEM-2","issue":"1","issued":{"date-parts":[["1981"]]},"page":"89-115","title":"Categorization of Natural Objects","type":"article-journal","volume":"32"},"uris":["http://www.mendeley.com/documents/?uuid=61f97bc3-95f8-4022-82d2-b13b4912c359"]}],"mendeley":{"formattedCitation":"(Glynn &amp; Navis, 2013; Mervis &amp; Rosch, 1981)","plainTextFormattedCitation":"(Glynn &amp; Navis, 2013; Mervis &amp; Rosch, 1981)","previouslyFormattedCitation":"(Glynn &amp; Navis, 2013; Mervis &amp; Rosch, 1981)"},"properties":{"noteIndex":0},"schema":"https://github.com/citation-style-language/schema/raw/master/csl-citation.json"}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(Glynn &amp; Navis, 2013; Mervis &amp; Rosch, 1981)</w:t>
      </w:r>
      <w:r w:rsidRPr="00FF4E93">
        <w:rPr>
          <w:rFonts w:eastAsia="Times New Roman"/>
          <w:sz w:val="26"/>
        </w:rPr>
        <w:fldChar w:fldCharType="end"/>
      </w:r>
      <w:r w:rsidRPr="00FF4E93">
        <w:rPr>
          <w:rFonts w:eastAsia="Times New Roman"/>
          <w:sz w:val="26"/>
        </w:rPr>
        <w:t xml:space="preserve">. For instance, Amit and </w:t>
      </w:r>
      <w:proofErr w:type="spellStart"/>
      <w:r w:rsidRPr="00FF4E93">
        <w:rPr>
          <w:rFonts w:eastAsia="Times New Roman"/>
          <w:sz w:val="26"/>
        </w:rPr>
        <w:t>Zott</w:t>
      </w:r>
      <w:proofErr w:type="spellEnd"/>
      <w:r w:rsidRPr="00FF4E93">
        <w:rPr>
          <w:rFonts w:eastAsia="Times New Roman"/>
          <w:sz w:val="26"/>
        </w:rPr>
        <w:t xml:space="preserve"> (2001) or Chatterjee </w:t>
      </w:r>
      <w:r w:rsidRPr="00FF4E93">
        <w:rPr>
          <w:rFonts w:eastAsia="Times New Roman"/>
          <w:sz w:val="26"/>
        </w:rPr>
        <w:fldChar w:fldCharType="begin" w:fldLock="1"/>
      </w:r>
      <w:r w:rsidRPr="00FF4E93">
        <w:rPr>
          <w:rFonts w:eastAsia="Times New Roman"/>
          <w:sz w:val="26"/>
        </w:rPr>
        <w:instrText>ADDIN CSL_CITATION {"citationItems":[{"id":"ITEM-1","itemData":{"ISBN":"0008-1256","author":[{"dropping-particle":"","family":"Chatterjee","given":"Sayan","non-dropping-particle":"","parse-names":false,"suffix":""}],"container-title":"California Management Review","id":"ITEM-1","issue":"2","issued":{"date-parts":[["2013"]]},"page":"97-124","title":"Simple rules for designing business models","type":"article-journal","volume":"55"},"uris":["http://www.mendeley.com/documents/?uuid=a281e400-9835-4322-a936-a1c9a40b727c"]}],"mendeley":{"formattedCitation":"(Chatterjee, 2013)","manualFormatting":"(2013)","plainTextFormattedCitation":"(Chatterjee, 2013)","previouslyFormattedCitation":"(Chatterjee, 2013)"},"properties":{"noteIndex":0},"schema":"https://github.com/citation-style-language/schema/raw/master/csl-citation.json"}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(2013)</w:t>
      </w:r>
      <w:r w:rsidRPr="00FF4E93">
        <w:rPr>
          <w:rFonts w:eastAsia="Times New Roman"/>
          <w:sz w:val="26"/>
        </w:rPr>
        <w:fldChar w:fldCharType="end"/>
      </w:r>
      <w:r w:rsidRPr="00FF4E93">
        <w:rPr>
          <w:rFonts w:eastAsia="Times New Roman"/>
          <w:sz w:val="26"/>
        </w:rPr>
        <w:t xml:space="preserve"> identify distinct business model </w:t>
      </w:r>
      <w:r w:rsidRPr="00FF4E93">
        <w:rPr>
          <w:rFonts w:eastAsia="Times New Roman"/>
          <w:i/>
          <w:sz w:val="26"/>
        </w:rPr>
        <w:t>design themes,</w:t>
      </w:r>
      <w:r w:rsidRPr="00FF4E93">
        <w:rPr>
          <w:rFonts w:eastAsia="Times New Roman"/>
          <w:sz w:val="26"/>
        </w:rPr>
        <w:t xml:space="preserve"> such as ‘</w:t>
      </w:r>
      <w:r w:rsidRPr="00FF4E93">
        <w:rPr>
          <w:rFonts w:eastAsia="Times New Roman"/>
          <w:i/>
          <w:sz w:val="26"/>
        </w:rPr>
        <w:t>novelty’</w:t>
      </w:r>
      <w:r w:rsidRPr="00FF4E93">
        <w:rPr>
          <w:rFonts w:eastAsia="Times New Roman"/>
          <w:sz w:val="26"/>
        </w:rPr>
        <w:t xml:space="preserve"> or </w:t>
      </w:r>
      <w:r w:rsidRPr="00FF4E93">
        <w:rPr>
          <w:rFonts w:eastAsia="Times New Roman"/>
          <w:i/>
          <w:sz w:val="26"/>
        </w:rPr>
        <w:t>‘efficiency’</w:t>
      </w:r>
      <w:r w:rsidRPr="00FF4E93">
        <w:rPr>
          <w:rFonts w:eastAsia="Times New Roman"/>
          <w:sz w:val="26"/>
        </w:rPr>
        <w:t xml:space="preserve">. Amit and </w:t>
      </w:r>
      <w:proofErr w:type="spellStart"/>
      <w:r w:rsidRPr="00FF4E93">
        <w:rPr>
          <w:rFonts w:eastAsia="Times New Roman"/>
          <w:sz w:val="26"/>
        </w:rPr>
        <w:t>Zott</w:t>
      </w:r>
      <w:proofErr w:type="spellEnd"/>
      <w:r w:rsidRPr="00FF4E93">
        <w:rPr>
          <w:rFonts w:eastAsia="Times New Roman"/>
          <w:sz w:val="26"/>
        </w:rPr>
        <w:t xml:space="preserve"> (2007),</w:t>
      </w:r>
      <w:r w:rsidRPr="00FF4E93">
        <w:rPr>
          <w:rFonts w:eastAsia="Times New Roman"/>
          <w:sz w:val="26"/>
        </w:rPr>
        <w:fldChar w:fldCharType="begin" w:fldLock="1"/>
      </w:r>
      <w:r w:rsidR="00C95F78" w:rsidRPr="00FF4E93">
        <w:rPr>
          <w:rFonts w:eastAsia="Times New Roman"/>
          <w:sz w:val="26"/>
        </w:rPr>
        <w:instrText>ADDIN CSL_CITATION {"citationItems":[{"id":"ITEM-1","itemData":{"abstract":"Although business models are an important source for competitive advantage, little research exists on the relationship between business model design and financial performance. Whereas existing studies focus on the isolated analysis of singular design themes, this work introduces a set-theoretic approach, investigating interdependencies of complementarity, efficiency, novelty, and lock-in-based business models. Thereby, this study applies a qualitative comparative analysis to a unique data set of 41 entrepreneurial firms. The empirical results demonstrate the role of three unknown specific business model configurations fostering financial performance. Introducing a configurational perspective to the business model discussion the study proves equifinality in business model design and advances theory concerning interdependencies within the business model construct.","author":[{"dropping-particle":"","family":"Kulins","given":"Christopher","non-dropping-particle":"","parse-names":false,"suffix":""},{"dropping-particle":"","family":"Leonardy","given":"Hannes","non-dropping-particle":"","parse-names":false,"suffix":""},{"dropping-particle":"","family":"Weber","given":"Christiana","non-dropping-particle":"","parse-names":false,"suffix":""}],"container-title":"Journal of Business Research","id":"ITEM-1","issue":"4","issued":{"date-parts":[["2016"]]},"page":"1437-1441","title":"A configurational approach in business model design","type":"article-journal","volume":"69"},"uris":["http://www.mendeley.com/documents/?uuid=80ff905a-ed38-4438-bd3d-3655128e945e"]}],"mendeley":{"formattedCitation":"(Kulins, Leonardy, &amp; Weber, 2016)","manualFormatting":" Kulins and colleagues (2016)","plainTextFormattedCitation":"(Kulins, Leonardy, &amp; Weber, 2016)","previouslyFormattedCitation":"(Kulins et al., 2016)"},"properties":{"noteIndex":0},"schema":"https://github.com/citation-style-language/schema/raw/master/csl-citation.json"}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 xml:space="preserve"> Kulins and colleagues (2016)</w:t>
      </w:r>
      <w:r w:rsidRPr="00FF4E93">
        <w:rPr>
          <w:rFonts w:eastAsia="Times New Roman"/>
          <w:sz w:val="26"/>
        </w:rPr>
        <w:fldChar w:fldCharType="end"/>
      </w:r>
      <w:r w:rsidRPr="00FF4E93">
        <w:rPr>
          <w:rFonts w:eastAsia="Times New Roman"/>
          <w:sz w:val="26"/>
        </w:rPr>
        <w:t xml:space="preserve">, or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{"citationItems":[{"id":"ITEM-1","itemData":{"author":[{"dropping-particle":"","family":"Leppänen","given":"Petteri","non-dropping-particle":"","parse-names":false,"suffix":""}],"container-title":"Proceedings of the DRUID17","id":"ITEM-1","issued":{"date-parts":[["2017"]]},"title":"A Fuzzy Set Approach to Business Model Design and Strategy","type":"paper-conference"},"uris":["http://www.mendeley.com/documents/?uuid=8b0ce5fb-9f2b-4d9a-a9dc-caf45030289d"]}],"mendeley":{"formattedCitation":"(Leppänen, 2017)","manualFormatting":"Leppänen (2017)","plainTextFormattedCitation":"(Leppänen, 2017)","previouslyFormattedCitation":"(Leppänen, 2017)"},"properties":{"noteIndex":0},"schema":"https://github.com/citation-style-language/schema/raw/master/csl-citation.json"}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Leppänen (2017)</w:t>
      </w:r>
      <w:r w:rsidRPr="00FF4E93">
        <w:rPr>
          <w:rFonts w:eastAsia="Times New Roman"/>
          <w:sz w:val="26"/>
        </w:rPr>
        <w:fldChar w:fldCharType="end"/>
      </w:r>
      <w:r w:rsidRPr="00FF4E93">
        <w:rPr>
          <w:rFonts w:eastAsia="Times New Roman"/>
          <w:sz w:val="26"/>
        </w:rPr>
        <w:t xml:space="preserve"> assign memberships of sampled ventures to one or multiple-design themes (e.g. novelty-centred business models) and analyse the performance effects of membership configurations. In contrast, Sabatier and colleagues </w:t>
      </w:r>
      <w:r w:rsidRPr="00FF4E93">
        <w:rPr>
          <w:rFonts w:eastAsia="Times New Roman"/>
          <w:sz w:val="26"/>
        </w:rPr>
        <w:fldChar w:fldCharType="begin" w:fldLock="1"/>
      </w:r>
      <w:r w:rsidR="00C95F78" w:rsidRPr="00FF4E93">
        <w:rPr>
          <w:rFonts w:eastAsia="Times New Roman"/>
          <w:sz w:val="26"/>
        </w:rPr>
        <w:instrText>ADDIN CSL_CITATION {"citationItems":[{"id":"ITEM-1","itemData":{"abstract":"This article builds on the analogy between the business model concept and a recipe to discuss the concept of a business model portfolio (which we analogise as a dinner). In this context, we view analogies as concise, shorthand ways to describe important concepts and propose principles to organise new ways to make money in existing activities. Considering the different business models of four European biotechnology companies, we explore the their business model portfolios, defined as the range of different ways they deliver value to their customers to ensure both their medium term viability and future development. A firm's portfolio can help balance the levels of promise and interdependency with other firms of its different business models, and help it articulate and finance its activities in the medium run to ensure idiosyncrasy to protect its future health. © 2010 Elsevier Ltd.","author":[{"dropping-particle":"","family":"Sabatier","given":"Valérie","non-dropping-particle":"","parse-names":false,"suffix":""},{"dropping-particle":"","family":"Mangematin","given":"Vincent","non-dropping-particle":"","parse-names":false,"suffix":""},{"dropping-particle":"","family":"Rousselle","given":"Tristan","non-dropping-particle":"","parse-names":false,"suffix":""}],"container-title":"Long Range Planning","id":"ITEM-1","issue":"2-3","issued":{"date-parts":[["2010"]]},"page":"431-447","title":"From recipe to dinner: Business model portfolios in the european biopharmaceutical industry","type":"article-journal","volume":"43"},"uris":["http://www.mendeley.com/documents/?uuid=404b63ff-afa4-4515-9325-a2dc63994dad"]}],"mendeley":{"formattedCitation":"(Sabatier, Mangematin, &amp; Rousselle, 2010)","manualFormatting":"(2010)","plainTextFormattedCitation":"(Sabatier, Mangematin, &amp; Rousselle, 2010)","previouslyFormattedCitation":"(Valérie Sabatier et al., 2010)"},"properties":{"noteIndex":0},"schema":"https://github.com/citation-style-language/schema/raw/master/csl-citation.json"}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(2010)</w:t>
      </w:r>
      <w:r w:rsidRPr="00FF4E93">
        <w:rPr>
          <w:rFonts w:eastAsia="Times New Roman"/>
          <w:sz w:val="26"/>
        </w:rPr>
        <w:fldChar w:fldCharType="end"/>
      </w:r>
      <w:r w:rsidRPr="00FF4E93">
        <w:rPr>
          <w:rFonts w:eastAsia="Times New Roman"/>
          <w:sz w:val="26"/>
        </w:rPr>
        <w:t xml:space="preserve"> introduce the notion of </w:t>
      </w:r>
      <w:r w:rsidRPr="00FF4E93">
        <w:rPr>
          <w:rFonts w:eastAsia="Times New Roman"/>
          <w:i/>
          <w:sz w:val="26"/>
        </w:rPr>
        <w:t>‘iconic business models’,</w:t>
      </w:r>
      <w:r w:rsidRPr="00FF4E93">
        <w:rPr>
          <w:rFonts w:eastAsia="Times New Roman"/>
          <w:sz w:val="26"/>
        </w:rPr>
        <w:t xml:space="preserve"> which represent prototypical exemplars of a business model category, e.g., </w:t>
      </w:r>
      <w:r w:rsidRPr="00FF4E93">
        <w:rPr>
          <w:rFonts w:eastAsia="Times New Roman"/>
          <w:i/>
          <w:sz w:val="26"/>
        </w:rPr>
        <w:t>Amgen</w:t>
      </w:r>
      <w:r w:rsidRPr="00FF4E93">
        <w:rPr>
          <w:rFonts w:eastAsia="Times New Roman"/>
          <w:sz w:val="26"/>
        </w:rPr>
        <w:t xml:space="preserve"> for business models in the biotech sector or </w:t>
      </w:r>
      <w:r w:rsidRPr="00FF4E93">
        <w:rPr>
          <w:rFonts w:eastAsia="Times New Roman"/>
          <w:i/>
          <w:sz w:val="26"/>
        </w:rPr>
        <w:t>Airbnb</w:t>
      </w:r>
      <w:r w:rsidRPr="00FF4E93">
        <w:rPr>
          <w:rFonts w:eastAsia="Times New Roman"/>
          <w:sz w:val="26"/>
        </w:rPr>
        <w:t xml:space="preserve"> for platform business models of the sharing economy. A categorical prototype represents an ideal type that possesses all features to represent a category and is commonly used as the basis for the definition of necessary and sufficient membership conditions </w:t>
      </w:r>
      <w:r w:rsidRPr="00FF4E93">
        <w:rPr>
          <w:rFonts w:eastAsia="Times New Roman"/>
          <w:sz w:val="26"/>
        </w:rPr>
        <w:fldChar w:fldCharType="begin" w:fldLock="1"/>
      </w:r>
      <w:r w:rsidRPr="00FF4E93">
        <w:rPr>
          <w:rFonts w:eastAsia="Times New Roman"/>
          <w:sz w:val="26"/>
        </w:rPr>
        <w:instrText>ADDIN CSL_CITATION {"citationItems":[{"id":"ITEM-1","itemData":{"abstract":"Legitimacy and reputation are both perceptions of approval of an organization's actions. Legitimacy is a perception that organizations conform with taken-for-granted standards. Reputation is a perception that organizations are positively distinctive within their peer group. While the need for inclusion and distinction may seem somewhat contradictory on its face, we maintain that both functional demands are grounded in an organization's adopted social identities, or social identity referents, characterized herein as social category memberships. Social identities constitute an organization's reference group and provide stakeholders with standards by which assessments of the organization are made. Organizations are seen as having legitimacy when they comply with the minimum standards of a particular social identity prototype – a prototypical X-type organization. Organizations have good reputations when they are viewed favorably relative to the ideal standard for a particular social identity – an ideal, or esteemed, X-type organization. Conventional thinking holds that legitimacy is a requirement of all organizations, whereas reputation is a desirable, but not essential property. This paper argues that, from the perspective of identity theory, reputation and legitimacy are complementary, reciprocal concepts, linked to the dual identification requirements: who is this actor similar to and how is this actor different from all similar others. The implications of this ‘fresh perspective’ for organizational reputation scholarship are discussed.Corporate Reputation Review (2008) 11, 192–207. doi:10.1057/crr.2008.16 [ABSTRACT FROM AUTHOR]","author":[{"dropping-particle":"","family":"King","given":"Brayden G.","non-dropping-particle":"","parse-names":false,"suffix":""},{"dropping-particle":"","family":"Whetten","given":"David A.","non-dropping-particle":"","parse-names":false,"suffix":""}],"container-title":"Corporate Reputation Review","id":"ITEM-1","issue":"3","issued":{"date-parts":[["2008"]]},"page":"192-207","title":"Rethinking the Relationship Between Reputation and Legitimacy: A Social Actor Conceptualization","type":"article-journal","volume":"11"},"uris":["http://www.mendeley.com/documents/?uuid=74744dad-142a-4ec4-afb5-41666a3592db"]},{"id":"ITEM-2","itemData":{"abstract":"Recent theory and research have reconceptualized categories in markets and in other settings as part of the languages developed to characterize roles in a producer-audience interface. An important development in this work is the characterization of memberships in producer categories and in audiences as potentially partial. Producers often are regarded as members in a category to varying degrees, and audience members share to varying degrees in consensus about the applicability and meanings of category labels. Such partiality gives rise to fuzziness in boundaries, which has implications for the emergence and persistence of categories. A fast-developing literature has explored these implications empirically.","author":[{"dropping-particle":"","family":"Hannan","given":"Michael","non-dropping-particle":"","parse-names":false,"suffix":""}],"container-title":"Annual Review of Sociology","id":"ITEM-2","issued":{"date-parts":[["2010"]]},"page":"159-184","title":"Partiality of Memberships in Categories and Audiences","type":"article-journal","volume":"36"},"uris":["http://www.mendeley.com/documents/?uuid=2999615a-8c12-4367-972b-199441b74e6c"]},{"id":"ITEM-3","itemData":{"abstract":"We advocate for more tolerance in the manner we collectively address categories and categorization in our research. Drawing on the prototype view, organizational scholars have provided a ‘disciplining’ framework to explain how category membership shapes, impacts, and limits organizational success. By stretching the existing straightjacket of scholarship on categories, we point to other useful conceptualizations of categories – i.e. the causal-model and the goal-based approaches of categorization – and propose that depending on situational circumstances, and beyond a disciplining exercise, categories involve a cognitive test of congruence and a goal satisfying calculus. Unsettling the current consensus about categorical imperatives and market discipline, we suggest also that audiences may tolerate more often than previously thought organizations that blend, span, and stretch categories. We derive implications for research about multi-category membership and mediation in markets, and suggest ways in which work on the theme of categories in the strategy, entrepreneurship, and managerial cognition literatures can be enriched.","author":[{"dropping-particle":"","family":"Durand","given":"Rodolphe","non-dropping-particle":"","parse-names":false,"suffix":""},{"dropping-particle":"","family":"Paolella","given":"Lionel","non-dropping-particle":"","parse-names":false,"suffix":""}],"container-title":"Journal of Management Studies","id":"ITEM-3","issue":"6","issued":{"date-parts":[["2013"]]},"page":"1100-1123","title":"Category stretching: Reorienting research on categories in strategy, entrepreneurship, and organization theory","type":"article-journal","volume":"50"},"uris":["http://www.mendeley.com/documents/?uuid=9fedef3c-58c1-486e-a871-64a741d7c4d4"]}],"mendeley":{"formattedCitation":"(Durand &amp; Paolella, 2013; M. Hannan, 2010; King &amp; Whetten, 2008)","manualFormatting":"(Durand &amp; Paolella, 2013; Hannan, 2010; King &amp; Whetten, 2008)","plainTextFormattedCitation":"(Durand &amp; Paolella, 2013; M. Hannan, 2010; King &amp; Whetten, 2008)","previouslyFormattedCitation":"(Durand &amp; Paolella, 2013; M. Hannan, 2010; King &amp; Whetten, 2008)"},"properties":{"noteIndex":0},"schema":"https://github.com/citation-style-language/schema/raw/master/csl-citation.json"}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(Durand &amp; Paolella, 2013; Hannan, 2010; King &amp; Whetten, 2008)</w:t>
      </w:r>
      <w:r w:rsidRPr="00FF4E93">
        <w:rPr>
          <w:rFonts w:eastAsia="Times New Roman"/>
          <w:sz w:val="26"/>
        </w:rPr>
        <w:fldChar w:fldCharType="end"/>
      </w:r>
      <w:r w:rsidRPr="00FF4E93">
        <w:rPr>
          <w:rFonts w:eastAsia="Times New Roman"/>
          <w:sz w:val="26"/>
        </w:rPr>
        <w:t xml:space="preserve">. An iconic business model, hence, represents an innovative standard for value capture and creation mechanisms that serves as a source of inspiration and can be copied </w:t>
      </w:r>
      <w:r w:rsidRPr="00FF4E93">
        <w:rPr>
          <w:rFonts w:eastAsia="Times New Roman"/>
          <w:sz w:val="26"/>
        </w:rPr>
        <w:fldChar w:fldCharType="begin" w:fldLock="1"/>
      </w:r>
      <w:r w:rsidR="00C95F78" w:rsidRPr="00FF4E93">
        <w:rPr>
          <w:rFonts w:eastAsia="Times New Roman"/>
          <w:sz w:val="26"/>
        </w:rPr>
        <w:instrText>ADDIN CSL_CITATION {"citationItems":[{"id":"ITEM-1","itemData":{"abstract":"Despite ample research on the topic of business model innovation, little is known about the cognitive processes whereby some innovative business models gain the status of iconic representations of particular types of firms. This study addresses the question: How do iconic business models emerge? In other words: How do innovative business models become prototypical exemplars for new categories of firms? We focus on the case of Airbnb, and analyze how six mainstream business media publications discussed Airbnb between 2008 and 2013. The cognitive process whereby Airbnb’s business model became the iconic business model for the sharing economy involved three phases. First, these publications drew on multiple analogies to try to assimilate Airbnb’s innovative business model into their existing system of categories. Second, they developed a more nuanced understanding of Airbnb’s business model. Finally, they established it as the prototypical exemplar of a new type of organization. We contribute to business model research by providing an elaborateddefinition of the notion of the iconic business model which is rooted in social categorization research, and by theorizing the cognitive process that underpins the emergence of iconic business models. Our study also complements research on the role of analogical reasoning in business model innovation. Finally, we complement the market categorization literature by documenting a case of the emergence of a prototypical exemplar","author":[{"dropping-particle":"","family":"Mikhalkina","given":"Tatiana","non-dropping-particle":"","parse-names":false,"suffix":""},{"dropping-particle":"","family":"Cabantous","given":"Laure","non-dropping-particle":"","parse-names":false,"suffix":""}],"container-title":"Advances in Strategic Management","id":"ITEM-1","issued":{"date-parts":[["2015"]]},"page":"59-95","title":"Business model innovation: How iconic business models emerge","type":"article-journal","volume":"33"},"uris":["http://www.mendeley.com/documents/?uuid=9e9c6ad2-a3c3-47a7-80b5-339f863a8ded"]}],"mendeley":{"formattedCitation":"(Mikhalkina &amp; Cabantous, 2015)","plainTextFormattedCitation":"(Mikhalkina &amp; Cabantous, 2015)","previouslyFormattedCitation":"(Mikhalkina &amp; Cabantous, 2015a)"},"properties":{"noteIndex":0},"schema":"https://github.com/citation-style-language/schema/raw/master/csl-citation.json"}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(Mikhalkina &amp; Cabantous, 2015)</w:t>
      </w:r>
      <w:r w:rsidRPr="00FF4E93">
        <w:rPr>
          <w:rFonts w:eastAsia="Times New Roman"/>
          <w:sz w:val="26"/>
        </w:rPr>
        <w:fldChar w:fldCharType="end"/>
      </w:r>
      <w:r w:rsidRPr="00FF4E93">
        <w:rPr>
          <w:rFonts w:eastAsia="Times New Roman"/>
          <w:sz w:val="26"/>
        </w:rPr>
        <w:t xml:space="preserve">. </w:t>
      </w:r>
    </w:p>
    <w:p w14:paraId="4396A8F8" w14:textId="77777777" w:rsidR="00151DC1" w:rsidRPr="00FF4E93" w:rsidRDefault="00151DC1" w:rsidP="00151DC1">
      <w:pPr>
        <w:spacing w:after="0"/>
        <w:rPr>
          <w:rFonts w:eastAsia="Times New Roman"/>
          <w:sz w:val="26"/>
        </w:rPr>
      </w:pPr>
      <w:r w:rsidRPr="00FF4E93">
        <w:rPr>
          <w:rFonts w:eastAsia="Times New Roman"/>
          <w:sz w:val="26"/>
        </w:rPr>
        <w:t xml:space="preserve">One popular type of models refers to </w:t>
      </w:r>
      <w:r w:rsidRPr="00FF4E93">
        <w:rPr>
          <w:rFonts w:eastAsia="Times New Roman"/>
          <w:i/>
          <w:sz w:val="26"/>
        </w:rPr>
        <w:t>business model patterns</w:t>
      </w:r>
      <w:r w:rsidRPr="00FF4E93">
        <w:rPr>
          <w:rFonts w:eastAsia="Times New Roman"/>
          <w:sz w:val="26"/>
        </w:rPr>
        <w:t xml:space="preserve">. The formalized conceptualization of patterns is commonly considered to originate from the architect Christopher Alexander, who refers to patterns in architecture as the description of a reoccurring problem and the core of its solution that allows for reuse by others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{"citationItems":[{"id":"ITEM-1","itemData":{"author":[{"dropping-particle":"","family":"Alexander","given":"Christopher","non-dropping-particle":"","parse-names":false,"suffix":""}],"id":"ITEM-1","issued":{"date-parts":[["1977"]]},"number-of-pages":"1171","publisher":"Oxford University Press","publisher-place":"Oxford, UK","title":"A Pattern Language: Towns, Buildings, Construction","type":"book"},"uris":["http://www.mendeley.com/documents/?uuid=dd799f84-b67f-466d-97ac-3ad485760668"]}],"mendeley":{"formattedCitation":"(Alexander, 1977)","plainTextFormattedCitation":"(Alexander, 1977)","previouslyFormattedCitation":"(Alexander, 1977)"},"properties":{"noteIndex":0},"schema":"https://github.com/citation-style-language/schema/raw/master/csl-citation.json"}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(Alexander, 1977)</w:t>
      </w:r>
      <w:r w:rsidRPr="00FF4E93">
        <w:rPr>
          <w:rFonts w:eastAsia="Times New Roman"/>
          <w:sz w:val="26"/>
        </w:rPr>
        <w:fldChar w:fldCharType="end"/>
      </w:r>
      <w:r w:rsidRPr="00FF4E93">
        <w:rPr>
          <w:rFonts w:eastAsia="Times New Roman"/>
          <w:sz w:val="26"/>
        </w:rPr>
        <w:t xml:space="preserve">. More generally, a pattern is defined as an empirically proven solution to </w:t>
      </w:r>
      <w:r w:rsidRPr="00FF4E93">
        <w:rPr>
          <w:rFonts w:eastAsia="Times New Roman"/>
          <w:i/>
          <w:sz w:val="26"/>
        </w:rPr>
        <w:t>“a recurring design problem and explains the context in which the solution is applicable”</w:t>
      </w:r>
      <w:r w:rsidRPr="00FF4E93">
        <w:rPr>
          <w:rFonts w:eastAsia="Times New Roman"/>
          <w:sz w:val="26"/>
        </w:rPr>
        <w:t xml:space="preserve"> </w:t>
      </w:r>
      <w:r w:rsidRPr="00FF4E93">
        <w:rPr>
          <w:rFonts w:eastAsia="Times New Roman"/>
          <w:sz w:val="26"/>
        </w:rPr>
        <w:fldChar w:fldCharType="begin" w:fldLock="1"/>
      </w:r>
      <w:r w:rsidRPr="00FF4E93">
        <w:rPr>
          <w:rFonts w:eastAsia="Times New Roman"/>
          <w:sz w:val="26"/>
        </w:rPr>
        <w:instrText>ADDIN CSL_CITATION {"citationItems":[{"id":"ITEM-1","itemData":{"abstract":"Software patterns have been used for a decade or more to describe solutions to design and architecture problems. This paper illustrates the value of using software patterns to describe and generate specific architectures and discusses the objectives and techniques of documenting architectures using these patterns. It defines the specialized system of software patterns called a pattern language and presents example patterns and an example pattern language. Finally, it introduces a set of software patterns that represents service architectures, including service architectures for offering advanced services. &amp;copy; 2004 Lucent Technologies Inc.","author":[{"dropping-particle":"","family":"Hanmer","given":"Robert S.","non-dropping-particle":"","parse-names":false,"suffix":""},{"dropping-particle":"","family":"Kocan","given":"Kristin F.","non-dropping-particle":"","parse-names":false,"suffix":""}],"container-title":"Bell Labs Technical Journal","id":"ITEM-1","issue":"1","issued":{"date-parts":[["2004"]]},"page":"143-163","title":"Documenting architectures with patterns","type":"article-journal","volume":"9"},"uris":["http://www.mendeley.com/documents/?uuid=6a57e31e-d0f6-4f6a-a516-01934fed18b4"]}],"mendeley":{"formattedCitation":"(Hanmer &amp; Kocan, 2004)","manualFormatting":"(Hanmer &amp; Kocan, 2004, p.143)","plainTextFormattedCitation":"(Hanmer &amp; Kocan, 2004)","previouslyFormattedCitation":"(Hanmer &amp; Kocan, 2004)"},"properties":{"noteIndex":0},"schema":"https://github.com/citation-style-language/schema/raw/master/csl-citation.json"}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(Hanmer &amp; Kocan, 2004, p.143)</w:t>
      </w:r>
      <w:r w:rsidRPr="00FF4E93">
        <w:rPr>
          <w:rFonts w:eastAsia="Times New Roman"/>
          <w:sz w:val="26"/>
        </w:rPr>
        <w:fldChar w:fldCharType="end"/>
      </w:r>
      <w:r w:rsidRPr="00FF4E93">
        <w:rPr>
          <w:rFonts w:eastAsia="Times New Roman"/>
          <w:sz w:val="26"/>
        </w:rPr>
        <w:t xml:space="preserve">. Patterns have been documented across various domains ranging from urban architecture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{"citationItems":[{"id":"ITEM-1","itemData":{"author":[{"dropping-particle":"","family":"Alexander","given":"Christopher","non-dropping-particle":"","parse-names":false,"suffix":""}],"id":"ITEM-1","issued":{"date-parts":[["1979"]]},"number-of-pages":"552","publisher":"Oxford University Press","publisher-place":"Oxford, UK","title":"A Timeless Way of Building","type":"book"},"uris":["http://www.mendeley.com/documents/?uuid=b3aa041f-f109-42ee-a3df-5277728aacdf"]},{"id":"ITEM-2","itemData":{"author":[{"dropping-particle":"","family":"Alexander","given":"Christopher","non-dropping-particle":"","parse-names":false,"suffix":""}],"id":"ITEM-2","issued":{"date-parts":[["1977"]]},"number-of-pages":"1171","publisher":"Oxford University Press","publisher-place":"Oxford, UK","title":"A Pattern Language: Towns, Buildings, Construction","type":"book"},"uris":["http://www.mendeley.com/documents/?uuid=dd799f84-b67f-466d-97ac-3ad485760668"]}],"mendeley":{"formattedCitation":"(Alexander, 1977, 1979)","plainTextFormattedCitation":"(Alexander, 1977, 1979)","previouslyFormattedCitation":"(Alexander, 1977, 1979)"},"properties":{"noteIndex":0},"schema":"https://github.com/citation-style-language/schema/raw/master/csl-citation.json"}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(Alexander, 1977, 1979)</w:t>
      </w:r>
      <w:r w:rsidRPr="00FF4E93">
        <w:rPr>
          <w:rFonts w:eastAsia="Times New Roman"/>
          <w:sz w:val="26"/>
        </w:rPr>
        <w:fldChar w:fldCharType="end"/>
      </w:r>
      <w:r w:rsidRPr="00FF4E93">
        <w:rPr>
          <w:rFonts w:eastAsia="Times New Roman"/>
          <w:sz w:val="26"/>
        </w:rPr>
        <w:t xml:space="preserve">, to software engineering </w:t>
      </w:r>
      <w:r w:rsidRPr="00FF4E93">
        <w:rPr>
          <w:rFonts w:eastAsia="Times New Roman"/>
          <w:sz w:val="26"/>
        </w:rPr>
        <w:fldChar w:fldCharType="begin" w:fldLock="1"/>
      </w:r>
      <w:r w:rsidRPr="00FF4E93">
        <w:rPr>
          <w:rFonts w:eastAsia="Times New Roman"/>
          <w:sz w:val="26"/>
        </w:rPr>
        <w:instrText>ADDIN CSL_CITATION {"citationItems":[{"id":"ITEM-1","itemData":{"abstract":"Software patterns have been used for a decade or more to describe solutions to design and architecture problems. This paper illustrates the value of using software patterns to describe and generate specific architectures and discusses the objectives and techniques of documenting architectures using these patterns. It defines the specialized system of software patterns called a pattern language and presents example patterns and an example pattern language. Finally, it introduces a set of software patterns that represents service architectures, including service architectures for offering advanced services. &amp;copy; 2004 Lucent Technologies Inc.","author":[{"dropping-particle":"","family":"Hanmer","given":"Robert S.","non-dropping-particle":"","parse-names":false,"suffix":""},{"dropping-particle":"","family":"Kocan","given":"Kristin F.","non-dropping-particle":"","parse-names":false,"suffix":""}],"container-title":"Bell Labs Technical Journal","id":"ITEM-1","issue":"1","issued":{"date-parts":[["2004"]]},"page":"143-163","title":"Documenting architectures with patterns","type":"article-journal","volume":"9"},"uris":["http://www.mendeley.com/documents/?uuid=6a57e31e-d0f6-4f6a-a516-01934fed18b4"]},{"id":"ITEM-2","itemData":{"author":[{"dropping-particle":"","family":"Gamma","given":"Erich","non-dropping-particle":"","parse-names":false,"suffix":""},{"dropping-particle":"","family":"Helm","given":"Richard","non-dropping-particle":"","parse-names":false,"suffix":""},{"dropping-particle":"","family":"Johnson","given":"Ralph","non-dropping-particle":"","parse-names":false,"suffix":""},{"dropping-particle":"","family":"Vlissides","given":"John","non-dropping-particle":"","parse-names":false,"suffix":""}],"id":"ITEM-2","issued":{"date-parts":[["1994"]]},"number-of-pages":"395","publisher":"Addison-Wesley","publisher-place":"Boston, MA","title":"Design Patterns: Elements of Reusable Object-Oriented Software","type":"book"},"uris":["http://www.mendeley.com/documents/?uuid=c6a85f42-863c-4434-ad00-ee5614bb770a"]}],"mendeley":{"formattedCitation":"(Gamma, Helm, Johnson, &amp; Vlissides, 1994; Hanmer &amp; Kocan, 2004)","plainTextFormattedCitation":"(Gamma, Helm, Johnson, &amp; Vlissides, 1994; Hanmer &amp; Kocan, 2004)","previouslyFormattedCitation":"(Gamma, Helm, Johnson, &amp; Vlissides, 1994; Hanmer &amp; Kocan, 2004)"},"properties":{"noteIndex":0},"schema":"https://github.com/citation-style-language/schema/raw/master/csl-citation.json"}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(Gamma, Helm, Johnson, &amp; Vlissides, 1994; Hanmer &amp; Kocan, 2004)</w:t>
      </w:r>
      <w:r w:rsidRPr="00FF4E93">
        <w:rPr>
          <w:rFonts w:eastAsia="Times New Roman"/>
          <w:sz w:val="26"/>
        </w:rPr>
        <w:fldChar w:fldCharType="end"/>
      </w:r>
      <w:r w:rsidRPr="00FF4E93">
        <w:rPr>
          <w:rFonts w:eastAsia="Times New Roman"/>
          <w:sz w:val="26"/>
        </w:rPr>
        <w:t xml:space="preserve">, and inventions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{"citationItems":[{"id":"ITEM-1","itemData":{"author":[{"dropping-particle":"","family":"Altshuller","given":"Genrich","non-dropping-particle":"","parse-names":false,"suffix":""}],"id":"ITEM-1","issued":{"date-parts":[["1984"]]},"number-of-pages":"320","publisher":"Gordon and Breach Publishers","publisher-place":"Philadelphia, PA","title":"Creativity as an Exact Science: The Theory of the Solutions of Inventive Problems","type":"book"},"uris":["http://www.mendeley.com/documents/?uuid=9dfdc810-52ae-4623-8405-1be82e48a070"]},{"id":"ITEM-2","itemData":{"author":[{"dropping-particle":"","family":"Altshuller","given":"Genrich","non-dropping-particle":"","parse-names":false,"suffix":""}],"edition":"2nd","id":"ITEM-2","issued":{"date-parts":[["1996"]]},"publisher":"Technical Innovation Center","publisher-place":"Worcester, MA","title":"And Suddenly the Inventor Appeared: Triz, the Theory of Inventive Problem Solving","type":"book"},"uris":["http://www.mendeley.com/documents/?uuid=f3e26aa6-8f9e-43f1-af00-627d5ece5018"]}],"mendeley":{"formattedCitation":"(Altshuller, 1984, 1996)","plainTextFormattedCitation":"(Altshuller, 1984, 1996)","previouslyFormattedCitation":"(Altshuller, 1984, 1996)"},"properties":{"noteIndex":0},"schema":"https://github.com/citation-style-language/schema/raw/master/csl-citation.json"}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(Altshuller, 1984, 1996)</w:t>
      </w:r>
      <w:r w:rsidRPr="00FF4E93">
        <w:rPr>
          <w:rFonts w:eastAsia="Times New Roman"/>
          <w:sz w:val="26"/>
        </w:rPr>
        <w:fldChar w:fldCharType="end"/>
      </w:r>
      <w:r w:rsidRPr="00FF4E93">
        <w:rPr>
          <w:rFonts w:eastAsia="Times New Roman"/>
          <w:sz w:val="26"/>
        </w:rPr>
        <w:t xml:space="preserve">. </w:t>
      </w:r>
    </w:p>
    <w:p w14:paraId="05DD0831" w14:textId="166B5F7A" w:rsidR="00151DC1" w:rsidRPr="00FF4E93" w:rsidRDefault="00151DC1" w:rsidP="00151DC1">
      <w:pPr>
        <w:spacing w:after="0"/>
        <w:rPr>
          <w:rFonts w:eastAsia="Times New Roman"/>
          <w:sz w:val="26"/>
        </w:rPr>
      </w:pPr>
      <w:r w:rsidRPr="00FF4E93">
        <w:rPr>
          <w:rFonts w:eastAsia="Times New Roman"/>
          <w:sz w:val="26"/>
        </w:rPr>
        <w:t xml:space="preserve">In the management domain, business model patterns represent successfully proven configurations of business model elements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Gassmann","given":"Oliver","non-dropping-particle":"","parse-names":false,"suffix":""},{"dropping-particle":"","family":"Frankenberger","given":"Karolin","non-dropping-particle":"","parse-names":false,"suffix":""},{"dropping-particle":"","family":"Csik","given":"Michaela","non-dropping-particle":"","parse-names":false,"suffix":""}],"edition":"2nd","id":"ITEM-1","issued":{"date-parts":[["2017"]]},"number-of-pages":"416","publisher":"Carl Hanser Verlag","publisher-place":"Munich, Germany","title":"The Business Model Navigator","type":"book"},"uris":["http://www.mendeley.com/documents/?uuid=684e1517-e17a-4ba8-a565-5ce0cc4aa250"]}],"mendeley":{"formattedCitation":"(Gassmann et al., 2017)","plainTextFormattedCitation":"(Gassmann et al., 2017)","previouslyFormattedCitation":"(Gassmann et al., 2017)"},"properties":{"noteIndex":0},"schema":"https://github.com/citation-style-language/schema/raw/master/csl-citation.json"}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(Gassmann et al., 2017)</w:t>
      </w:r>
      <w:r w:rsidRPr="00FF4E93">
        <w:rPr>
          <w:rFonts w:eastAsia="Times New Roman"/>
          <w:sz w:val="26"/>
        </w:rPr>
        <w:fldChar w:fldCharType="end"/>
      </w:r>
      <w:r w:rsidRPr="00FF4E93">
        <w:rPr>
          <w:rFonts w:eastAsia="Times New Roman"/>
          <w:sz w:val="26"/>
        </w:rPr>
        <w:t xml:space="preserve">. These configurations are abstracted descriptions of empirically observable, resembling solutions of a recurring problem in a certain context </w:t>
      </w:r>
      <w:r w:rsidRPr="00FF4E93">
        <w:rPr>
          <w:rFonts w:eastAsia="Times New Roman"/>
          <w:sz w:val="26"/>
        </w:rPr>
        <w:fldChar w:fldCharType="begin" w:fldLock="1"/>
      </w:r>
      <w:r w:rsidR="00C95F78" w:rsidRPr="00FF4E93">
        <w:rPr>
          <w:rFonts w:eastAsia="Times New Roman"/>
          <w:sz w:val="26"/>
        </w:rPr>
        <w:instrText>ADDIN CSL_CITATION {"citationItems":[{"id":"ITEM-1","itemData":{"author":[{"dropping-particle":"","family":"Osterwalder","given":"Alexander","non-dropping-particle":"","parse-names":false,"suffix":""},{"dropping-particle":"","family":"Pigneur","given":"Yves","non-dropping-particle":"","parse-names":false,"suffix":""}],"id":"ITEM-1","issued":{"date-parts":[["2010"]]},"publisher":"John Wiley &amp; Sons","publisher-place":"Hoboken, NJ","title":"Business Model Generation: A Handbook for Visionaries, Game Changers, and Challengers","type":"book"},"uris":["http://www.mendeley.com/documents/?uuid=1caa97c2-bec3-4968-b23c-35c75105e131"]},{"id":"ITEM-2","itemData":{"abstract":"The paper aims to generate systematically business model innovations in the field of electric mobility. It introduces a new framework, in which a business model denotes a value-focused concept with five value dimensions: value proposition, value communication, value creation, value delivery and value capture. The framework enables the classification of business model patterns, identified in the literature, according to five categories. The combination of patterns from different dimensions can lead to the systematic generation of business model innovations. But the number of business models that can result from pattern combinations can be overwhelming. Subsequently, the paper only evaluates the extent to which business model patterns that are not necessarily observed in the automotive sector can be useful for the field of electric mobility, and how they can be adapted to fit into the new context. We find that the transferability strongly depends on the actor's role in the system, if it is a manufacturer, supplier or service provider. More importantly, our analysis shows that some models such as product-to-service (e.g., car sharing service), already implemented in the automotive industry, will continue to be successful in the future because of their potential of increasing customer acceptance and technology diffusion. Many other business models -- so far used in other sectors, but not in the automotive industry -- may integrate the field of electric mobility. Razor and blades, own the undesirable concept, and leverage new influencers are all promising business models, if they can be fitted adequately to the new context induced by the new technology. [ABSTRACT FROM AUTHOR]","author":[{"dropping-particle":"","family":"Abdelkafi","given":"Nizar","non-dropping-particle":"","parse-names":false,"suffix":""},{"dropping-particle":"","family":"Makhotin","given":"Sergiy","non-dropping-particle":"","parse-names":false,"suffix":""},{"dropping-particle":"","family":"Posselt","given":"Thorsten","non-dropping-particle":"","parse-names":false,"suffix":""}],"container-title":"International Journal of Innovation Management","id":"ITEM-2","issue":"1","issued":{"date-parts":[["2013"]]},"page":"1-41","title":"Business Model Innovations for Electric Mobility — What Can Be Learned From Existing Business Model Patterns?","type":"article-journal","volume":"17"},"uris":["http://www.mendeley.com/documents/?uuid=3e3980f5-d7ed-43ee-ae22-0572b30233f4"]}],"mendeley":{"formattedCitation":"(Abdelkafi, Makhotin, &amp; Posselt, 2013; Osterwalder &amp; Pigneur, 2010)","plainTextFormattedCitation":"(Abdelkafi, Makhotin, &amp; Posselt, 2013; Osterwalder &amp; Pigneur, 2010)","previouslyFormattedCitation":"(Abdelkafi et al., 2013; Osterwalder &amp; Pigneur, 2010)"},"properties":{"noteIndex":0},"schema":"https://github.com/citation-style-language/schema/raw/master/csl-citation.json"}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(Abdelkafi, Makhotin, &amp; Posselt, 2013; Osterwalder &amp; Pigneur, 2010)</w:t>
      </w:r>
      <w:r w:rsidRPr="00FF4E93">
        <w:rPr>
          <w:rFonts w:eastAsia="Times New Roman"/>
          <w:sz w:val="26"/>
        </w:rPr>
        <w:fldChar w:fldCharType="end"/>
      </w:r>
      <w:r w:rsidRPr="00FF4E93">
        <w:rPr>
          <w:rFonts w:eastAsia="Times New Roman"/>
          <w:sz w:val="26"/>
        </w:rPr>
        <w:t xml:space="preserve">. Sometimes, business model patterns holistically refer to the complete business model logic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{"citationItems":[{"id":"ITEM-1","itemData":{"author":[{"dropping-particle":"","family":"Weill","given":"Peter","non-dropping-particle":"","parse-names":false,"suffix":""},{"dropping-particle":"","family":"Malone","given":"Thomas W","non-dropping-particle":"","parse-names":false,"suffix":""},{"dropping-particle":"","family":"D'urso","given":"Victoria T","non-dropping-particle":"","parse-names":false,"suffix":""},{"dropping-particle":"","family":"Herman","given":"George","non-dropping-particle":"","parse-names":false,"suffix":""},{"dropping-particle":"","family":"Woerner","given":"Stephanie","non-dropping-particle":"","parse-names":false,"suffix":""}],"id":"ITEM-1","issue":"May 18","issued":{"date-parts":[["2005"]]},"title":"Do Some Business Models Perform Better than Others? A Study of the 1000 Largest US Firms","type":"report"},"uris":["http://www.mendeley.com/documents/?uuid=12fa87ee-1cf2-4497-b0f9-535d3c5ba282"]},{"id":"ITEM-2","itemData":{"author":[{"dropping-particle":"","family":"Timmers","given":"Paul","non-dropping-particle":"","parse-names":false,"suffix":""}],"container-title":"Electronic Markets","id":"ITEM-2","issue":"2","issued":{"date-parts":[["1998"]]},"page":"3-8","title":"Business Models for Electronic Markets","type":"article-journal","volume":"8"},"uris":["http://www.mendeley.com/documents/?uuid=70528a84-e672-4df3-964d-ba12e52b0e05"]}],"mendeley":{"formattedCitation":"(Timmers, 1998; Weill, Malone, D’urso, Herman, &amp; Woerner, 2005)","plainTextFormattedCitation":"(Timmers, 1998; Weill, Malone, D’urso, Herman, &amp; Woerner, 2005)","previouslyFormattedCitation":"(Timmers, 1998; Weill, Malone, D’urso, Herman, &amp; Woerner, 2005)"},"properties":{"noteIndex":0},"schema":"https://github.com/citation-style-language/schema/raw/master/csl-citation.json"}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(Timmers, 1998; Weill, Malone, D’urso, Herman, &amp; Woerner, 2005)</w:t>
      </w:r>
      <w:r w:rsidRPr="00FF4E93">
        <w:rPr>
          <w:rFonts w:eastAsia="Times New Roman"/>
          <w:sz w:val="26"/>
        </w:rPr>
        <w:fldChar w:fldCharType="end"/>
      </w:r>
      <w:r w:rsidRPr="00FF4E93">
        <w:rPr>
          <w:rFonts w:eastAsia="Times New Roman"/>
          <w:sz w:val="26"/>
        </w:rPr>
        <w:t xml:space="preserve">. However, most scholars identify them as ‘building blocks’ </w:t>
      </w:r>
      <w:r w:rsidRPr="00FF4E93">
        <w:rPr>
          <w:rFonts w:eastAsia="Times New Roman"/>
          <w:sz w:val="26"/>
        </w:rPr>
        <w:fldChar w:fldCharType="begin" w:fldLock="1"/>
      </w:r>
      <w:r w:rsidR="00C95F78" w:rsidRPr="00FF4E93">
        <w:rPr>
          <w:rFonts w:eastAsia="Times New Roman"/>
          <w:sz w:val="26"/>
        </w:rPr>
        <w:instrText>ADDIN CSL_CITATION {"citationItems":[{"id":"ITEM-1","itemData":{"author":[{"dropping-particle":"","family":"Osterwalder","given":"Alexander","non-dropping-particle":"","parse-names":false,"suffix":""},{"dropping-particle":"","family":"Pigneur","given":"Yves","non-dropping-particle":"","parse-names":false,"suffix":""}],"id":"ITEM-1","issued":{"date-parts":[["2010"]]},"publisher":"John Wiley &amp; Sons","publisher-place":"Hoboken, NJ","title":"Business Model Generation: A Handbook for Visionaries, Game Changers, and Challengers","type":"book"},"uris":["http://www.mendeley.com/documents/?uuid=1caa97c2-bec3-4968-b23c-35c75105e131"]},{"id":"ITEM-2","itemData":{"ISBN":"9781422157664","abstract":"Mark’s most recent work has focused on helping companies envision and create new growth, manage transformation, and achieve renewal through business model innovation. This work is the subject of the McKinsey award–winning Harvard Business Review article, “Reinventing Your Business Model,” co-authored by Clayton Christensen and Henning Kagermann. Mark also co-authored The Innovator’s Guide to Growth (Harvard Business Press, 2008), recently co-authored \"How to Jump-Start the Clean-Tech Economy\" (Harvard Business Review, 2009), and has published articles in the Sloan Management Review, Forbes.com, BusinessWeek Online, Advertising Age, and National Defense.","author":[{"dropping-particle":"","family":"Johnson","given":"Mark W.","non-dropping-particle":"","parse-names":false,"suffix":""}],"id":"ITEM-2","issued":{"date-parts":[["2010"]]},"publisher":"Harvard Business School Press","publisher-place":"Boston, MA","title":"Seizing the white space: Business Model Innovation for Growth and Renewal","type":"book"},"uris":["http://www.mendeley.com/documents/?uuid=65db6e9c-8dc8-4a76-8ad3-e9989d83f78f"]},{"id":"ITEM-3","itemData":{"author":[{"dropping-particle":"","family":"Gassmann","given":"Oliver","non-dropping-particle":"","parse-names":false,"suffix":""},{"dropping-particle":"","family":"Frankenberger","given":"Karolin","non-dropping-particle":"","parse-names":false,"suffix":""},{"dropping-particle":"","family":"Sauer","given":"Roman","non-dropping-particle":"","parse-names":false,"suffix":""}],"id":"ITEM-3","issued":{"date-parts":[["2016"]]},"publisher":"Palgrave Macmillan","title":"Exploring the field of Business Model Innovation: New Theoretical Perspectives","type":"book"},"uris":["http://www.mendeley.com/documents/?uuid=541f9f4e-872b-49e0-90de-a0142c143fa2"]}],"mendeley":{"formattedCitation":"(Gassmann et al., 2016; Johnson, 2010; Osterwalder &amp; Pigneur, 2010)","manualFormatting":"(Gassmann, Frankenberger, &amp; Sauer, 2016; Johnson, 2010; Osterwalder &amp; Pigneur, 2010)","plainTextFormattedCitation":"(Gassmann et al., 2016; Johnson, 2010; Osterwalder &amp; Pigneur, 2010)","previouslyFormattedCitation":"(Gassmann, Frankenberger, &amp; Sauer, 2016; M. W. Johnson, 2010; Osterwalder &amp; Pigneur, 2010)"},"properties":{"noteIndex":0},"schema":"https://github.com/citation-style-language/schema/raw/master/csl-citation.json"}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(Gassmann, Frankenberger, &amp; Sauer, 2016; Johnson, 2010; Osterwalder &amp; Pigneur, 2010)</w:t>
      </w:r>
      <w:r w:rsidRPr="00FF4E93">
        <w:rPr>
          <w:rFonts w:eastAsia="Times New Roman"/>
          <w:sz w:val="26"/>
        </w:rPr>
        <w:fldChar w:fldCharType="end"/>
      </w:r>
      <w:r w:rsidRPr="00FF4E93">
        <w:rPr>
          <w:rFonts w:eastAsia="Times New Roman"/>
          <w:sz w:val="26"/>
        </w:rPr>
        <w:t xml:space="preserve"> or ‘specific elements’ of business models </w:t>
      </w:r>
      <w:r w:rsidRPr="00FF4E93">
        <w:rPr>
          <w:rFonts w:eastAsia="Times New Roman"/>
          <w:sz w:val="26"/>
        </w:rPr>
        <w:fldChar w:fldCharType="begin" w:fldLock="1"/>
      </w:r>
      <w:r w:rsidRPr="00FF4E93">
        <w:rPr>
          <w:rFonts w:eastAsia="Times New Roman"/>
          <w:sz w:val="26"/>
        </w:rPr>
        <w:instrText>ADDIN CSL_CITATION {"citationItems":[{"id":"ITEM-1","itemData":{"abstract":"The paper aims to generate systematically business model innovations in the field of electric mobility. It introduces a new framework, in which a business model denotes a value-focused concept with five value dimensions: value proposition, value communication, value creation, value delivery and value capture. The framework enables the classification of business model patterns, identified in the literature, according to five categories. The combination of patterns from different dimensions can lead to the systematic generation of business model innovations. But the number of business models that can result from pattern combinations can be overwhelming. Subsequently, the paper only evaluates the extent to which business model patterns that are not necessarily observed in the automotive sector can be useful for the field of electric mobility, and how they can be adapted to fit into the new context. We find that the transferability strongly depends on the actor's role in the system, if it is a manufacturer, supplier or service provider. More importantly, our analysis shows that some models such as product-to-service (e.g., car sharing service), already implemented in the automotive industry, will continue to be successful in the future because of their potential of increasing customer acceptance and technology diffusion. Many other business models -- so far used in other sectors, but not in the automotive industry -- may integrate the field of electric mobility. Razor and blades, own the undesirable concept, and leverage new influencers are all promising business models, if they can be fitted adequately to the new context induced by the new technology. [ABSTRACT FROM AUTHOR]","author":[{"dropping-particle":"","family":"Abdelkafi","given":"Nizar","non-dropping-particle":"","parse-names":false,"suffix":""},{"dropping-particle":"","family":"Makhotin","given":"Sergiy","non-dropping-particle":"","parse-names":false,"suffix":""},{"dropping-particle":"","family":"Posselt","given":"Thorsten","non-dropping-particle":"","parse-names":false,"suffix":""}],"container-title":"International Journal of Innovation Management","id":"ITEM-1","issue":"1","issued":{"date-parts":[["2013"]]},"page":"1-41","title":"Business Model Innovations for Electric Mobility — What Can Be Learned From Existing Business Model Patterns?","type":"article-journal","volume":"17"},"uris":["http://www.mendeley.com/documents/?uuid=3e3980f5-d7ed-43ee-ae22-0572b30233f4"]}],"mendeley":{"formattedCitation":"(Abdelkafi et al., 2013)","plainTextFormattedCitation":"(Abdelkafi et al., 2013)","previouslyFormattedCitation":"(Abdelkafi et al., 2013)"},"properties":{"noteIndex":0},"schema":"https://github.com/citation-style-language/schema/raw/master/csl-citation.json"}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(Abdelkafi et al., 2013)</w:t>
      </w:r>
      <w:r w:rsidRPr="00FF4E93">
        <w:rPr>
          <w:rFonts w:eastAsia="Times New Roman"/>
          <w:sz w:val="26"/>
        </w:rPr>
        <w:fldChar w:fldCharType="end"/>
      </w:r>
      <w:r w:rsidRPr="00FF4E93">
        <w:rPr>
          <w:rFonts w:eastAsia="Times New Roman"/>
          <w:sz w:val="26"/>
        </w:rPr>
        <w:t>.</w:t>
      </w:r>
    </w:p>
    <w:p w14:paraId="0B8FE7F7" w14:textId="5A353121" w:rsidR="00151DC1" w:rsidRPr="00FF4E93" w:rsidRDefault="00151DC1" w:rsidP="00151DC1">
      <w:pPr>
        <w:spacing w:after="0"/>
        <w:rPr>
          <w:rFonts w:eastAsia="Times New Roman"/>
          <w:sz w:val="26"/>
        </w:rPr>
      </w:pPr>
      <w:r w:rsidRPr="00FF4E93">
        <w:rPr>
          <w:rFonts w:eastAsia="Times New Roman"/>
          <w:sz w:val="26"/>
        </w:rPr>
        <w:t>Scholars</w:t>
      </w:r>
      <w:r w:rsidRPr="00FF4E93">
        <w:rPr>
          <w:rFonts w:eastAsia="Times New Roman"/>
          <w:b/>
          <w:sz w:val="26"/>
        </w:rPr>
        <w:t xml:space="preserve"> </w:t>
      </w:r>
      <w:r w:rsidRPr="00FF4E93">
        <w:rPr>
          <w:rFonts w:eastAsia="Times New Roman"/>
          <w:sz w:val="26"/>
        </w:rPr>
        <w:t xml:space="preserve">concerned with the identification of business model patterns typically describe sets of those related to specific themes </w:t>
      </w:r>
      <w:r w:rsidRPr="00FF4E93">
        <w:rPr>
          <w:rFonts w:eastAsia="Times New Roman"/>
          <w:sz w:val="26"/>
        </w:rPr>
        <w:fldChar w:fldCharType="begin" w:fldLock="1"/>
      </w:r>
      <w:r w:rsidR="00C95F78" w:rsidRPr="00FF4E93">
        <w:rPr>
          <w:rFonts w:eastAsia="Times New Roman"/>
          <w:sz w:val="26"/>
        </w:rPr>
        <w:instrText>ADDIN CSL_CITATION {"citationItems":[{"id":"ITEM-1","itemData":{"abstract":"The business model concept offers strategists a fresh way to consider their options in uncertain, fast-moving and unpredictable environments. In contrast to conventional assumptions, recognizing that more new business models are both feasible and actionable than ever before is creating unprecedented opportunities for today's organizations. However, unlike conventional strategies that emphasize analysis, strategies that aim to discover and exploit new models must engage in significant experimentation and learning - a 'discovery driven,' rather than analytical approach. ?? 2009 Elsevier Ltd.","author":[{"dropping-particle":"","family":"McGrath","given":"Rita Gunther","non-dropping-particle":"","parse-names":false,"suffix":""}],"container-title":"Long Range Planning","id":"ITEM-1","issue":"2-3","issued":{"date-parts":[["2010"]]},"page":"247-261","publisher":"Elsevier Ltd","title":"Business models: A discovery driven approach","type":"article-journal","volume":"43"},"uris":["http://www.mendeley.com/documents/?uuid=aa345f0f-4059-493b-9933-d0ce58382b95"]},{"id":"ITEM-2","itemData":{"abstract":"The literature on sustainable business models (SBMs) offers different classifications of the available kinds of SBM. Our careful reading of this literature reveals that the received classifications have developed ad-hoc from multiple divergent perspectives. As a consequence, the proposed classifications are only partly overlapping and difficult to reconcile, thus hampering cumulative progress. Building on this premise, we offer a synthesis and consolidation of the available knowledge about SBMs. Following the notion of patterns as problem–solution combinations, we developed, tested, and applied a new multi-method and multi-step approach centred on an expert review process that combines literature review, Delphi survey, and physical card sorting to identify and validate the currently existing SBM patterns. Ten international experts participated in this process. They classified 45 SBM patterns, assigned these patterns to 11 groups along ecological, social, and economic dimensions of sustainability and evaluated their potential to contribute to value creation. The resulting taxonomy can serve as a basis for more unified and comparable studies of SBMs and for new business model tools that can be used in various disciplines and industries to analyse and develop sustainability-oriented business models in a consistent manner.","author":[{"dropping-particle":"","family":"Lüdeke-Freund","given":"Florian","non-dropping-particle":"","parse-names":false,"suffix":""},{"dropping-particle":"","family":"Carroux","given":"Sarah","non-dropping-particle":"","parse-names":false,"suffix":""},{"dropping-particle":"","family":"Joyce","given":"Alexandre","non-dropping-particle":"","parse-names":false,"suffix":""},{"dropping-particle":"","family":"Massa","given":"Lorenzo","non-dropping-particle":"","parse-names":false,"suffix":""},{"dropping-particle":"","family":"Breuer","given":"Henning","non-dropping-particle":"","parse-names":false,"suffix":""}],"container-title":"Sustainable Production and Consumption","id":"ITEM-2","issued":{"date-parts":[["2018"]]},"page":"145-162","publisher":"Elsevier B.V.","title":"The sustainable business model pattern taxonomy – 45 patterns to support sustainability-oriented business model innovation","type":"article-journal","volume":"15"},"uris":["http://www.mendeley.com/documents/?uuid=90b1df93-8290-44f0-8c49-97ca8c0040e5"]}],"mendeley":{"formattedCitation":"(Lüdeke-Freund, Carroux, Joyce, Massa, &amp; Breuer, 2018; McGrath, 2010)","manualFormatting":"(Lüdeke-Freund, Carroux, Joyce, Massa, &amp; Breuer, 2018; McGrath, 2010)","plainTextFormattedCitation":"(Lüdeke-Freund, Carroux, Joyce, Massa, &amp; Breuer, 2018; McGrath, 2010)","previouslyFormattedCitation":"(Lüdeke-Freund, Carroux, Joyce, Massa, &amp; Breuer, 2018; R. G. McGrath, 2010)"},"properties":{"noteIndex":0},"schema":"https://github.com/citation-style-language/schema/raw/master/csl-citation.json"}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 xml:space="preserve">(Lüdeke-Freund, Carroux, Joyce, Massa, &amp; </w:t>
      </w:r>
      <w:r w:rsidRPr="00FF4E93">
        <w:rPr>
          <w:rFonts w:eastAsia="Times New Roman"/>
          <w:noProof/>
          <w:sz w:val="26"/>
        </w:rPr>
        <w:lastRenderedPageBreak/>
        <w:t>Breuer, 2018; McGrath, 2010)</w:t>
      </w:r>
      <w:r w:rsidRPr="00FF4E93">
        <w:rPr>
          <w:rFonts w:eastAsia="Times New Roman"/>
          <w:sz w:val="26"/>
        </w:rPr>
        <w:fldChar w:fldCharType="end"/>
      </w:r>
      <w:r w:rsidRPr="00FF4E93">
        <w:rPr>
          <w:rFonts w:eastAsia="Times New Roman"/>
          <w:sz w:val="26"/>
        </w:rPr>
        <w:t xml:space="preserve"> or domains, including the IoT </w:t>
      </w:r>
      <w:r w:rsidRPr="00FF4E93">
        <w:rPr>
          <w:rFonts w:eastAsia="Times New Roman"/>
          <w:sz w:val="26"/>
        </w:rPr>
        <w:fldChar w:fldCharType="begin" w:fldLock="1"/>
      </w:r>
      <w:r w:rsidRPr="00FF4E93">
        <w:rPr>
          <w:rFonts w:eastAsia="Times New Roman"/>
          <w:sz w:val="26"/>
        </w:rPr>
        <w:instrText>ADDIN CSL_CITATION {"citationItems":[{"id":"ITEM-1","itemData":{"ISBN":"9783319165455","ISSN":"16113349","abstract":"This article provides theoretically and practically grounded assistance to companies that are today engaged primarily in non</w:instrText>
      </w:r>
      <w:r w:rsidRPr="00FF4E93">
        <w:rPr>
          <w:rFonts w:ascii="Cambria Math" w:eastAsia="Calibri" w:hAnsi="Cambria Math" w:cs="Cambria Math"/>
          <w:sz w:val="26"/>
        </w:rPr>
        <w:instrText>‐</w:instrText>
      </w:r>
      <w:r w:rsidRPr="00FF4E93">
        <w:rPr>
          <w:rFonts w:eastAsia="Times New Roman"/>
          <w:sz w:val="26"/>
        </w:rPr>
        <w:instrText>digital industries in the development and implementation of business models that use the Internet of Things. To that end, we investigate the role of the Internet in business models in general in the first section. We conclude that the significance of the Internet in business model innovation has increased steadily since the 1990s, that each new Internet wave has given rise to new digital business model patterns, and that the biggest breakthroughs to date have been made in digital industries. In the second section, we show that digital business model patterns have now become relevant in physical industries as well. The separation between physical and digital industries is now consigned to the past. The key to this transformation is the Internet of Things which makes possible hybrid solutions that merge physical products and digital services. From this, we derive very general business model logic for the Internet of Things and some specific components and patterns for business models. Finally we sketch out the central challenges faced in implementing such hybrid business models and point to possible solutions","author":[{"dropping-particle":"","family":"Fleisch","given":"Elgar","non-dropping-particle":"","parse-names":false,"suffix":""},{"dropping-particle":"","family":"Weinberger","given":"Markus","non-dropping-particle":"","parse-names":false,"suffix":""},{"dropping-particle":"","family":"Wortmann","given":"Felix","non-dropping-particle":"","parse-names":false,"suffix":""}],"container-title":"Bosch IoT Lab White Paper","id":"ITEM-1","issued":{"date-parts":[["2014"]]},"number-of-pages":"1-19","title":"Business Models and the Internet of Things","type":"report"},"uris":["http://www.mendeley.com/documents/?uuid=fa9256cc-7252-4d38-8261-b9ea817e7e2d"]}],"mendeley":{"formattedCitation":"(Fleisch, Weinberger, &amp; Wortmann, 2014)","plainTextFormattedCitation":"(Fleisch, Weinberger, &amp; Wortmann, 2014)","previouslyFormattedCitation":"(Fleisch, Weinberger, &amp; Wortmann, 2014)"},"properties":{"noteIndex":0},"schema":"https://github.com/citation-style-language/schema/raw/master/csl-citation.json"}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(Fleisch, Weinberger, &amp; Wortmann, 2014)</w:t>
      </w:r>
      <w:r w:rsidRPr="00FF4E93">
        <w:rPr>
          <w:rFonts w:eastAsia="Times New Roman"/>
          <w:sz w:val="26"/>
        </w:rPr>
        <w:fldChar w:fldCharType="end"/>
      </w:r>
      <w:r w:rsidRPr="00FF4E93">
        <w:rPr>
          <w:rFonts w:eastAsia="Times New Roman"/>
          <w:sz w:val="26"/>
        </w:rPr>
        <w:t xml:space="preserve">, e-commerce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{"citationItems":[{"id":"ITEM-1","itemData":{"author":[{"dropping-particle":"","family":"Timmers","given":"Paul","non-dropping-particle":"","parse-names":false,"suffix":""}],"container-title":"Electronic Markets","id":"ITEM-1","issue":"2","issued":{"date-parts":[["1998"]]},"page":"3-8","title":"Business Models for Electronic Markets","type":"article-journal","volume":"8"},"uris":["http://www.mendeley.com/documents/?uuid=70528a84-e672-4df3-964d-ba12e52b0e05"]}],"mendeley":{"formattedCitation":"(Timmers, 1998)","plainTextFormattedCitation":"(Timmers, 1998)","previouslyFormattedCitation":"(Timmers, 1998)"},"properties":{"noteIndex":0},"schema":"https://github.com/citation-style-language/schema/raw/master/csl-citation.json"}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(Timmers, 1998)</w:t>
      </w:r>
      <w:r w:rsidRPr="00FF4E93">
        <w:rPr>
          <w:rFonts w:eastAsia="Times New Roman"/>
          <w:sz w:val="26"/>
        </w:rPr>
        <w:fldChar w:fldCharType="end"/>
      </w:r>
      <w:r w:rsidRPr="00FF4E93">
        <w:rPr>
          <w:rFonts w:eastAsia="Times New Roman"/>
          <w:sz w:val="26"/>
        </w:rPr>
        <w:t xml:space="preserve">, and electric mobility </w:t>
      </w:r>
      <w:r w:rsidRPr="00FF4E93">
        <w:rPr>
          <w:rFonts w:eastAsia="Times New Roman"/>
          <w:sz w:val="26"/>
        </w:rPr>
        <w:fldChar w:fldCharType="begin" w:fldLock="1"/>
      </w:r>
      <w:r w:rsidRPr="00FF4E93">
        <w:rPr>
          <w:rFonts w:eastAsia="Times New Roman"/>
          <w:sz w:val="26"/>
        </w:rPr>
        <w:instrText>ADDIN CSL_CITATION {"citationItems":[{"id":"ITEM-1","itemData":{"abstract":"The paper aims to generate systematically business model innovations in the field of electric mobility. It introduces a new framework, in which a business model denotes a value-focused concept with five value dimensions: value proposition, value communication, value creation, value delivery and value capture. The framework enables the classification of business model patterns, identified in the literature, according to five categories. The combination of patterns from different dimensions can lead to the systematic generation of business model innovations. But the number of business models that can result from pattern combinations can be overwhelming. Subsequently, the paper only evaluates the extent to which business model patterns that are not necessarily observed in the automotive sector can be useful for the field of electric mobility, and how they can be adapted to fit into the new context. We find that the transferability strongly depends on the actor's role in the system, if it is a manufacturer, supplier or service provider. More importantly, our analysis shows that some models such as product-to-service (e.g., car sharing service), already implemented in the automotive industry, will continue to be successful in the future because of their potential of increasing customer acceptance and technology diffusion. Many other business models -- so far used in other sectors, but not in the automotive industry -- may integrate the field of electric mobility. Razor and blades, own the undesirable concept, and leverage new influencers are all promising business models, if they can be fitted adequately to the new context induced by the new technology. [ABSTRACT FROM AUTHOR]","author":[{"dropping-particle":"","family":"Abdelkafi","given":"Nizar","non-dropping-particle":"","parse-names":false,"suffix":""},{"dropping-particle":"","family":"Makhotin","given":"Sergiy","non-dropping-particle":"","parse-names":false,"suffix":""},{"dropping-particle":"","family":"Posselt","given":"Thorsten","non-dropping-particle":"","parse-names":false,"suffix":""}],"container-title":"International Journal of Innovation Management","id":"ITEM-1","issue":"1","issued":{"date-parts":[["2013"]]},"page":"1-41","title":"Business Model Innovations for Electric Mobility — What Can Be Learned From Existing Business Model Patterns?","type":"article-journal","volume":"17"},"uris":["http://www.mendeley.com/documents/?uuid=3e3980f5-d7ed-43ee-ae22-0572b30233f4"]}],"mendeley":{"formattedCitation":"(Abdelkafi et al., 2013)","plainTextFormattedCitation":"(Abdelkafi et al., 2013)","previouslyFormattedCitation":"(Abdelkafi et al., 2013)"},"properties":{"noteIndex":0},"schema":"https://github.com/citation-style-language/schema/raw/master/csl-citation.json"}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(Abdelkafi et al., 2013)</w:t>
      </w:r>
      <w:r w:rsidRPr="00FF4E93">
        <w:rPr>
          <w:rFonts w:eastAsia="Times New Roman"/>
          <w:sz w:val="26"/>
        </w:rPr>
        <w:fldChar w:fldCharType="end"/>
      </w:r>
      <w:r w:rsidRPr="00FF4E93">
        <w:rPr>
          <w:rFonts w:eastAsia="Times New Roman"/>
          <w:sz w:val="26"/>
        </w:rPr>
        <w:t xml:space="preserve">. Others, have identified </w:t>
      </w:r>
      <w:r w:rsidRPr="00FF4E93">
        <w:rPr>
          <w:rFonts w:eastAsia="Times New Roman"/>
          <w:i/>
          <w:sz w:val="26"/>
        </w:rPr>
        <w:t>generic</w:t>
      </w:r>
      <w:r w:rsidRPr="00FF4E93">
        <w:rPr>
          <w:rFonts w:eastAsia="Times New Roman"/>
          <w:sz w:val="26"/>
        </w:rPr>
        <w:t xml:space="preserve"> patterns that can be found across various sectors </w:t>
      </w:r>
      <w:r w:rsidRPr="00FF4E93">
        <w:rPr>
          <w:rFonts w:eastAsia="Times New Roman"/>
          <w:sz w:val="26"/>
        </w:rPr>
        <w:fldChar w:fldCharType="begin" w:fldLock="1"/>
      </w:r>
      <w:r w:rsidR="00C95F78" w:rsidRPr="00FF4E93">
        <w:rPr>
          <w:rFonts w:eastAsia="Times New Roman"/>
          <w:sz w:val="26"/>
        </w:rPr>
        <w:instrText>ADDIN CSL_CITATION {"citationItems":[{"id":"ITEM-1","itemData":{"ISBN":"9781422157664","abstract":"Mark’s most recent work has focused on helping companies envision and create new growth, manage transformation, and achieve renewal through business model innovation. This work is the subject of the McKinsey award–winning Harvard Business Review article, “Reinventing Your Business Model,” co-authored by Clayton Christensen and Henning Kagermann. Mark also co-authored The Innovator’s Guide to Growth (Harvard Business Press, 2008), recently co-authored \"How to Jump-Start the Clean-Tech Economy\" (Harvard Business Review, 2009), and has published articles in the Sloan Management Review, Forbes.com, BusinessWeek Online, Advertising Age, and National Defense.","author":[{"dropping-particle":"","family":"Johnson","given":"Mark W.","non-dropping-particle":"","parse-names":false,"suffix":""}],"id":"ITEM-1","issued":{"date-parts":[["2010"]]},"publisher":"Harvard Business School Press","publisher-place":"Boston, MA","title":"Seizing the white space: Business Model Innovation for Growth and Renewal","type":"book"},"uris":["http://www.mendeley.com/documents/?uuid=65db6e9c-8dc8-4a76-8ad3-e9989d83f78f"]},{"id":"ITEM-2","itemData":{"author":[{"dropping-particle":"","family":"Osterwalder","given":"Alexander","non-dropping-particle":"","parse-names":false,"suffix":""},{"dropping-particle":"","family":"Pigneur","given":"Yves","non-dropping-particle":"","parse-names":false,"suffix":""}],"id":"ITEM-2","issued":{"date-parts":[["2010"]]},"publisher":"John Wiley &amp; Sons","publisher-place":"Hoboken, NJ","title":"Business Model Generation: A Handbook for Visionaries, Game Changers, and Challengers","type":"book"},"uris":["http://www.mendeley.com/documents/?uuid=1caa97c2-bec3-4968-b23c-35c75105e131"]},{"id":"ITEM-3","itemData":{"author":[{"dropping-particle":"","family":"Andrew","given":"James P.","non-dropping-particle":"","parse-names":false,"suffix":""},{"dropping-particle":"","family":"Sirkin","given":"Harold L.","non-dropping-particle":"","parse-names":false,"suffix":""}],"id":"ITEM-3","issued":{"date-parts":[["2007"]]},"number-of-pages":"228","publisher":"Harvard Business Review Press","publisher-place":"Cambridge, MA","title":"Payback: Reaping the Rewards of Innovation","type":"book"},"uris":["http://www.mendeley.com/documents/?uuid=a68912d2-d45d-4389-b1bf-7242295b596e"]},{"id":"ITEM-4","itemData":{"abstract":"Business model innovation is a hot topic in management thinking these days, even though there seems to be little agreement about what it looks like and even less about how to discover it. But there is no reason for business model innovation to feel mysterious or hard to achieve. By using analytic tools that provide better decision-making insights, executives can vastly improve their innovation success rate—and help their business model investments generate bigger returns","author":[{"dropping-particle":"","family":"Tuff","given":"Geoff","non-dropping-particle":"","parse-names":false,"suffix":""},{"dropping-particle":"","family":"Wunker","given":"Stephen","non-dropping-particle":"","parse-names":false,"suffix":""}],"container-title":"Doblin","id":"ITEM-4","issued":{"date-parts":[["2014"]]},"number-of-pages":"1-9","title":"Beacons for Business Model Innovation","type":"report"},"uris":["http://www.mendeley.com/documents/?uuid=370ee3ad-da19-420c-a551-4b8f3593ae67"]},{"id":"ITEM-5","itemData":{"author":[{"dropping-particle":"","family":"Linder","given":"Jane","non-dropping-particle":"","parse-names":false,"suffix":""},{"dropping-particle":"","family":"Cantrell","given":"Susan","non-dropping-particle":"","parse-names":false,"suffix":""}],"container-title":"Accenture Institute for Strategic Change","id":"ITEM-5","issued":{"date-parts":[["2000"]]},"number-of-pages":"1-15","title":"Changing Business Models: Surveying the Landscape","type":"report"},"uris":["http://www.mendeley.com/documents/?uuid=f5ed259e-1c13-4ff2-940f-047fb7f9461a"]},{"id":"ITEM-6","itemData":{"author":[{"dropping-particle":"","family":"Remane","given":"Gerrit","non-dropping-particle":"","parse-names":false,"suffix":""},{"dropping-particle":"","family":"Hanelt","given":"Andre","non-dropping-particle":"","parse-names":false,"suffix":""},{"dropping-particle":"","family":"Tesch","given":"Jan F.","non-dropping-particle":"","parse-names":false,"suffix":""},{"dropping-particle":"","family":"Kolbe","given":"Lutz M.","non-dropping-particle":"","parse-names":false,"suffix":""}],"container-title":"International Journal of Innovation Management","id":"ITEM-6","issue":"1","issued":{"date-parts":[["2017"]]},"title":"The Business model pattern database – a tool for systematic business model innovation","type":"article-journal","volume":"21"},"uris":["http://www.mendeley.com/documents/?uuid=a47242df-2e1c-4369-affd-23004022edd8"]},{"id":"ITEM-7","itemData":{"author":[{"dropping-particle":"","family":"Weill","given":"Peter","non-dropping-particle":"","parse-names":false,"suffix":""},{"dropping-particle":"","family":"Malone","given":"Thomas W","non-dropping-particle":"","parse-names":false,"suffix":""},{"dropping-particle":"","family":"D'urso","given":"Victoria T","non-dropping-particle":"","parse-names":false,"suffix":""},{"dropping-particle":"","family":"Herman","given":"George","non-dropping-particle":"","parse-names":false,"suffix":""},{"dropping-particle":"","family":"Woerner","given":"Stephanie","non-dropping-particle":"","parse-names":false,"suffix":""}],"id":"ITEM-7","issue":"May 18","issued":{"date-parts":[["2005"]]},"title":"Do Some Business Models Perform Better than Others? A Study of the 1000 Largest US Firms","type":"report"},"uris":["http://www.mendeley.com/documents/?uuid=12fa87ee-1cf2-4497-b0f9-535d3c5ba282"]}],"mendeley":{"formattedCitation":"(Andrew &amp; Sirkin, 2007; Johnson, 2010; Linder &amp; Cantrell, 2000; Osterwalder &amp; Pigneur, 2010; Remane, Hanelt, Tesch, &amp; Kolbe, 2017; Tuff &amp; Wunker, 2014; Weill et al., 2005)","manualFormatting":"(Andrew &amp; Sirkin, 2007; Johnson, 2010; Linder &amp; Cantrell, 2000; Osterwalder &amp; Pigneur, 2010; Remane, Hanelt, Tesch, &amp; Kolbe, 2017; Tuff &amp; Wunker, 2014; Weill et al., 2005)","plainTextFormattedCitation":"(Andrew &amp; Sirkin, 2007; Johnson, 2010; Linder &amp; Cantrell, 2000; Osterwalder &amp; Pigneur, 2010; Remane, Hanelt, Tesch, &amp; Kolbe, 2017; Tuff &amp; Wunker, 2014; Weill et al., 2005)","previouslyFormattedCitation":"(Andrew &amp; Sirkin, 2007; M. W. Johnson, 2010; Linder &amp; Cantrell, 2000; Osterwalder &amp; Pigneur, 2010; Remane, Hanelt, Tesch, &amp; Kolbe, 2017; Tuff &amp; Wunker, 2014; Weill et al., 2005)"},"properties":{"noteIndex":0},"schema":"https://github.com/citation-style-language/schema/raw/master/csl-citation.json"}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(Andrew &amp; Sirkin, 2007; Johnson, 2010; Linder &amp; Cantrell, 2000; Osterwalder &amp; Pigneur, 2010; Remane, Hanelt, Tesch, &amp; Kolbe, 2017; Tuff &amp; Wunker, 2014; Weill et al., 2005)</w:t>
      </w:r>
      <w:r w:rsidRPr="00FF4E93">
        <w:rPr>
          <w:rFonts w:eastAsia="Times New Roman"/>
          <w:sz w:val="26"/>
        </w:rPr>
        <w:fldChar w:fldCharType="end"/>
      </w:r>
      <w:r w:rsidRPr="00FF4E93">
        <w:rPr>
          <w:rFonts w:eastAsia="Times New Roman"/>
          <w:sz w:val="26"/>
        </w:rPr>
        <w:t xml:space="preserve">. An exemplary generic pattern is the </w:t>
      </w:r>
      <w:r w:rsidRPr="00FF4E93">
        <w:rPr>
          <w:rFonts w:eastAsia="Times New Roman"/>
          <w:i/>
          <w:sz w:val="26"/>
        </w:rPr>
        <w:t xml:space="preserve">razor and blade </w:t>
      </w:r>
      <w:r w:rsidRPr="00FF4E93">
        <w:rPr>
          <w:rFonts w:eastAsia="Times New Roman"/>
          <w:sz w:val="26"/>
        </w:rPr>
        <w:t>model. Popularized by the brand Gillette, it refers to the logic to offer a free or aggressively low-priced basic product</w:t>
      </w:r>
      <w:r w:rsidRPr="00FF4E93">
        <w:rPr>
          <w:rFonts w:eastAsia="Times New Roman"/>
          <w:i/>
          <w:sz w:val="26"/>
        </w:rPr>
        <w:t xml:space="preserve"> (razor)</w:t>
      </w:r>
      <w:r w:rsidRPr="00FF4E93">
        <w:rPr>
          <w:rFonts w:eastAsia="Times New Roman"/>
          <w:sz w:val="26"/>
        </w:rPr>
        <w:t xml:space="preserve"> that is used together with high volume and high margin complements </w:t>
      </w:r>
      <w:r w:rsidRPr="00FF4E93">
        <w:rPr>
          <w:rFonts w:eastAsia="Times New Roman"/>
          <w:i/>
          <w:sz w:val="26"/>
        </w:rPr>
        <w:t>(blades)</w:t>
      </w:r>
      <w:r w:rsidRPr="00FF4E93">
        <w:rPr>
          <w:rFonts w:eastAsia="Times New Roman"/>
          <w:sz w:val="26"/>
        </w:rPr>
        <w:t xml:space="preserve">. This model can be observed in various contexts such as coffee machines (Nespresso), books (Amazon Kindle), printers (HP), gaming consoles (Microsoft), or office photocopiers (Xerox) </w:t>
      </w:r>
      <w:r w:rsidRPr="00FF4E93">
        <w:rPr>
          <w:rFonts w:eastAsia="Times New Roman"/>
          <w:sz w:val="26"/>
        </w:rPr>
        <w:fldChar w:fldCharType="begin" w:fldLock="1"/>
      </w:r>
      <w:r w:rsidR="00C95F78" w:rsidRPr="00FF4E93">
        <w:rPr>
          <w:rFonts w:eastAsia="Times New Roman"/>
          <w:sz w:val="26"/>
        </w:rPr>
        <w:instrText>ADDIN CSL_CITATION {"citationItems":[{"id":"ITEM-1","itemData":{"author":[{"dropping-particle":"","family":"Gassmann","given":"Oliver","non-dropping-particle":"","parse-names":false,"suffix":""},{"dropping-particle":"","family":"Frankenberger","given":"Karolin","non-dropping-particle":"","parse-names":false,"suffix":""},{"dropping-particle":"","family":"Csik","given":"Michaela","non-dropping-particle":"","parse-names":false,"suffix":""}],"edition":"2nd","id":"ITEM-1","issued":{"date-parts":[["2017"]]},"number-of-pages":"416","publisher":"Carl Hanser Verlag","publisher-place":"Munich, Germany","title":"The Business Model Navigator","type":"book"},"uris":["http://www.mendeley.com/documents/?uuid=684e1517-e17a-4ba8-a565-5ce0cc4aa250"]},{"id":"ITEM-2","itemData":{"ISBN":"9781422157664","abstract":"Mark’s most recent work has focused on helping companies envision and create new growth, manage transformation, and achieve renewal through business model innovation. This work is the subject of the McKinsey award–winning Harvard Business Review article, “Reinventing Your Business Model,” co-authored by Clayton Christensen and Henning Kagermann. Mark also co-authored The Innovator’s Guide to Growth (Harvard Business Press, 2008), recently co-authored \"How to Jump-Start the Clean-Tech Economy\" (Harvard Business Review, 2009), and has published articles in the Sloan Management Review, Forbes.com, BusinessWeek Online, Advertising Age, and National Defense.","author":[{"dropping-particle":"","family":"Johnson","given":"Mark W.","non-dropping-particle":"","parse-names":false,"suffix":""}],"id":"ITEM-2","issued":{"date-parts":[["2010"]]},"publisher":"Harvard Business School Press","publisher-place":"Boston, MA","title":"Seizing the white space: Business Model Innovation for Growth and Renewal","type":"book"},"uris":["http://www.mendeley.com/documents/?uuid=65db6e9c-8dc8-4a76-8ad3-e9989d83f78f"]},{"id":"ITEM-3","itemData":{"author":[{"dropping-particle":"","family":"Linder","given":"Jane","non-dropping-particle":"","parse-names":false,"suffix":""},{"dropping-particle":"","family":"Cantrell","given":"Susan","non-dropping-particle":"","parse-names":false,"suffix":""}],"container-title":"Accenture Institute for Strategic Change","id":"ITEM-3","issued":{"date-parts":[["2000"]]},"number-of-pages":"1-15","title":"Changing Business Models: Surveying the Landscape","type":"report"},"uris":["http://www.mendeley.com/documents/?uuid=f5ed259e-1c13-4ff2-940f-047fb7f9461a"]},{"id":"ITEM-4","itemData":{"author":[{"dropping-particle":"","family":"Remane","given":"Gerrit","non-dropping-particle":"","parse-names":false,"suffix":""},{"dropping-particle":"","family":"Hanelt","given":"Andre","non-dropping-particle":"","parse-names":false,"suffix":""},{"dropping-particle":"","family":"Tesch","given":"Jan F.","non-dropping-particle":"","parse-names":false,"suffix":""},{"dropping-particle":"","family":"Kolbe","given":"Lutz M.","non-dropping-particle":"","parse-names":false,"suffix":""}],"container-title":"International Journal of Innovation Management","id":"ITEM-4","issue":"1","issued":{"date-parts":[["2017"]]},"title":"The Business model pattern database – a tool for systematic business model innovation","type":"article-journal","volume":"21"},"uris":["http://www.mendeley.com/documents/?uuid=a47242df-2e1c-4369-affd-23004022edd8"]},{"id":"ITEM-5","itemData":{"abstract":"This paper explores the role of the business model in capturing value from early stage technology. A successful business model creates a heuristic logic that connects technical potential with the realization of economic value. The business model unlocks latent value from a technology, but its logic constrains the subsequent search for new, alternative models for other technologies later on—an implicit cognitive dimension overlooked in most discourse on the topic. We explore the intellectual roots of the concept, offer a working definition and show how the Xerox Corporation arose by employing an effective business model to com- mercialize a technology rejected by other leading companies of the day. We then show the long shadow that this model cast upon Xerox’s later management of selected spin-off companies from Xerox PARC. Xerox evaluated the technical potential of these spin-offs through its own business model, while those spin-offs that became successful did so through evolving business models that came to differ substantially from that of Xerox. The search and learning for an effective business model in failed ventures, by contrast, were quite limited. 1.","author":[{"dropping-particle":"","family":"Chesbrough","given":"Henry","non-dropping-particle":"","parse-names":false,"suffix":""},{"dropping-particle":"","family":"Rosenbloom","given":"Richard S","non-dropping-particle":"","parse-names":false,"suffix":""}],"container-title":"Industrial and Corporate Change","id":"ITEM-5","issue":"3","issued":{"date-parts":[["2002"]]},"page":"529-555","title":"The role of the business model in capturing value from innovation: evidence from Xerox Corporation’s technology spin-off companies","type":"article-journal","volume":"11"},"uris":["http://www.mendeley.com/documents/?uuid=19adda14-860f-4e95-b276-6d5947ec2fe7"]},{"id":"ITEM-6","itemData":{"author":[{"dropping-particle":"","family":"Homann","given":"Florian","non-dropping-particle":"","parse-names":false,"suffix":""},{"dropping-particle":"","family":"Winterhalter","given":"Stephan","non-dropping-particle":"","parse-names":false,"suffix":""},{"dropping-particle":"","family":"Gassmann","given":"Oliver","non-dropping-particle":"","parse-names":false,"suffix":""}],"container-title":"International Society for Professional Innovation Management (ISPIM) Innovation Forum 2016","id":"ITEM-6","issued":{"date-parts":[["2016"]]},"publisher-place":"Boston, MA","title":"Capturing Value from Razor and Blade Business Models","type":"paper-conference"},"uris":["http://www.mendeley.com/documents/?uuid=61d02adc-1e60-41df-93e1-a209ca99d7a5"]},{"id":"ITEM-7","itemData":{"ISSN":"0275-6668","abstract":"Purpose: This article aims to examine the concept of business model innovation and to discuss the design of the key elements. Based on a detailed case study of Nespresso, it seeks to outline how business model innovation can be implemented successfully. Design/methodology/approach: Based on a theoretical conceptualization of a business model, the authors conduct an in-depth case study to draw conclusions for a successful implementation of a business model innovation. Findings: A business model innovation comprises five components: an innovative, unique positioning, a consistent product and service logic, an appropriate value creation architecture, an effective sales and marketing logic and a profit formula that works. Success is based upon a unique, innovative and coherent design of the business model's components. Originality/value: Based on Nespresso's business model, this paper illustrates what a business model innovation is, what its components are and how they should be designed to create and capture value. © Emerald Group Publishing Limited.","author":[{"dropping-particle":"","family":"Matzler","given":"Kurt","non-dropping-particle":"","parse-names":false,"suffix":""},{"dropping-particle":"","family":"Bailom","given":"Franz","non-dropping-particle":"","parse-names":false,"suffix":""},{"dropping-particle":"","family":"den Eichen","given":"Stephan Friedrich","non-dropping-particle":"von","parse-names":false,"suffix":""},{"dropping-particle":"","family":"Kohler","given":"Thomas","non-dropping-particle":"","parse-names":false,"suffix":""}],"container-title":"Journal of Business Strategy","id":"ITEM-7","issue":"2","issued":{"date-parts":[["2013"]]},"page":"30-37","title":"Business model innovation: coffee triumphs for Nespresso","type":"article-journal","volume":"34"},"uris":["http://www.mendeley.com/documents/?uuid=7241f885-593d-479d-8c82-8a95f363679a"]}],"mendeley":{"formattedCitation":"(Chesbrough &amp; Rosenbloom, 2002; Gassmann et al., 2017; Homann, Winterhalter, &amp; Gassmann, 2016; Johnson, 2010; Linder &amp; Cantrell, 2000; Matzler, Bailom, von den Eichen, &amp; Kohler, 2013; Remane et al., 2017)","manualFormatting":"(Chesbrough &amp; Rosenbloom, 2002; Gassmann et al., 2017; Homann, Winterhalter, &amp; Gassmann, 2016; Johnson, 2010; Linder &amp; Cantrell, 2000; Matzler et al., 2013; Remane et al., 2017)","plainTextFormattedCitation":"(Chesbrough &amp; Rosenbloom, 2002; Gassmann et al., 2017; Homann, Winterhalter, &amp; Gassmann, 2016; Johnson, 2010; Linder &amp; Cantrell, 2000; Matzler, Bailom, von den Eichen, &amp; Kohler, 2013; Remane et al., 2017)","previouslyFormattedCitation":"(Chesbrough &amp; Rosenbloom, 2002; Gassmann et al., 2017; Homann, Winterhalter, &amp; Gassmann, 2016; M. W. Johnson, 2010; Linder &amp; Cantrell, 2000; Matzler et al., 2013; Remane et al., 2017)"},"properties":{"noteIndex":0},"schema":"https://github.com/citation-style-language/schema/raw/master/csl-citation.json"}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(Chesbrough &amp; Rosenbloom, 2002; Gassmann et al., 2017; Homann, Winterhalter, &amp; Gassmann, 2016; Johnson, 2010; Linder &amp; Cantrell, 2000; Matzler et al., 2013; Remane et al., 2017)</w:t>
      </w:r>
      <w:r w:rsidRPr="00FF4E93">
        <w:rPr>
          <w:rFonts w:eastAsia="Times New Roman"/>
          <w:sz w:val="26"/>
        </w:rPr>
        <w:fldChar w:fldCharType="end"/>
      </w:r>
      <w:r w:rsidRPr="00FF4E93">
        <w:rPr>
          <w:rFonts w:eastAsia="Times New Roman"/>
          <w:sz w:val="26"/>
        </w:rPr>
        <w:t xml:space="preserve">. </w:t>
      </w:r>
    </w:p>
    <w:p w14:paraId="2AC2AFFF" w14:textId="77777777" w:rsidR="00151DC1" w:rsidRPr="00FF4E93" w:rsidRDefault="00151DC1" w:rsidP="00151DC1">
      <w:pPr>
        <w:spacing w:after="0"/>
        <w:rPr>
          <w:rFonts w:eastAsia="Times New Roman"/>
          <w:i/>
          <w:sz w:val="26"/>
        </w:rPr>
      </w:pPr>
      <w:r w:rsidRPr="00FF4E93">
        <w:rPr>
          <w:rFonts w:eastAsia="Times New Roman"/>
          <w:i/>
          <w:sz w:val="26"/>
        </w:rPr>
        <w:t>Business model innovation</w:t>
      </w:r>
    </w:p>
    <w:p w14:paraId="09E68522" w14:textId="3BB829D9" w:rsidR="00151DC1" w:rsidRPr="00FF4E93" w:rsidRDefault="00151DC1" w:rsidP="00151DC1">
      <w:pPr>
        <w:spacing w:after="0"/>
        <w:rPr>
          <w:rFonts w:eastAsia="Times New Roman"/>
          <w:sz w:val="26"/>
        </w:rPr>
      </w:pPr>
      <w:r w:rsidRPr="00FF4E93">
        <w:rPr>
          <w:rFonts w:eastAsia="Times New Roman"/>
          <w:sz w:val="26"/>
        </w:rPr>
        <w:t xml:space="preserve">Practitioners rely on business model patterns for inspiration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Gassmann","given":"Oliver","non-dropping-particle":"","parse-names":false,"suffix":""},{"dropping-particle":"","family":"Frankenberger","given":"Karolin","non-dropping-particle":"","parse-names":false,"suffix":""},{"dropping-particle":"","family":"Csik","given":"Michaela","non-dropping-particle":"","parse-names":false,"suffix":""}],"edition":"2nd","id":"ITEM-1","issued":{"date-parts":[["2017"]]},"number-of-pages":"416","publisher":"Carl Hanser Verlag","publisher-place":"Munich, Germany","title":"The Business Model Navigator","type":"book"},"uris":["http://www.mendeley.com/documents/?uuid=684e1517-e17a-4ba8-a565-5ce0cc4aa250"]}],"mendeley":{"formattedCitation":"(Gassmann et al., 2017)","plainTextFormattedCitation":"(Gassmann et al., 2017)","previouslyFormattedCitation":"(Gassmann et al., 2017)"},"properties":{"noteIndex":0},"schema":"https://github.com/citation-style-language/schema/raw/master/csl-citation.json"}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(Gassmann et al., 2017)</w:t>
      </w:r>
      <w:r w:rsidRPr="00FF4E93">
        <w:rPr>
          <w:rFonts w:eastAsia="Times New Roman"/>
          <w:sz w:val="26"/>
        </w:rPr>
        <w:fldChar w:fldCharType="end"/>
      </w:r>
      <w:r w:rsidRPr="00FF4E93">
        <w:rPr>
          <w:rFonts w:eastAsia="Times New Roman"/>
          <w:sz w:val="26"/>
        </w:rPr>
        <w:t xml:space="preserve"> and as imitable building blocks </w:t>
      </w:r>
      <w:r w:rsidRPr="00FF4E93">
        <w:rPr>
          <w:rFonts w:eastAsia="Times New Roman"/>
          <w:sz w:val="26"/>
        </w:rPr>
        <w:fldChar w:fldCharType="begin" w:fldLock="1"/>
      </w:r>
      <w:r w:rsidRPr="00FF4E93">
        <w:rPr>
          <w:rFonts w:eastAsia="Times New Roman"/>
          <w:sz w:val="26"/>
        </w:rPr>
        <w:instrText>ADDIN CSL_CITATION {"citationItems":[{"id":"ITEM-1","itemData":{"abstract":"The paper aims to generate systematically business model innovations in the field of electric mobility. It introduces a new framework, in which a business model denotes a value-focused concept with five value dimensions: value proposition, value communication, value creation, value delivery and value capture. The framework enables the classification of business model patterns, identified in the literature, according to five categories. The combination of patterns from different dimensions can lead to the systematic generation of business model innovations. But the number of business models that can result from pattern combinations can be overwhelming. Subsequently, the paper only evaluates the extent to which business model patterns that are not necessarily observed in the automotive sector can be useful for the field of electric mobility, and how they can be adapted to fit into the new context. We find that the transferability strongly depends on the actor's role in the system, if it is a manufacturer, supplier or service provider. More importantly, our analysis shows that some models such as product-to-service (e.g., car sharing service), already implemented in the automotive industry, will continue to be successful in the future because of their potential of increasing customer acceptance and technology diffusion. Many other business models -- so far used in other sectors, but not in the automotive industry -- may integrate the field of electric mobility. Razor and blades, own the undesirable concept, and leverage new influencers are all promising business models, if they can be fitted adequately to the new context induced by the new technology. [ABSTRACT FROM AUTHOR]","author":[{"dropping-particle":"","family":"Abdelkafi","given":"Nizar","non-dropping-particle":"","parse-names":false,"suffix":""},{"dropping-particle":"","family":"Makhotin","given":"Sergiy","non-dropping-particle":"","parse-names":false,"suffix":""},{"dropping-particle":"","family":"Posselt","given":"Thorsten","non-dropping-particle":"","parse-names":false,"suffix":""}],"container-title":"International Journal of Innovation Management","id":"ITEM-1","issue":"1","issued":{"date-parts":[["2013"]]},"page":"1-41","title":"Business Model Innovations for Electric Mobility — What Can Be Learned From Existing Business Model Patterns?","type":"article-journal","volume":"17"},"uris":["http://www.mendeley.com/documents/?uuid=3e3980f5-d7ed-43ee-ae22-0572b30233f4"]},{"id":"ITEM-2","itemData":{"author":[{"dropping-particle":"","family":"Timmers","given":"Paul","non-dropping-particle":"","parse-names":false,"suffix":""}],"container-title":"Electronic Markets","id":"ITEM-2","issue":"2","issued":{"date-parts":[["1998"]]},"page":"3-8","title":"Business Models for Electronic Markets","type":"article-journal","volume":"8"},"uris":["http://www.mendeley.com/documents/?uuid=70528a84-e672-4df3-964d-ba12e52b0e05"]}],"mendeley":{"formattedCitation":"(Abdelkafi et al., 2013; Timmers, 1998)","plainTextFormattedCitation":"(Abdelkafi et al., 2013; Timmers, 1998)","previouslyFormattedCitation":"(Abdelkafi et al., 2013; Timmers, 1998)"},"properties":{"noteIndex":0},"schema":"https://github.com/citation-style-language/schema/raw/master/csl-citation.json"}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(Abdelkafi et al., 2013; Timmers, 1998)</w:t>
      </w:r>
      <w:r w:rsidRPr="00FF4E93">
        <w:rPr>
          <w:rFonts w:eastAsia="Times New Roman"/>
          <w:sz w:val="26"/>
        </w:rPr>
        <w:fldChar w:fldCharType="end"/>
      </w:r>
      <w:r w:rsidRPr="00FF4E93">
        <w:rPr>
          <w:rFonts w:eastAsia="Times New Roman"/>
          <w:sz w:val="26"/>
        </w:rPr>
        <w:t xml:space="preserve"> for business model innovation, especially in the field of disruptive technologies </w:t>
      </w:r>
      <w:r w:rsidRPr="00FF4E93">
        <w:rPr>
          <w:rFonts w:eastAsia="Times New Roman"/>
          <w:sz w:val="26"/>
        </w:rPr>
        <w:fldChar w:fldCharType="begin" w:fldLock="1"/>
      </w:r>
      <w:r w:rsidRPr="00FF4E93">
        <w:rPr>
          <w:rFonts w:eastAsia="Times New Roman"/>
          <w:sz w:val="26"/>
        </w:rPr>
        <w:instrText>ADDIN CSL_CITATION {"citationItems":[{"id":"ITEM-1","itemData":{"abstract":"Companies nowadays face a myriad of business opportunities as a direct consequence of manifold disruptive technology developments. As a basic characteristic, disruptive technologies lead to a severe shift in value-creation networks giving rise to new market segments. One of the key challenges is to anticipate the business logics within these nascent and formerly unknown markets. Business model patterns promise to tackle this challenge. They can be interpreted as proven business model elements, which reveal valuable insights about pursued business logics. The approach in general helps increasing efficiency in business models design processes, but especially lacks methodological support so far. The paper at hand, therefore presents a methodology for pattern-based business model design simplifying development and analysis of business models for disruptive technologies. The methodology has been validated within several industrial projects. Read More: http://www.worldscientific.com/doi/abs/10.1142/S1363919615400022","author":[{"dropping-particle":"","family":"Amshoff","given":"Benhamin","non-dropping-particle":"","parse-names":false,"suffix":""},{"dropping-particle":"","family":"Dülme","given":"Christian","non-dropping-particle":"","parse-names":false,"suffix":""},{"dropping-particle":"","family":"Echterfeld","given":"Julian","non-dropping-particle":"","parse-names":false,"suffix":""},{"dropping-particle":"","family":"Gausemeier","given":"Jürgen","non-dropping-particle":"","parse-names":false,"suffix":""}],"container-title":"International Journal of Innovation Management","id":"ITEM-1","issue":"3","issued":{"date-parts":[["2015"]]},"page":"1-22","title":"Business Model Patterns for Disruptive Technologies","type":"article-journal","volume":"19"},"uris":["http://www.mendeley.com/documents/?uuid=b1231070-c6e3-4f9c-a02b-0f93cbb3c12e"]}],"mendeley":{"formattedCitation":"(Amshoff, Dülme, Echterfeld, &amp; Gausemeier, 2015)","plainTextFormattedCitation":"(Amshoff, Dülme, Echterfeld, &amp; Gausemeier, 2015)","previouslyFormattedCitation":"(Amshoff, Dülme, Echterfeld, &amp; Gausemeier, 2015)"},"properties":{"noteIndex":0},"schema":"https://github.com/citation-style-language/schema/raw/master/csl-citation.json"}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(Amshoff, Dülme, Echterfeld, &amp; Gausemeier, 2015)</w:t>
      </w:r>
      <w:r w:rsidRPr="00FF4E93">
        <w:rPr>
          <w:rFonts w:eastAsia="Times New Roman"/>
          <w:sz w:val="26"/>
        </w:rPr>
        <w:fldChar w:fldCharType="end"/>
      </w:r>
      <w:r w:rsidRPr="00FF4E93">
        <w:rPr>
          <w:rFonts w:eastAsia="Times New Roman"/>
          <w:sz w:val="26"/>
        </w:rPr>
        <w:t>. Business model innovation (BMI) refers to</w:t>
      </w:r>
      <w:r w:rsidRPr="00FF4E93">
        <w:rPr>
          <w:rFonts w:eastAsia="Times New Roman"/>
          <w:i/>
          <w:sz w:val="26"/>
          <w:lang w:eastAsia="de-AT"/>
        </w:rPr>
        <w:t xml:space="preserve"> “designed, novel, and nontrivial changes to the key elements of a firm’s BM and/or the architecture linking these elements.”</w:t>
      </w:r>
      <w:r w:rsidRPr="00FF4E93">
        <w:rPr>
          <w:rFonts w:eastAsia="Times New Roman"/>
          <w:sz w:val="26"/>
          <w:lang w:eastAsia="de-AT"/>
        </w:rPr>
        <w:t xml:space="preserve"> </w:t>
      </w:r>
      <w:r w:rsidRPr="00FF4E93">
        <w:rPr>
          <w:rFonts w:eastAsia="Times New Roman"/>
          <w:sz w:val="26"/>
          <w:lang w:eastAsia="de-AT"/>
        </w:rPr>
        <w:fldChar w:fldCharType="begin" w:fldLock="1"/>
      </w:r>
      <w:r w:rsidRPr="00FF4E93">
        <w:rPr>
          <w:rFonts w:eastAsia="Times New Roman"/>
          <w:sz w:val="26"/>
          <w:lang w:eastAsia="de-AT"/>
        </w:rPr>
        <w:instrText>ADDIN CSL_CITATION {"citationItems":[{"id":"ITEM-1","itemData":{"abstract":"Over the last 15 years, business model innovation (BMI) has gained an increasing amount of attention in management research and among practitioners. The emerging BMI literature addresses an important phenomenon but lacks theoretical underpinning, and empirical inquiry is not cumulative. Thus, a concerted research effort seems warranted. Accordingly, we take stock of the extant literature on BMI. We identify and analyze 150 peer-reviewed scholarly articles on BMI published between 2000 and 2015. We provide the first comprehensive systematic review of the BMI literature, include a critical assessment of these research efforts, and offer suggestions for future research. We argue that the literature faces problems with respect to construct clarity and has gaps with respect to the identification of antecedent conditions, contingencies, and outcomes. We identify important avenues for future research and show how the complexity theory, innovation, and other streams of literature can help overcome many of the gaps in the BMI literature.","author":[{"dropping-particle":"","family":"Foss","given":"Nicolai J.","non-dropping-particle":"","parse-names":false,"suffix":""},{"dropping-particle":"","family":"Saebi","given":"Tina","non-dropping-particle":"","parse-names":false,"suffix":""}],"container-title":"Journal of Management","id":"ITEM-1","issue":"1","issued":{"date-parts":[["2017"]]},"page":"200-227","title":"Fifteen Years of Research on Business Model Innovation: How Far Have We Come, and Where Should We Go?","type":"article-journal","volume":"43"},"uris":["http://www.mendeley.com/documents/?uuid=26935964-cb7a-4738-b00f-9db692c70c93"]}],"mendeley":{"formattedCitation":"(Foss &amp; Saebi, 2017)","manualFormatting":"(Foss &amp; Saebi, 2017, p.216)","plainTextFormattedCitation":"(Foss &amp; Saebi, 2017)","previouslyFormattedCitation":"(Foss &amp; Saebi, 2017)"},"properties":{"noteIndex":0},"schema":"https://github.com/citation-style-language/schema/raw/master/csl-citation.json"}</w:instrText>
      </w:r>
      <w:r w:rsidRPr="00FF4E93">
        <w:rPr>
          <w:rFonts w:eastAsia="Times New Roman"/>
          <w:sz w:val="26"/>
          <w:lang w:eastAsia="de-AT"/>
        </w:rPr>
        <w:fldChar w:fldCharType="separate"/>
      </w:r>
      <w:r w:rsidRPr="00FF4E93">
        <w:rPr>
          <w:rFonts w:eastAsia="Times New Roman"/>
          <w:noProof/>
          <w:sz w:val="26"/>
          <w:lang w:eastAsia="de-AT"/>
        </w:rPr>
        <w:t>(Foss &amp; Saebi, 2017, p.216)</w:t>
      </w:r>
      <w:r w:rsidRPr="00FF4E93">
        <w:rPr>
          <w:rFonts w:eastAsia="Times New Roman"/>
          <w:sz w:val="26"/>
          <w:lang w:eastAsia="de-AT"/>
        </w:rPr>
        <w:fldChar w:fldCharType="end"/>
      </w:r>
      <w:r w:rsidRPr="00FF4E93">
        <w:rPr>
          <w:rFonts w:eastAsia="Times New Roman"/>
          <w:sz w:val="26"/>
          <w:lang w:eastAsia="de-AT"/>
        </w:rPr>
        <w:t xml:space="preserve"> </w:t>
      </w:r>
      <w:r w:rsidRPr="00FF4E93">
        <w:rPr>
          <w:rFonts w:eastAsia="Times New Roman"/>
          <w:sz w:val="26"/>
        </w:rPr>
        <w:t xml:space="preserve">It can be found in both corporate </w:t>
      </w:r>
      <w:r w:rsidRPr="00FF4E93">
        <w:rPr>
          <w:rFonts w:eastAsia="Times New Roman"/>
          <w:sz w:val="26"/>
        </w:rPr>
        <w:fldChar w:fldCharType="begin" w:fldLock="1"/>
      </w:r>
      <w:r w:rsidR="00C95F78" w:rsidRPr="00FF4E93">
        <w:rPr>
          <w:rFonts w:eastAsia="Times New Roman"/>
          <w:sz w:val="26"/>
        </w:rPr>
        <w:instrText>ADDIN CSL_CITATION {"citationItems":[{"id":"ITEM-1","itemData":{"abstract":"Purpose: This paper aims to offer a conceptualization of how and why corporate level strategic change may build on historical differentiation at business unit level. Design/methodology/approach: Methodologically, an historical case study of Nokia Corporation's drastic business model transformation between the years 1987 and 1995 is reported. Findings: The conceptual and historical work results in a process model of business model change, demonstrating how central business units feed strategic alternatives and capabilities to the corporate-level transformation process. Practical implications: The results highlight the importance of corporate level \"market mechanisms\" that allow promising strategic alternatives to emerge and select out inferior options. In this process, a key mechanism is the exchange of executives and cognitive mindsets between business units and corporate headquarters (CHQ). Originality/value: The reported research offers an original contribution by showing the dynamic interplay of cognitive and organizational change processes, and highlighting the importance of building on existing capabilities and competencies despite the pressure to demonstrate strong turnaround activities. © Emerald Group Publishing Limited.","author":[{"dropping-particle":"","family":"Aspara","given":"Jaakko","non-dropping-particle":"","parse-names":false,"suffix":""},{"dropping-particle":"","family":"Lamber","given":"Juha-Antti","non-dropping-particle":"","parse-names":false,"suffix":""},{"dropping-particle":"","family":"Laukia","given":"Arjo","non-dropping-particle":"","parse-names":false,"suffix":""},{"dropping-particle":"","family":"Tikkanen","given":"Henrikki","non-dropping-particle":"","parse-names":false,"suffix":""}],"container-title":"Management Decision","id":"ITEM-1","issue":"4","issued":{"date-parts":[["2011"]]},"page":"622-647","title":"Strategic management of business model transformation: Lessons from Nokia","type":"article-journal","volume":"49"},"uris":["http://www.mendeley.com/documents/?uuid=df331a0d-29f1-4cb9-8b53-b664c429fe79"]},{"id":"ITEM-2","itemData":{"abstract":"This paper brings together firm-level research on business models and industry-level research on value migration to examine patterns of business model innovation. We draw on qualitative data from 14 cases and 68 interviews in the computer and telecommunications industries to demonstrate how business model innovation is sensitive to industry-wide forces of value migration. Based on our analysis we conclude that when value is rapidly migrating across industries and between firms, proactively substituting key elements of the primary business model provides a better fit with the new value landscape than launching secondary business models in parallel. We suggest four underlying mechanisms that link business model innovation, value migration and subsequent outcomes. Unpacking business model innovation allows us to discuss contingencies for the main business model strategies, specifically in terms of limitations to—and opportunities of—changing the primary business model and the practice of parallel business models.","author":[{"dropping-particle":"","family":"Hacklin","given":"Fredrik","non-dropping-particle":"","parse-names":false,"suffix":""},{"dropping-particle":"","family":"Björkdahl","given":"Joakim","non-dropping-particle":"","parse-names":false,"suffix":""},{"dropping-particle":"","family":"Wallin","given":"Martin W.","non-dropping-particle":"","parse-names":false,"suffix":""}],"container-title":"Long Range Planning","id":"ITEM-2","issue":"1","issued":{"date-parts":[["2018"]]},"page":"82-110","title":"Strategies for business model innovation: How firms reel in migrating value","type":"article-journal","volume":"51"},"uris":["http://www.mendeley.com/documents/?uuid=3d8128d6-5f49-4f15-a76b-493e35563448"]}],"mendeley":{"formattedCitation":"(Aspara, Lamber, Laukia, &amp; Tikkanen, 2011; Hacklin, Björkdahl, &amp; Wallin, 2018)","plainTextFormattedCitation":"(Aspara, Lamber, Laukia, &amp; Tikkanen, 2011; Hacklin, Björkdahl, &amp; Wallin, 2018)","previouslyFormattedCitation":"(Aspara et al., 2011; Hacklin, Björkdahl, &amp; Wallin, 2018)"},"properties":{"noteIndex":0},"schema":"https://github.com/citation-style-language/schema/raw/master/csl-citation.json"}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(Aspara, Lamber, Laukia, &amp; Tikkanen, 2011; Hacklin, Björkdahl, &amp; Wallin, 2018)</w:t>
      </w:r>
      <w:r w:rsidRPr="00FF4E93">
        <w:rPr>
          <w:rFonts w:eastAsia="Times New Roman"/>
          <w:sz w:val="26"/>
        </w:rPr>
        <w:fldChar w:fldCharType="end"/>
      </w:r>
      <w:r w:rsidRPr="00FF4E93">
        <w:rPr>
          <w:rFonts w:eastAsia="Times New Roman"/>
          <w:sz w:val="26"/>
        </w:rPr>
        <w:t xml:space="preserve"> and entrepreneurial contexts </w:t>
      </w:r>
      <w:r w:rsidRPr="00FF4E93">
        <w:rPr>
          <w:rFonts w:eastAsia="Times New Roman"/>
          <w:sz w:val="26"/>
        </w:rPr>
        <w:fldChar w:fldCharType="begin" w:fldLock="1"/>
      </w:r>
      <w:r w:rsidR="00C95F78" w:rsidRPr="00FF4E93">
        <w:rPr>
          <w:rFonts w:eastAsia="Times New Roman"/>
          <w:sz w:val="26"/>
        </w:rPr>
        <w:instrText>ADDIN CSL_CITATION {"citationItems":[{"id":"ITEM-1","itemData":{"abstract":"While the term “business model” has gained widespread use in the practice community, the academic literature on this topic is fragmented and confounded by inconsistent definitions and construct boundaries. In this study, we review prior research and reframe the business model with an entrepreneurial lens. We report on a discourse analysis of 151 surveys of practicing managers to better understand their conceptualization of a business model. We find that the underlying dimensions of the business model are resource structure, transactive structure, and value structure, and discuss the nature and implications of dimensional dominance for firm characteristics and behavior. These findings provide new directions for theory development and empirical studies in entrepreneurship by linking the business model to entrepreneurial cognition, opportunity co-creation, and organizational outcomes.","author":[{"dropping-particle":"","family":"George","given":"Gerard","non-dropping-particle":"","parse-names":false,"suffix":""},{"dropping-particle":"","family":"Bock","given":"Adam J.","non-dropping-particle":"","parse-names":false,"suffix":""}],"container-title":"Entrepreneurship: Theory and Practice","id":"ITEM-1","issue":"1","issued":{"date-parts":[["2011"]]},"page":"83-111","title":"The Business Model in Practice and its Implications for Entrepreneurship Research","type":"article-journal","volume":"35"},"uris":["http://www.mendeley.com/documents/?uuid=a5d122d4-c612-48a7-8f2a-a10848d0b840"]},{"id":"ITEM-2","itemData":{"abstract":"Highly emphasized in entrepreneurial practice, business models have received limited attention from researchers. No consensus exists regarding the definition, nature, structure, and evolution of business models. Still, the business model holds promise as a unifying unit of analysis that can facilitate theory development in entrepreneurship. This article synthesizes the literature and draws conclusions regarding a number of these core issues. Theoretical underpinnings of a firm's business model are explored. A six-component framework is proposed for characterizing a business model, regardless of venture type. These components are applied at three different levels. The framework is illustrated using a successful mainstream company. Suggestions are made regarding the manner in which business models might be expected to emerge and evolve over time. ?? 2003 Elsevier Inc. All rights reserved.","author":[{"dropping-particle":"","family":"Morris","given":"Michael","non-dropping-particle":"","parse-names":false,"suffix":""},{"dropping-particle":"","family":"Schindehutte","given":"Minet","non-dropping-particle":"","parse-names":false,"suffix":""},{"dropping-particle":"","family":"Allen","given":"Jeffrey","non-dropping-particle":"","parse-names":false,"suffix":""}],"container-title":"Journal of Business Research","id":"ITEM-2","issue":"6","issued":{"date-parts":[["2005"]]},"page":"726-735","title":"The entrepreneur's business model: Toward a unified perspective","type":"article-journal","volume":"58"},"uris":["http://www.mendeley.com/documents/?uuid=a48937f4-1130-49a1-b999-f9e11f5c5109"]}],"mendeley":{"formattedCitation":"(George &amp; Bock, 2011; Morris, Schindehutte, &amp; Allen, 2005)","plainTextFormattedCitation":"(George &amp; Bock, 2011; Morris, Schindehutte, &amp; Allen, 2005)","previouslyFormattedCitation":"(George &amp; Bock, 2011; Morris et al., 2005)"},"properties":{"noteIndex":0},"schema":"https://github.com/citation-style-language/schema/raw/master/csl-citation.json"}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(George &amp; Bock, 2011; Morris, Schindehutte, &amp; Allen, 2005)</w:t>
      </w:r>
      <w:r w:rsidRPr="00FF4E93">
        <w:rPr>
          <w:rFonts w:eastAsia="Times New Roman"/>
          <w:sz w:val="26"/>
        </w:rPr>
        <w:fldChar w:fldCharType="end"/>
      </w:r>
      <w:r w:rsidRPr="00FF4E93">
        <w:rPr>
          <w:rFonts w:eastAsia="Times New Roman"/>
          <w:sz w:val="26"/>
        </w:rPr>
        <w:t xml:space="preserve">, and describes the phenomenon of firms reconfiguring an existing business model or introducing a new one </w:t>
      </w:r>
      <w:r w:rsidRPr="00FF4E93">
        <w:rPr>
          <w:rFonts w:eastAsia="Times New Roman"/>
          <w:sz w:val="26"/>
        </w:rPr>
        <w:fldChar w:fldCharType="begin" w:fldLock="1"/>
      </w:r>
      <w:r w:rsidRPr="00FF4E93">
        <w:rPr>
          <w:rFonts w:eastAsia="Times New Roman"/>
          <w:sz w:val="26"/>
        </w:rPr>
        <w:instrText>ADDIN CSL_CITATION {"citationItems":[{"id":"ITEM-1","itemData":{"abstract":"Despite a voluminous literature, business model research continues to be plagued with problems. Those problems hinder theory development and make it difficult for managers to use research findings in their decision-making. In our article, we seek to make three contributions. First, we clarify the theoretical foundations of the business model concept and relate them to the five elements of a business model: customers, value propositions, product/service offerings, value creation mechanisms, and value appropriation mechanisms. A clear definition of a business model enables theory to develop systematically and provides coherent guidance to managers. Second, we suggest that value configuration is a contingency variable that should be included in future theorizing and model building. Each of the elements of a business model is affected by a firm's value configuration depending on whether the firm is a value chain, value shop, or value network. Third, we link business models to organization design. We show how organization design is affected by value configuration and how new collaborative organizational forms enable open and agile business models. We derive the implications of our analysis for future research and management practice.","author":[{"dropping-particle":"","family":"Fjeldstad","given":"Øystein D.","non-dropping-particle":"","parse-names":false,"suffix":""},{"dropping-particle":"","family":"Snow","given":"Charles C.","non-dropping-particle":"","parse-names":false,"suffix":""}],"container-title":"Long Range Planning","id":"ITEM-1","issue":"1","issued":{"date-parts":[["2018"]]},"page":"32-39","publisher":"Elsevier Ltd","title":"Business models and organization design","type":"article-journal","volume":"51"},"uris":["http://www.mendeley.com/documents/?uuid=6c1661aa-9164-4e16-a8b8-c5a9a4ccc9f9"]},{"id":"ITEM-2","itemData":{"abstract":"Provides tips on remaining stable in the industry. Way of responding to the effects of economic depression on the business; Maintenance of good customer relation; Expansion of productivity and sales.","author":[{"dropping-particle":"","family":"Massa","given":"Lorenzo","non-dropping-particle":"","parse-names":false,"suffix":""},{"dropping-particle":"","family":"Tucci","given":"Christopher L.","non-dropping-particle":"","parse-names":false,"suffix":""}],"container-title":"The Oxford Handbook of Innovation Management","editor":[{"dropping-particle":"","family":"Dodgson","given":"M.","non-dropping-particle":"","parse-names":false,"suffix":""},{"dropping-particle":"","family":"Gann","given":"David M.","non-dropping-particle":"","parse-names":false,"suffix":""},{"dropping-particle":"","family":"Phillips","given":"N.","non-dropping-particle":"","parse-names":false,"suffix":""}],"id":"ITEM-2","issued":{"date-parts":[["2014"]]},"page":"420-441","publisher":"Oxford University Press","publisher-place":"Oxford, UK","title":"Business Model Innovation","type":"chapter"},"uris":["http://www.mendeley.com/documents/?uuid=1443821e-1701-4403-8d7d-0e9bfa67b3c9"]}],"mendeley":{"formattedCitation":"(Fjeldstad &amp; Snow, 2018; Massa &amp; Tucci, 2014)","plainTextFormattedCitation":"(Fjeldstad &amp; Snow, 2018; Massa &amp; Tucci, 2014)","previouslyFormattedCitation":"(Fjeldstad &amp; Snow, 2018; Massa &amp; Tucci, 2014)"},"properties":{"noteIndex":0},"schema":"https://github.com/citation-style-language/schema/raw/master/csl-citation.json"}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(Fjeldstad &amp; Snow, 2018; Massa &amp; Tucci, 2014)</w:t>
      </w:r>
      <w:r w:rsidRPr="00FF4E93">
        <w:rPr>
          <w:rFonts w:eastAsia="Times New Roman"/>
          <w:sz w:val="26"/>
        </w:rPr>
        <w:fldChar w:fldCharType="end"/>
      </w:r>
      <w:r w:rsidRPr="00FF4E93">
        <w:rPr>
          <w:rFonts w:eastAsia="Times New Roman"/>
          <w:sz w:val="26"/>
        </w:rPr>
        <w:t xml:space="preserve">. </w:t>
      </w:r>
    </w:p>
    <w:p w14:paraId="6B8E255E" w14:textId="2CC2D8AA" w:rsidR="00151DC1" w:rsidRPr="00FF4E93" w:rsidRDefault="00151DC1" w:rsidP="00151DC1">
      <w:pPr>
        <w:spacing w:after="0"/>
        <w:rPr>
          <w:rFonts w:eastAsia="Times New Roman"/>
          <w:sz w:val="26"/>
        </w:rPr>
      </w:pPr>
      <w:r w:rsidRPr="00FF4E93">
        <w:rPr>
          <w:rFonts w:eastAsia="Times New Roman"/>
          <w:sz w:val="26"/>
        </w:rPr>
        <w:t xml:space="preserve">In the context of the formation of technology-intensive entrepreneurial ventures, BMI is a particularly salient issue because it constitutes the market device for new technologies </w:t>
      </w:r>
      <w:r w:rsidRPr="00FF4E93">
        <w:rPr>
          <w:rFonts w:eastAsia="Times New Roman"/>
          <w:sz w:val="26"/>
        </w:rPr>
        <w:fldChar w:fldCharType="begin" w:fldLock="1"/>
      </w:r>
      <w:r w:rsidRPr="00FF4E93">
        <w:rPr>
          <w:rFonts w:eastAsia="Times New Roman"/>
          <w:sz w:val="26"/>
        </w:rPr>
        <w:instrText>ADDIN CSL_CITATION {"citationItems":[{"id":"ITEM-1","itemData":{"abstract":"Building on a case study of an entrepreneurial venture, we investigate the role played by business models in the innovation process. Rather than debating their accuracy and efficiency, we adopt a pragmatic approach to business models - we examine them as market devices, focusing on their materiality, use and dynamics. Taking into account the variety of its forms, which range from corporate presentations to business plans, we show that the business model is a narrative and calculative device that allows entrepreneurs to explore a market and plays a performative role by contributing to the construction of the techno-economic network of an innovation. ?? 2009 Elsevier B.V. All rights reserved.","author":[{"dropping-particle":"","family":"Doganova","given":"Liliana","non-dropping-particle":"","parse-names":false,"suffix":""},{"dropping-particle":"","family":"Eyquem-Renault","given":"Marie","non-dropping-particle":"","parse-names":false,"suffix":""}],"container-title":"Research Policy","id":"ITEM-1","issue":"10","issued":{"date-parts":[["2009"]]},"page":"1559-1570","title":"What do business models do?. Innovation devices in technology entrepreneurship","type":"article-journal","volume":"38"},"uris":["http://www.mendeley.com/documents/?uuid=86ec8e4b-c761-488c-bd40-ca835af9f66b"]},{"id":"ITEM-2","itemData":{"abstract":"The aim of this paper is to advance research on sustainable innovation by adopting a business model perspective. Through a confrontation of the literature on both topics we find that research on sustainable innovation has tended to neglect the way in which firms need to combine a value proposition, the organization of the upstream and downstream value chain and a financial model in order to bring sustainable innovations to the market. Therefore, we review the current literature on business models in the contexts of technological, organizational and social innovation. As the current literature does not offer a general conceptual definition of sustainable business models, we propose examples of normative requirements that business models should meet in order to support sustainable innovations. Finally, we sketch the outline of a research agenda by formulating a number of guiding questions. © 2012 Elsevier Ltd. All rights reserved.","author":[{"dropping-particle":"","family":"Boons","given":"Frank","non-dropping-particle":"","parse-names":false,"suffix":""},{"dropping-particle":"","family":"Lüdeke-Freund","given":"Florian","non-dropping-particle":"","parse-names":false,"suffix":""}],"container-title":"Journal of Cleaner Production","id":"ITEM-2","issued":{"date-parts":[["2013"]]},"page":"9-19","publisher":"Elsevier Ltd","title":"Business models for sustainable innovation: State-of-the-art and steps towards a research agenda","type":"article-journal","volume":"45"},"uris":["http://www.mendeley.com/documents/?uuid=2aa846db-af8d-437f-b415-a6f8cff6aa30"]}],"mendeley":{"formattedCitation":"(Boons &amp; Lüdeke-Freund, 2013; Doganova &amp; Eyquem-Renault, 2009)","plainTextFormattedCitation":"(Boons &amp; Lüdeke-Freund, 2013; Doganova &amp; Eyquem-Renault, 2009)","previouslyFormattedCitation":"(Boons &amp; Lüdeke-Freund, 2013; Doganova &amp; Eyquem-Renault, 2009)"},"properties":{"noteIndex":0},"schema":"https://github.com/citation-style-language/schema/raw/master/csl-citation.json"}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(Boons &amp; Lüdeke-Freund, 2013; Doganova &amp; Eyquem-Renault, 2009)</w:t>
      </w:r>
      <w:r w:rsidRPr="00FF4E93">
        <w:rPr>
          <w:rFonts w:eastAsia="Times New Roman"/>
          <w:sz w:val="26"/>
        </w:rPr>
        <w:fldChar w:fldCharType="end"/>
      </w:r>
      <w:r w:rsidRPr="00FF4E93">
        <w:rPr>
          <w:rFonts w:eastAsia="Times New Roman"/>
          <w:sz w:val="26"/>
        </w:rPr>
        <w:t xml:space="preserve">: Technologies are commercialized through business models </w:t>
      </w:r>
      <w:r w:rsidRPr="00FF4E93">
        <w:rPr>
          <w:rFonts w:eastAsia="Times New Roman"/>
          <w:sz w:val="26"/>
        </w:rPr>
        <w:fldChar w:fldCharType="begin" w:fldLock="1"/>
      </w:r>
      <w:r w:rsidRPr="00FF4E93">
        <w:rPr>
          <w:rFonts w:eastAsia="Times New Roman"/>
          <w:sz w:val="26"/>
        </w:rPr>
        <w:instrText>ADDIN CSL_CITATION {"citationItems":[{"id":"ITEM-1","itemData":{"abstract":"Companies commercialize new ideas and technologies through their business models. While companies may have extensive investments and processes for exploring new ideas and technologies, they often have little if any ability to innovate the business models through which these inputs will pass. This matters - the same idea or technology taken to market through two different business models will yield two different economic outcomes. So it makes good business sense for companies to develop the capability to innovate their business models. This paper explores the barriers to business model innovation, which previous academic research has identified as including conflicts with existing assets and business models, as well as cognition in understanding these barriers. Processes of experimentation and effectuation, and the successful leadership of organizational change must be brought to bear in order to overcome these barriers. Some examples of business model innovation are provided to underline its importance, in hopes of inspiring managers and academics to take these challenges on. ?? 2009 Elsevier Ltd.","author":[{"dropping-particle":"","family":"Chesbrough","given":"Henry","non-dropping-particle":"","parse-names":false,"suffix":""}],"container-title":"Long Range Planning","id":"ITEM-1","issue":"2-3","issued":{"date-parts":[["2010"]]},"page":"354-363","publisher":"Elsevier Ltd","title":"Business model innovation: Opportunities and barriers","type":"article-journal","volume":"43"},"uris":["http://www.mendeley.com/documents/?uuid=75706180-5285-40f7-bdcf-f19420af3962"]}],"mendeley":{"formattedCitation":"(Chesbrough, 2010)","plainTextFormattedCitation":"(Chesbrough, 2010)","previouslyFormattedCitation":"(Chesbrough, 2010)"},"properties":{"noteIndex":0},"schema":"https://github.com/citation-style-language/schema/raw/master/csl-citation.json"}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(Chesbrough, 2010)</w:t>
      </w:r>
      <w:r w:rsidRPr="00FF4E93">
        <w:rPr>
          <w:rFonts w:eastAsia="Times New Roman"/>
          <w:sz w:val="26"/>
        </w:rPr>
        <w:fldChar w:fldCharType="end"/>
      </w:r>
      <w:r w:rsidRPr="00FF4E93">
        <w:rPr>
          <w:rFonts w:eastAsia="Times New Roman"/>
          <w:sz w:val="26"/>
        </w:rPr>
        <w:t xml:space="preserve"> and without commercialisation, their inherent value remains latent </w:t>
      </w:r>
      <w:r w:rsidRPr="00FF4E93">
        <w:rPr>
          <w:rFonts w:eastAsia="Times New Roman"/>
          <w:sz w:val="26"/>
        </w:rPr>
        <w:fldChar w:fldCharType="begin" w:fldLock="1"/>
      </w:r>
      <w:r w:rsidRPr="00FF4E93">
        <w:rPr>
          <w:rFonts w:eastAsia="Times New Roman"/>
          <w:sz w:val="26"/>
        </w:rPr>
        <w:instrText>ADDIN CSL_CITATION {"citationItems":[{"id":"ITEM-1","itemData":{"abstract":"This paper explores the role of the business model in capturing value from early stage technology. A successful business model creates a heuristic logic that connects technical potential with the realization of economic value. The business model unlocks latent value from a technology, but its logic constrains the subsequent search for new, alternative models for other technologies later on—an implicit cognitive dimension overlooked in most discourse on the topic. We explore the intellectual roots of the concept, offer a working definition and show how the Xerox Corporation arose by employing an effective business model to com- mercialize a technology rejected by other leading companies of the day. We then show the long shadow that this model cast upon Xerox’s later management of selected spin-off companies from Xerox PARC. Xerox evaluated the technical potential of these spin-offs through its own business model, while those spin-offs that became successful did so through evolving business models that came to differ substantially from that of Xerox. The search and learning for an effective business model in failed ventures, by contrast, were quite limited. 1.","author":[{"dropping-particle":"","family":"Chesbrough","given":"Henry","non-dropping-particle":"","parse-names":false,"suffix":""},{"dropping-particle":"","family":"Rosenbloom","given":"Richard S","non-dropping-particle":"","parse-names":false,"suffix":""}],"container-title":"Industrial and Corporate Change","id":"ITEM-1","issue":"3","issued":{"date-parts":[["2002"]]},"page":"529-555","title":"The role of the business model in capturing value from innovation: evidence from Xerox Corporation’s technology spin-off companies","type":"article-journal","volume":"11"},"uris":["http://www.mendeley.com/documents/?uuid=19adda14-860f-4e95-b276-6d5947ec2fe7"]}],"mendeley":{"formattedCitation":"(Chesbrough &amp; Rosenbloom, 2002)","plainTextFormattedCitation":"(Chesbrough &amp; Rosenbloom, 2002)","previouslyFormattedCitation":"(Chesbrough &amp; Rosenbloom, 2002)"},"properties":{"noteIndex":0},"schema":"https://github.com/citation-style-language/schema/raw/master/csl-citation.json"}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(Chesbrough &amp; Rosenbloom, 2002)</w:t>
      </w:r>
      <w:r w:rsidRPr="00FF4E93">
        <w:rPr>
          <w:rFonts w:eastAsia="Times New Roman"/>
          <w:sz w:val="26"/>
        </w:rPr>
        <w:fldChar w:fldCharType="end"/>
      </w:r>
      <w:r w:rsidRPr="00FF4E93">
        <w:rPr>
          <w:rFonts w:eastAsia="Times New Roman"/>
          <w:sz w:val="26"/>
        </w:rPr>
        <w:t xml:space="preserve">. Importantly, the design of a new business model is a strong moderator of firm performance and competitive advantage, oftentimes more important than the underlying technology </w:t>
      </w:r>
      <w:r w:rsidRPr="00FF4E93">
        <w:rPr>
          <w:rFonts w:eastAsia="Times New Roman"/>
          <w:sz w:val="26"/>
        </w:rPr>
        <w:fldChar w:fldCharType="begin" w:fldLock="1"/>
      </w:r>
      <w:r w:rsidR="00C95F78" w:rsidRPr="00FF4E93">
        <w:rPr>
          <w:rFonts w:eastAsia="Times New Roman"/>
          <w:sz w:val="26"/>
        </w:rPr>
        <w:instrText>ADDIN CSL_CITATION {"citationItems":[{"id":"ITEM-1","itemData":{"abstract":"Companies commercialize new ideas and technologies through their business models. While companies may have extensive investments and processes for exploring new ideas and technologies, they often have little if any ability to innovate the business models through which these inputs will pass. This matters - the same idea or technology taken to market through two different business models will yield two different economic outcomes. So it makes good business sense for companies to develop the capability to innovate their business models. This paper explores the barriers to business model innovation, which previous academic research has identified as including conflicts with existing assets and business models, as well as cognition in understanding these barriers. Processes of experimentation and effectuation, and the successful leadership of organizational change must be brought to bear in order to overcome these barriers. Some examples of business model innovation are provided to underline its importance, in hopes of inspiring managers and academics to take these challenges on. ?? 2009 Elsevier Ltd.","author":[{"dropping-particle":"","family":"Chesbrough","given":"Henry","non-dropping-particle":"","parse-names":false,"suffix":""}],"container-title":"Long Range Planning","id":"ITEM-1","issue":"2-3","issued":{"date-parts":[["2010"]]},"page":"354-363","publisher":"Elsevier Ltd","title":"Business model innovation: Opportunities and barriers","type":"article-journal","volume":"43"},"uris":["http://www.mendeley.com/documents/?uuid=75706180-5285-40f7-bdcf-f19420af3962"]},{"id":"ITEM-2","itemData":{"abstract":"Business models matter. A better business model often will beat a better idea or technology.To innovate your business model, you must first understand what it is, and then examine what paths exist for you to improve upon it. Every company has a business model, whether they articulate it or not. At its heart, a business model performs two important functions: value creation and value capture. There can be real tensions between the aspects of a business model that create value and those that help to capture a portion of that value. Richard S. Rosenbloom, Professor Emeritus of Harvard, and I have developed a specific working definition (see Exhibit 1)[1]. The functions of a business model are: 1. Articulate the value proposition, that is, the value created for users by the offering 2. Identify a market segment, that is, the users to whom the offering is useful and for what purpose 3. Define the structure of the value chain required by the firm to create and distribute the offering, and determine the complementary assets needed to support the firm’s position in this chain. This includes the firm’s suppliers and customers, and should extend from raw materials to the final customer4. Specify the revenue generation mechanism(s) for the firm, and estimate the cost structure and profit potential of producing the offering, given the value proposition and value chain structure chosen 5. Describe the position of the firm within the value network (also referred to as an ecosystem) linking suppliers and customers, including identification of potential complementors and competitors 6. Formulate the competitive strategy by which the innovating firm will gain and hold advantage over rivals More can be done to improve a specific business model if managers think of stages of business model advancement. The Business Model Framework (BMF) is a model that sequences possible business models from very basic (and not very valuable) models to far more advanced (and very valuable) models. Type 1 – Company has an undifferentiated business model. Type 2 – Company has some differentiation in its business model. Type 3 – Company develops a segmented business model. Type 4 – Company has an externally aware business model.Type 5 – Company integrates its innovation process with its business model. Type 6 – Company’s business model is an adaptive platform. One important capability that enables this integration of business models throughout a value chain is the ability of the company to e…","author":[{"dropping-particle":"","family":"Chesbrough","given":"Henry","non-dropping-particle":"","parse-names":false,"suffix":""}],"container-title":"Strategy &amp; Leadership","id":"ITEM-2","issue":"6","issued":{"date-parts":[["2007"]]},"page":"12-17","title":"Business model innovation: it's not just about technology anymore","type":"article-journal","volume":"35"},"uris":["http://www.mendeley.com/documents/?uuid=f2c87b80-37b8-42ba-95c8-989aa0378e49"]}],"mendeley":{"formattedCitation":"(Chesbrough, 2007, 2010)","plainTextFormattedCitation":"(Chesbrough, 2007, 2010)","previouslyFormattedCitation":"(Chesbrough, 2007a, 2010)"},"properties":{"noteIndex":0},"schema":"https://github.com/citation-style-language/schema/raw/master/csl-citation.json"}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(Chesbrough, 2007, 2010)</w:t>
      </w:r>
      <w:r w:rsidRPr="00FF4E93">
        <w:rPr>
          <w:rFonts w:eastAsia="Times New Roman"/>
          <w:sz w:val="26"/>
        </w:rPr>
        <w:fldChar w:fldCharType="end"/>
      </w:r>
      <w:r w:rsidRPr="00FF4E93">
        <w:rPr>
          <w:rFonts w:eastAsia="Times New Roman"/>
          <w:sz w:val="26"/>
        </w:rPr>
        <w:t>. However, due to the interrelated nature of business model elements, BMI is complex and more recently, the question of ‘how a (successful) business model should be configured’</w:t>
      </w:r>
      <w:r w:rsidRPr="00FF4E93">
        <w:rPr>
          <w:rFonts w:eastAsia="Times New Roman"/>
          <w:i/>
          <w:sz w:val="26"/>
        </w:rPr>
        <w:t xml:space="preserve"> </w:t>
      </w:r>
      <w:r w:rsidRPr="00FF4E93">
        <w:rPr>
          <w:rFonts w:eastAsia="Times New Roman"/>
          <w:sz w:val="26"/>
        </w:rPr>
        <w:t xml:space="preserve">has received increased attention </w:t>
      </w:r>
      <w:r w:rsidRPr="00FF4E93">
        <w:rPr>
          <w:rFonts w:eastAsia="Times New Roman"/>
          <w:sz w:val="26"/>
        </w:rPr>
        <w:lastRenderedPageBreak/>
        <w:fldChar w:fldCharType="begin" w:fldLock="1"/>
      </w:r>
      <w:r w:rsidR="00C95F78" w:rsidRPr="00FF4E93">
        <w:rPr>
          <w:rFonts w:eastAsia="Times New Roman"/>
          <w:sz w:val="26"/>
        </w:rPr>
        <w:instrText>ADDIN CSL_CITATION {"citationItems":[{"id":"ITEM-1","itemData":{"abstract":"At the present moment there are no results that have been established on a wider empirical basis on how successful business models should be configured. On the conceptual level, the authors further develop the Business Model Canvas of Osterwalder and Pigneur (Business Model Generation: Ein Handbuch f{ü}r Vision{ä}re, Spielver{ä}nderer und Herausforderer. Campus, Frankfurt am Main, 2011) against the backdrop of a well-founded and practice-oriented understanding of the business model concept. On the empirical level, which is based on the revised Business Model Canvas, the paper examines the relationship between business model configurations and corporate success, using companies in business-to-business markets as examples. The identification of successful business models rests upon the Qualitative Comparative Analysis (QCA), which can model complex causalities. The results show that there are 14 business model configurations that represent sufficient conditions for the success of a company in terms of sales profitability. Six of these configurations can be interpreted as key paths to corporate success and reflect the value disciplines of Treacy and Wiersema (Harv Bus Rev 71(1):84--93, 1993). Consequences regarding the change of business models can be derived from the empirical results.","author":[{"dropping-particle":"","family":"Werani","given":"Thomas","non-dropping-particle":"","parse-names":false,"suffix":""},{"dropping-particle":"","family":"Freiseisen","given":"Bernhard","non-dropping-particle":"","parse-names":false,"suffix":""},{"dropping-particle":"","family":"Martinek-Kuchinka","given":"Petra","non-dropping-particle":"","parse-names":false,"suffix":""},{"dropping-particle":"","family":"Schauberger","given":"Alexander","non-dropping-particle":"","parse-names":false,"suffix":""}],"container-title":"Journal of Business Economics","id":"ITEM-1","issue":"6","issued":{"date-parts":[["2016"]]},"page":"579-609","publisher":"Springer Berlin Heidelberg","title":"How should successful business models be configured? Results from an empirical study in business-to-business markets and implications for the change of business models","type":"article-journal","volume":"86"},"uris":["http://www.mendeley.com/documents/?uuid=d60a92a7-b01c-48bb-be88-aabd0af76e39"]},{"id":"ITEM-2","itemData":{"author":[{"dropping-particle":"","family":"Wirtz","given":"Bernd W.","non-dropping-particle":"","parse-names":false,"suffix":""},{"dropping-particle":"","family":"Pistoia","given":"Adriano","non-dropping-particle":"","parse-names":false,"suffix":""},{"dropping-particle":"","family":"Ullrich","given":"Sebastian","non-dropping-particle":"","parse-names":false,"suffix":""},{"dropping-particle":"","family":"Göttel","given":"Vincent","non-dropping-particle":"","parse-names":false,"suffix":""}],"container-title":"Long Range Planning","id":"ITEM-2","issue":"1","issued":{"date-parts":[["2016"]]},"page":"36-54","publisher":"Elsevier Ltd","title":"Business Models: Origin, Development and Future Research Perspectives","type":"article-journal","volume":"49"},"uris":["http://www.mendeley.com/documents/?uuid=7e488bcc-d127-4e42-8bda-667ed05d3aae"]},{"id":"ITEM-3","itemData":{"abstract":"The business model concept is widely used by practicing entrepreneurs and scholarly research on the business model concept has made contributions to the management literature. This essay links the business model literature to the growing work on the individual–opportunity nexus—which is a developing scholarly framework in entrepreneurship. Three potential linkages of overlapping research are discussed including research on the development of entrepreneurial taxonomies and conjecture formation.","author":[{"dropping-particle":"","family":"Eckhardt","given":"Jonathan T.","non-dropping-particle":"","parse-names":false,"suffix":""}],"container-title":"Strategic Organization","id":"ITEM-3","issue":"4","issued":{"date-parts":[["2013"]]},"page":"412-417","title":"Opportunities in business model research","type":"article-journal","volume":"11"},"uris":["http://www.mendeley.com/documents/?uuid=dddccf7d-b808-4a01-bb14-9f79c963c413"]}],"mendeley":{"formattedCitation":"(Eckhardt, 2013; Werani, Freiseisen, Martinek-Kuchinka, &amp; Schauberger, 2016; Wirtz, Pistoia, Ullrich, &amp; Göttel, 2016)","plainTextFormattedCitation":"(Eckhardt, 2013; Werani, Freiseisen, Martinek-Kuchinka, &amp; Schauberger, 2016; Wirtz, Pistoia, Ullrich, &amp; Göttel, 2016)","previouslyFormattedCitation":"(Eckhardt, 2013; Werani et al., 2016; Wirtz et al., 2016)"},"properties":{"noteIndex":0},"schema":"https://github.com/citation-style-language/schema/raw/master/csl-citation.json"}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(Eckhardt, 2013; Werani, Freiseisen, Martinek-Kuchinka, &amp; Schauberger, 2016; Wirtz, Pistoia, Ullrich, &amp; Göttel, 2016)</w:t>
      </w:r>
      <w:r w:rsidRPr="00FF4E93">
        <w:rPr>
          <w:rFonts w:eastAsia="Times New Roman"/>
          <w:sz w:val="26"/>
        </w:rPr>
        <w:fldChar w:fldCharType="end"/>
      </w:r>
      <w:r w:rsidRPr="00FF4E93">
        <w:rPr>
          <w:rFonts w:eastAsia="Times New Roman"/>
          <w:sz w:val="26"/>
        </w:rPr>
        <w:t xml:space="preserve">. </w:t>
      </w:r>
    </w:p>
    <w:p w14:paraId="473C73F2" w14:textId="66DD8B34" w:rsidR="00151DC1" w:rsidRPr="00FF4E93" w:rsidRDefault="00151DC1" w:rsidP="00151DC1">
      <w:pPr>
        <w:spacing w:after="0"/>
        <w:rPr>
          <w:rFonts w:eastAsia="Times New Roman"/>
          <w:sz w:val="26"/>
        </w:rPr>
      </w:pPr>
      <w:r w:rsidRPr="00FF4E93">
        <w:rPr>
          <w:rFonts w:eastAsia="Times New Roman"/>
          <w:sz w:val="26"/>
        </w:rPr>
        <w:t xml:space="preserve">Drawing from </w:t>
      </w:r>
      <w:r w:rsidRPr="00FF4E93">
        <w:rPr>
          <w:rFonts w:eastAsia="Times New Roman"/>
          <w:i/>
          <w:sz w:val="26"/>
        </w:rPr>
        <w:t>configuration theory</w:t>
      </w:r>
      <w:r w:rsidRPr="00FF4E93">
        <w:rPr>
          <w:rFonts w:eastAsia="Times New Roman"/>
          <w:sz w:val="26"/>
        </w:rPr>
        <w:t xml:space="preserve">, researchers have argued that successful, i.e. (financially) high-performing business models, achieve fitness between their elements </w:t>
      </w:r>
      <w:r w:rsidRPr="00FF4E93">
        <w:rPr>
          <w:rFonts w:eastAsia="Times New Roman"/>
          <w:sz w:val="26"/>
        </w:rPr>
        <w:fldChar w:fldCharType="begin" w:fldLock="1"/>
      </w:r>
      <w:r w:rsidRPr="00FF4E93">
        <w:rPr>
          <w:rFonts w:eastAsia="Times New Roman"/>
          <w:sz w:val="26"/>
        </w:rPr>
        <w:instrText>ADDIN CSL_CITATION {"citationItems":[{"id":"ITEM-1","itemData":{"abstract":"Business models, dynamic capabilities, and strategy are interdependent. The strength of a firm's dynamic capabilities help shape its proficiency at business model design. Through its effect on organization design, a business model influences the firm's dynamic capabilities and places bounds on the feasibility of particular strategies. While these relationships are understood at a theoretical level, there is a need for future empirical work to flesh out the details. In particular, studies that provide a better understanding of business model innovation, implementation, and change will also shed light on important aspects of dynamic capabilities.","author":[{"dropping-particle":"","family":"Teece","given":"David J.","non-dropping-particle":"","parse-names":false,"suffix":""}],"container-title":"Long Range Planning","id":"ITEM-1","issue":"1","issued":{"date-parts":[["2018"]]},"page":"40-49","publisher":"Elsevier Ltd","title":"Business models and dynamic capabilities","type":"article-journal","volume":"51"},"uris":["http://www.mendeley.com/documents/?uuid=7cee8555-e8a5-4b09-a8e6-57b18ce52072"]},{"id":"ITEM-2","itemData":{"abstract":"While research on business models and business model innovation continue to exhibit growth, the field is still, even after more than two decades of research, characterized by a striking lack of cumulative theorizing and an opportunistic borrowing of more or less related ideas from neighbouring fields in the place of cumulative theory. We argue that the lack of cumulativeness stems from lack of construct clarity (i.e., BM and BMI are seldom defined with much precision) and lack of agreement on definitions, which in turn imply that the core constructs are not dimensionalized in a way that eases theory-building and empirical testing. Lack of progress on these matters partly reflect that the BM and BMI constructs are used in multiple explanatory contexts, so that it is not entirely clear what are the problems that BM and BMI research seek to solve. We argue, with Teece (2010), that the BM and BMI constructs are fundamentally about the architecture of the firm's value creation, delivery and capture mechanisms; theoretically the key aspect of BMs is complementarity between activities underlying these mechanisms; BMI means novel changes of such complementary relations; and this understanding not only unifies diverse contributions to the literature but is also productive of new insight.","author":[{"dropping-particle":"","family":"Foss","given":"Nicolai J.","non-dropping-particle":"","parse-names":false,"suffix":""},{"dropping-particle":"","family":"Saebi","given":"Tina","non-dropping-particle":"","parse-names":false,"suffix":""}],"container-title":"Long Range Planning","id":"ITEM-2","issue":"1","issued":{"date-parts":[["2018"]]},"page":"9-21","publisher":"Elsevier Ltd","title":"Business models and business model innovation: Between wicked and paradigmatic problems","type":"article-journal","volume":"51"},"uris":["http://www.mendeley.com/documents/?uuid=fd22735b-10ca-4d3b-8c21-8deb5bc57250"]},{"id":"ITEM-3","itemData":{"abstract":"Highly emphasized in entrepreneurial practice, business models have received limited attention from researchers. No consensus exists regarding the definition, nature, structure, and evolution of business models. Still, the business model holds promise as a unifying unit of analysis that can facilitate theory development in entrepreneurship. This article synthesizes the literature and draws conclusions regarding a number of these core issues. Theoretical underpinnings of a firm's business model are explored. A six-component framework is proposed for characterizing a business model, regardless of venture type. These components are applied at three different levels. The framework is illustrated using a successful mainstream company. Suggestions are made regarding the manner in which business models might be expected to emerge and evolve over time. ?? 2003 Elsevier Inc. All rights reserved.","author":[{"dropping-particle":"","family":"Morris","given":"Michael","non-dropping-particle":"","parse-names":false,"suffix":""},{"dropping-particle":"","family":"Schindehutte","given":"Minet","non-dropping-particle":"","parse-names":false,"suffix":""},{"dropping-particle":"","family":"Allen","given":"Jeffrey","non-dropping-particle":"","parse-names":false,"suffix":""}],"container-title":"Journal of Business Research","id":"ITEM-3","issue":"6","issued":{"date-parts":[["2005"]]},"page":"726-735","title":"The entrepreneur's business model: Toward a unified perspective","type":"article-journal","volume":"58"},"uris":["http://www.mendeley.com/documents/?uuid=a48937f4-1130-49a1-b999-f9e11f5c5109"]}],"mendeley":{"formattedCitation":"(Foss &amp; Saebi, 2018; Morris et al., 2005; Teece, 2018)","plainTextFormattedCitation":"(Foss &amp; Saebi, 2018; Morris et al., 2005; Teece, 2018)","previouslyFormattedCitation":"(Foss &amp; Saebi, 2018; Morris et al., 2005; Teece, 2018)"},"properties":{"noteIndex":0},"schema":"https://github.com/citation-style-language/schema/raw/master/csl-citation.json"}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(Foss &amp; Saebi, 2018; Morris et al., 2005; Teece, 2018)</w:t>
      </w:r>
      <w:r w:rsidRPr="00FF4E93">
        <w:rPr>
          <w:rFonts w:eastAsia="Times New Roman"/>
          <w:sz w:val="26"/>
        </w:rPr>
        <w:fldChar w:fldCharType="end"/>
      </w:r>
      <w:r w:rsidRPr="00FF4E93">
        <w:rPr>
          <w:rFonts w:eastAsia="Times New Roman"/>
          <w:sz w:val="26"/>
        </w:rPr>
        <w:t xml:space="preserve">. Configurational research investigates social systems through holistic inquiry of its constituting elements following the assertion that systems’ behaviour arises from the whole of elements and their interrelations </w:t>
      </w:r>
      <w:r w:rsidRPr="00FF4E93">
        <w:rPr>
          <w:rFonts w:eastAsia="Times New Roman"/>
          <w:sz w:val="26"/>
        </w:rPr>
        <w:fldChar w:fldCharType="begin" w:fldLock="1"/>
      </w:r>
      <w:r w:rsidR="00C95F78" w:rsidRPr="00FF4E93">
        <w:rPr>
          <w:rFonts w:eastAsia="Times New Roman"/>
          <w:sz w:val="26"/>
        </w:rPr>
        <w:instrText>ADDIN CSL_CITATION {"citationItems":[{"id":"ITEM-1","itemData":{"author":[{"dropping-particle":"","family":"Meyer","given":"Alan D.","non-dropping-particle":"","parse-names":false,"suffix":""},{"dropping-particle":"","family":"Tsui","given":"Anne S.","non-dropping-particle":"","parse-names":false,"suffix":""},{"dropping-particle":"","family":"Hinings","given":"C.R.","non-dropping-particle":"","parse-names":false,"suffix":""}],"container-title":"Academy of Management Journal","id":"ITEM-1","issue":"6","issued":{"date-parts":[["1993"]]},"page":"1175-1195","title":"Configurational Approaches to Organizational Analysis","type":"article-journal","volume":"36"},"uris":["http://www.mendeley.com/documents/?uuid=c6789846-6221-45c9-a58c-d76e88981dd2"]},{"id":"ITEM-2","itemData":{"author":[{"dropping-particle":"","family":"Dess","given":"G","non-dropping-particle":"","parse-names":false,"suffix":""},{"dropping-particle":"","family":"Newport","given":"S","non-dropping-particle":"","parse-names":false,"suffix":""},{"dropping-particle":"","family":"Rasheed","given":"A","non-dropping-particle":"","parse-names":false,"suffix":""}],"container-title":"Journal of Management","id":"ITEM-2","issue":"4","issued":{"date-parts":[["1993"]]},"page":"775-795","title":"Configuration research in strategic management: Key issues and suggestions","type":"article-journal","volume":"19"},"uris":["http://www.mendeley.com/documents/?uuid=99e810af-c71d-4236-b9b9-891fed9ab369"]}],"mendeley":{"formattedCitation":"(Dess, Newport, &amp; Rasheed, 1993; Meyer, Tsui, &amp; Hinings, 1993)","plainTextFormattedCitation":"(Dess, Newport, &amp; Rasheed, 1993; Meyer, Tsui, &amp; Hinings, 1993)","previouslyFormattedCitation":"(Dess et al., 1993; Meyer et al., 1993)"},"properties":{"noteIndex":0},"schema":"https://github.com/citation-style-language/schema/raw/master/csl-citation.json"}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(Dess, Newport, &amp; Rasheed, 1993; Meyer, Tsui, &amp; Hinings, 1993)</w:t>
      </w:r>
      <w:r w:rsidRPr="00FF4E93">
        <w:rPr>
          <w:rFonts w:eastAsia="Times New Roman"/>
          <w:sz w:val="26"/>
        </w:rPr>
        <w:fldChar w:fldCharType="end"/>
      </w:r>
      <w:r w:rsidRPr="00FF4E93">
        <w:rPr>
          <w:rFonts w:eastAsia="Times New Roman"/>
          <w:sz w:val="26"/>
        </w:rPr>
        <w:t xml:space="preserve">. Among these combinations of elements, </w:t>
      </w:r>
      <w:r w:rsidRPr="00FF4E93">
        <w:rPr>
          <w:rFonts w:eastAsia="Times New Roman"/>
          <w:i/>
          <w:sz w:val="26"/>
        </w:rPr>
        <w:t>configurations</w:t>
      </w:r>
      <w:r w:rsidRPr="00FF4E93">
        <w:rPr>
          <w:rFonts w:eastAsia="Times New Roman"/>
          <w:sz w:val="26"/>
        </w:rPr>
        <w:t xml:space="preserve"> represent those that co-occur frequently and collectively cover a large fraction of the studied entities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{"citationItems":[{"id":"ITEM-1","itemData":{"author":[{"dropping-particle":"","family":"Meyer","given":"Alan D.","non-dropping-particle":"","parse-names":false,"suffix":""},{"dropping-particle":"","family":"Tsui","given":"Anne S.","non-dropping-particle":"","parse-names":false,"suffix":""},{"dropping-particle":"","family":"Hinings","given":"C.R.","non-dropping-particle":"","parse-names":false,"suffix":""}],"container-title":"Academy of Management Journal","id":"ITEM-1","issue":"6","issued":{"date-parts":[["1993"]]},"page":"1175-1195","title":"Configurational Approaches to Organizational Analysis","type":"article-journal","volume":"36"},"uris":["http://www.mendeley.com/documents/?uuid=c6789846-6221-45c9-a58c-d76e88981dd2"]},{"id":"ITEM-2","itemData":{"author":[{"dropping-particle":"","family":"Miller","given":"D.","non-dropping-particle":"","parse-names":false,"suffix":""},{"dropping-particle":"","family":"Friesen","given":"P. H.","non-dropping-particle":"","parse-names":false,"suffix":""}],"id":"ITEM-2","issued":{"date-parts":[["1984"]]},"publisher":"Prentice-Hall","publisher-place":"Englewood Cliffs, NJ","title":"Organizations: A quantum view","type":"book"},"uris":["http://www.mendeley.com/documents/?uuid=4a06ffcf-13da-4a18-9210-7f08973bb343"]}],"mendeley":{"formattedCitation":"(Meyer et al., 1993; D. Miller &amp; Friesen, 1984)","manualFormatting":"(Meyer et al., 1993; Miller &amp; Friesen, 1984)","plainTextFormattedCitation":"(Meyer et al., 1993; D. Miller &amp; Friesen, 1984)","previouslyFormattedCitation":"(Meyer et al., 1993; D. Miller &amp; Friesen, 1984)"},"properties":{"noteIndex":0},"schema":"https://github.com/citation-style-language/schema/raw/master/csl-citation.json"}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(Meyer et al., 1993; Miller &amp; Friesen, 1984)</w:t>
      </w:r>
      <w:r w:rsidRPr="00FF4E93">
        <w:rPr>
          <w:rFonts w:eastAsia="Times New Roman"/>
          <w:sz w:val="26"/>
        </w:rPr>
        <w:fldChar w:fldCharType="end"/>
      </w:r>
      <w:r w:rsidRPr="00FF4E93">
        <w:rPr>
          <w:rFonts w:eastAsia="Times New Roman"/>
          <w:sz w:val="26"/>
        </w:rPr>
        <w:t>. Business model scholars, thus understand business models as social systems and study the nature of interrelations between their elements. A fundamental notion of configurational research is ‘</w:t>
      </w:r>
      <w:r w:rsidRPr="00FF4E93">
        <w:rPr>
          <w:rFonts w:eastAsia="Times New Roman"/>
          <w:i/>
          <w:sz w:val="26"/>
        </w:rPr>
        <w:t>fitness’</w:t>
      </w:r>
      <w:r w:rsidRPr="00FF4E93">
        <w:rPr>
          <w:rFonts w:eastAsia="Times New Roman"/>
          <w:sz w:val="26"/>
        </w:rPr>
        <w:t xml:space="preserve">: In business model research, it describes the creation of synergistic effects within combinations of business model elements that can facilitate self-reinforcing cycles </w:t>
      </w:r>
      <w:r w:rsidRPr="00FF4E93">
        <w:rPr>
          <w:rFonts w:eastAsia="Times New Roman"/>
          <w:sz w:val="26"/>
        </w:rPr>
        <w:fldChar w:fldCharType="begin" w:fldLock="1"/>
      </w:r>
      <w:r w:rsidRPr="00FF4E93">
        <w:rPr>
          <w:rFonts w:eastAsia="Times New Roman"/>
          <w:sz w:val="26"/>
        </w:rPr>
        <w:instrText>ADDIN CSL_CITATION {"citationItems":[{"id":"ITEM-1","itemData":{"abstract":"The theories of supermodular optimization and games provide a framework for the analysis of systems marked by complementarity. We summarize the principal results of these theories and indicate their usefulness by applying them to study the shift to 'modern manufacturing'. We also use them to analyze the characteristic features of the Lincoln Electric Company's strategy and structure. © 1995.","author":[{"dropping-particle":"","family":"Milgrom","given":"Paul","non-dropping-particle":"","parse-names":false,"suffix":""},{"dropping-particle":"","family":"Roberts","given":"John","non-dropping-particle":"","parse-names":false,"suffix":""}],"container-title":"Journal of Accounting and Economics","id":"ITEM-1","issue":"2-3","issued":{"date-parts":[["1995"]]},"page":"179-208","title":"Complementarities and fit strategy, structure, and organizational change in manufacturing","type":"article-journal","volume":"19"},"uris":["http://www.mendeley.com/documents/?uuid=28b5e226-df03-4c08-b0e9-1cd9e8f9ec76"]},{"id":"ITEM-2","itemData":{"author":[{"dropping-particle":"","family":"Milgrom","given":"Paul","non-dropping-particle":"","parse-names":false,"suffix":""},{"dropping-particle":"","family":"Roberts","given":"John","non-dropping-particle":"","parse-names":false,"suffix":""}],"container-title":"The American Economic Review","id":"ITEM-2","issue":"3","issued":{"date-parts":[["1990"]]},"page":"511-528","title":"The Economics of Modern Manufacturing: Technology, Strategy, and Organization","type":"article-journal","volume":"80"},"uris":["http://www.mendeley.com/documents/?uuid=4f41ebc4-ead6-4bf8-8144-ce6d5661f30d"]},{"id":"ITEM-3","itemData":{"abstract":"Strategy scholars have used the notion of the Business Model to refer to the ‘logic of the firm’ e how it operates and creates value for its stakeholders. On the surface, this notion appears to be similar to that of strategy. We present a conceptual framework to separate and relate the concepts of strategy and business model: a business model, we argue, is a reflection of the firm’s realized strategy. We find that in simple competitive situations there is a one-to-one mapping between strategy and business model, which makes it difficult to separate the two notions. We show that the concepts of strategy and business model differ when there are important contingencies on which a well-designed strategy must be based. Our framework also delivers a clear distinction between strategy and tactics, made possible because strategy and business model are different constructs.","author":[{"dropping-particle":"","family":"Casadesus-Masanell","given":"Ramon","non-dropping-particle":"","parse-names":false,"suffix":""},{"dropping-particle":"","family":"Ricart","given":"Joan Enric","non-dropping-particle":"","parse-names":false,"suffix":""}],"container-title":"Long Range Planning","id":"ITEM-3","issued":{"date-parts":[["2010"]]},"page":"195-215","title":"From Strategy to Business Models and onto Tactics","type":"article-journal","volume":"43"},"uris":["http://www.mendeley.com/documents/?uuid=9ad91025-b010-4cce-aa12-52598f29bad7"]}],"mendeley":{"formattedCitation":"(Casadesus-Masanell &amp; Ricart, 2010; Milgrom &amp; Roberts, 1990, 1995)","plainTextFormattedCitation":"(Casadesus-Masanell &amp; Ricart, 2010; Milgrom &amp; Roberts, 1990, 1995)","previouslyFormattedCitation":"(Casadesus-Masanell &amp; Ricart, 2010; Milgrom &amp; Roberts, 1990, 1995)"},"properties":{"noteIndex":0},"schema":"https://github.com/citation-style-language/schema/raw/master/csl-citation.json"}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(Casadesus-Masanell &amp; Ricart, 2010; Milgrom &amp; Roberts, 1990, 1995)</w:t>
      </w:r>
      <w:r w:rsidRPr="00FF4E93">
        <w:rPr>
          <w:rFonts w:eastAsia="Times New Roman"/>
          <w:sz w:val="26"/>
        </w:rPr>
        <w:fldChar w:fldCharType="end"/>
      </w:r>
      <w:r w:rsidRPr="00FF4E93">
        <w:rPr>
          <w:rFonts w:eastAsia="Times New Roman"/>
          <w:sz w:val="26"/>
        </w:rPr>
        <w:t xml:space="preserve">. Configuration theory further assumes that </w:t>
      </w:r>
      <w:r w:rsidRPr="00FF4E93">
        <w:rPr>
          <w:rFonts w:eastAsia="Times New Roman"/>
          <w:i/>
          <w:sz w:val="26"/>
        </w:rPr>
        <w:t>‘equifinality’</w:t>
      </w:r>
      <w:r w:rsidRPr="00FF4E93">
        <w:rPr>
          <w:rFonts w:eastAsia="Times New Roman"/>
          <w:sz w:val="26"/>
        </w:rPr>
        <w:t xml:space="preserve"> exists, i.e. high-performing business models can be created through different configurations </w:t>
      </w:r>
      <w:r w:rsidRPr="00FF4E93">
        <w:rPr>
          <w:rFonts w:eastAsia="Times New Roman"/>
          <w:sz w:val="26"/>
        </w:rPr>
        <w:fldChar w:fldCharType="begin" w:fldLock="1"/>
      </w:r>
      <w:r w:rsidR="00C95F78" w:rsidRPr="00FF4E93">
        <w:rPr>
          <w:rFonts w:eastAsia="Times New Roman"/>
          <w:sz w:val="26"/>
        </w:rPr>
        <w:instrText>ADDIN CSL_CITATION {"citationItems":[{"id":"ITEM-1","itemData":{"abstract":"Mintzberg's and Miles and Snow's configurational theories have both received widespread attention. Most researchers, however, have interpreted these theories in terms of categories of organizations rather than organizational configurations based on ideal types. We explicated the logical structure of configurational theories and developed a set of configurational fit models that are congruent with alternative assumptions of equifinality, which is the premise that multiple organizational forms are equally effective. Then the two theories were formalized with these models and tested empirically. Contrary to our expectations, the results do not support Mintzberg's theory that organizations will be more effective to the extent that they resemble his five ideal types. In contrast with these null results, configurational fit based on Miles and Snow's theory predicted 24 percent of the variance in overall organizational effectiveness.","author":[{"dropping-particle":"","family":"Doty","given":"D H","non-dropping-particle":"","parse-names":false,"suffix":""},{"dropping-particle":"","family":"Glick","given":"W H","non-dropping-particle":"","parse-names":false,"suffix":""},{"dropping-particle":"","family":"Huber","given":"G P","non-dropping-particle":"","parse-names":false,"suffix":""}],"container-title":"Academy of Management Journal","id":"ITEM-1","issue":"6","issued":{"date-parts":[["1993"]]},"page":"1196-1250","title":"Fit, Equifinality, and Organizational Effectiveness: A Test of Two Configurational Theories","type":"article-journal","volume":"36"},"uris":["http://www.mendeley.com/documents/?uuid=4b77fbac-e9c8-4764-8379-79d69c8726c9"]},{"id":"ITEM-2","itemData":{"author":[{"dropping-particle":"","family":"Gresov","given":"Christopher","non-dropping-particle":"","parse-names":false,"suffix":""},{"dropping-particle":"","family":"Drazin","given":"Robert","non-dropping-particle":"","parse-names":false,"suffix":""}],"container-title":"Academy of Management Journal","id":"ITEM-2","issue":"2","issued":{"date-parts":[["1997"]]},"page":"403-428","title":"Equifinality: Functional Equivalence in Organizational Design","type":"article-journal","volume":"22"},"uris":["http://www.mendeley.com/documents/?uuid=510ee174-9d1b-493e-89c9-29e3ce5534ef"]},{"id":"ITEM-3","itemData":{"abstract":"Although business models are an important source for competitive advantage, little research exists on the relationship between business model design and financial performance. Whereas existing studies focus on the isolated analysis of singular design themes, this work introduces a set-theoretic approach, investigating interdependencies of complementarity, efficiency, novelty, and lock-in-based business models. Thereby, this study applies a qualitative comparative analysis to a unique data set of 41 entrepreneurial firms. The empirical results demonstrate the role of three unknown specific business model configurations fostering financial performance. Introducing a configurational perspective to the business model discussion the study proves equifinality in business model design and advances theory concerning interdependencies within the business model construct.","author":[{"dropping-particle":"","family":"Kulins","given":"Christopher","non-dropping-particle":"","parse-names":false,"suffix":""},{"dropping-particle":"","family":"Leonardy","given":"Hannes","non-dropping-particle":"","parse-names":false,"suffix":""},{"dropping-particle":"","family":"Weber","given":"Christiana","non-dropping-particle":"","parse-names":false,"suffix":""}],"container-title":"Journal of Business Research","id":"ITEM-3","issue":"4","issued":{"date-parts":[["2016"]]},"page":"1437-1441","title":"A configurational approach in business model design","type":"article-journal","volume":"69"},"uris":["http://www.mendeley.com/documents/?uuid=80ff905a-ed38-4438-bd3d-3655128e945e"]}],"mendeley":{"formattedCitation":"(Doty, Glick, &amp; Huber, 1993; Gresov &amp; Drazin, 1997; Kulins et al., 2016)","plainTextFormattedCitation":"(Doty, Glick, &amp; Huber, 1993; Gresov &amp; Drazin, 1997; Kulins et al., 2016)","previouslyFormattedCitation":"(Doty et al., 1993; Gresov &amp; Drazin, 1997; Kulins et al., 2016)"},"properties":{"noteIndex":0},"schema":"https://github.com/citation-style-language/schema/raw/master/csl-citation.json"}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(Doty, Glick, &amp; Huber, 1993; Gresov &amp; Drazin, 1997; Kulins et al., 2016)</w:t>
      </w:r>
      <w:r w:rsidRPr="00FF4E93">
        <w:rPr>
          <w:rFonts w:eastAsia="Times New Roman"/>
          <w:sz w:val="26"/>
        </w:rPr>
        <w:fldChar w:fldCharType="end"/>
      </w:r>
      <w:r w:rsidRPr="00FF4E93">
        <w:rPr>
          <w:rFonts w:eastAsia="Times New Roman"/>
          <w:sz w:val="26"/>
        </w:rPr>
        <w:t xml:space="preserve">. Configurational studies on business model innovation so far have focused on the performance effects of design themes </w:t>
      </w:r>
      <w:r w:rsidRPr="00FF4E93">
        <w:rPr>
          <w:rFonts w:eastAsia="Times New Roman"/>
          <w:sz w:val="26"/>
        </w:rPr>
        <w:fldChar w:fldCharType="begin" w:fldLock="1"/>
      </w:r>
      <w:r w:rsidRPr="00FF4E93">
        <w:rPr>
          <w:rFonts w:eastAsia="Times New Roman"/>
          <w:sz w:val="26"/>
        </w:rPr>
        <w:instrText>ADDIN CSL_CITATION {"citationItems":[{"id":"ITEM-1","itemData":{"abstract":"We focus on the design of an organization's set of boundary-spanning transactions-business model design-and ask how business model design affects the performance of entrepreneurial firms. By extending and integrating theoretical perspectives that inform the study of boundary-spanning organization design, we propose hypotheses about the impact of efficiency-centered and novelty-centered business model design on the performance of entrepreneurial firms. To test these hypotheses, we developed and analyzed a unique data set of 190 entrepreneurial firms that were publicly listed on U.S. and European stock exchanges. The empirical results show that novelty-centered business model design matters to the performance of entrepreneurial firms. Our analysis also shows that this positive relationship is remarkably stable across time, even under varying environmental regimes. Additionally, we find indications of potential diseconomies of scope in design; that is, entrepreneurs' attempts to incorporate both efficiency- and novelty-centered design elements into their business models may be counterproductive.","author":[{"dropping-particle":"","family":"Zott","given":"Christoph","non-dropping-particle":"","parse-names":false,"suffix":""},{"dropping-particle":"","family":"Amit","given":"Raphael","non-dropping-particle":"","parse-names":false,"suffix":""}],"container-title":"Organization Science","id":"ITEM-1","issue":"2","issued":{"date-parts":[["2007"]]},"page":"181-199","title":"Business Model Design and the Performance of Entrepreneurial Firms","type":"article-journal","volume":"18"},"uris":["http://www.mendeley.com/documents/?uuid=1d477961-9173-405a-8589-04e1f7d511e2"]}],"mendeley":{"formattedCitation":"(Zott &amp; Amit, 2007)","plainTextFormattedCitation":"(Zott &amp; Amit, 2007)","previouslyFormattedCitation":"(Zott &amp; Amit, 2007)"},"properties":{"noteIndex":0},"schema":"https://github.com/citation-style-language/schema/raw/master/csl-citation.json"}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(Zott &amp; Amit, 2007)</w:t>
      </w:r>
      <w:r w:rsidRPr="00FF4E93">
        <w:rPr>
          <w:rFonts w:eastAsia="Times New Roman"/>
          <w:sz w:val="26"/>
        </w:rPr>
        <w:fldChar w:fldCharType="end"/>
      </w:r>
      <w:r w:rsidRPr="00FF4E93">
        <w:rPr>
          <w:rFonts w:eastAsia="Times New Roman"/>
          <w:sz w:val="26"/>
        </w:rPr>
        <w:t xml:space="preserve">, their combinations </w:t>
      </w:r>
      <w:r w:rsidRPr="00FF4E93">
        <w:rPr>
          <w:rFonts w:eastAsia="Times New Roman"/>
          <w:sz w:val="26"/>
        </w:rPr>
        <w:fldChar w:fldCharType="begin" w:fldLock="1"/>
      </w:r>
      <w:r w:rsidRPr="00FF4E93">
        <w:rPr>
          <w:rFonts w:eastAsia="Times New Roman"/>
          <w:sz w:val="26"/>
        </w:rPr>
        <w:instrText>ADDIN CSL_CITATION {"citationItems":[{"id":"ITEM-1","itemData":{"abstract":"Although business models are an important source for competitive advantage, little research exists on the relationship between business model design and financial performance. Whereas existing studies focus on the isolated analysis of singular design themes, this work introduces a set-theoretic approach, investigating interdependencies of complementarity, efficiency, novelty, and lock-in-based business models. Thereby, this study applies a qualitative comparative analysis to a unique data set of 41 entrepreneurial firms. The empirical results demonstrate the role of three unknown specific business model configurations fostering financial performance. Introducing a configurational perspective to the business model discussion the study proves equifinality in business model design and advances theory concerning interdependencies within the business model construct.","author":[{"dropping-particle":"","family":"Kulins","given":"Christopher","non-dropping-particle":"","parse-names":false,"suffix":""},{"dropping-particle":"","family":"Leonardy","given":"Hannes","non-dropping-particle":"","parse-names":false,"suffix":""},{"dropping-particle":"","family":"Weber","given":"Christiana","non-dropping-particle":"","parse-names":false,"suffix":""}],"container-title":"Journal of Business Research","id":"ITEM-1","issue":"4","issued":{"date-parts":[["2016"]]},"page":"1437-1441","title":"A configurational approach in business model design","type":"article-journal","volume":"69"},"uris":["http://www.mendeley.com/documents/?uuid=80ff905a-ed38-4438-bd3d-3655128e945e"]},{"id":"ITEM-2","itemData":{"author":[{"dropping-particle":"","family":"Leppänen","given":"Petteri","non-dropping-particle":"","parse-names":false,"suffix":""}],"container-title":"Proceedings of the DRUID17","id":"ITEM-2","issued":{"date-parts":[["2017"]]},"title":"A Fuzzy Set Approach to Business Model Design and Strategy","type":"paper-conference"},"uris":["http://www.mendeley.com/documents/?uuid=8b0ce5fb-9f2b-4d9a-a9dc-caf45030289d"]}],"mendeley":{"formattedCitation":"(Kulins et al., 2016; Leppänen, 2017)","plainTextFormattedCitation":"(Kulins et al., 2016; Leppänen, 2017)","previouslyFormattedCitation":"(Kulins et al., 2016; Leppänen, 2017)"},"properties":{"noteIndex":0},"schema":"https://github.com/citation-style-language/schema/raw/master/csl-citation.json"}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(Kulins et al., 2016; Leppänen, 2017)</w:t>
      </w:r>
      <w:r w:rsidRPr="00FF4E93">
        <w:rPr>
          <w:rFonts w:eastAsia="Times New Roman"/>
          <w:sz w:val="26"/>
        </w:rPr>
        <w:fldChar w:fldCharType="end"/>
      </w:r>
      <w:r w:rsidRPr="00FF4E93">
        <w:rPr>
          <w:rFonts w:eastAsia="Times New Roman"/>
          <w:sz w:val="26"/>
        </w:rPr>
        <w:t xml:space="preserve">, or synergetic effects within business model portfolios </w:t>
      </w:r>
      <w:r w:rsidRPr="00FF4E93">
        <w:rPr>
          <w:rFonts w:eastAsia="Times New Roman"/>
          <w:sz w:val="26"/>
        </w:rPr>
        <w:fldChar w:fldCharType="begin" w:fldLock="1"/>
      </w:r>
      <w:r w:rsidR="00C95F78" w:rsidRPr="00FF4E93">
        <w:rPr>
          <w:rFonts w:eastAsia="Times New Roman"/>
          <w:sz w:val="26"/>
        </w:rPr>
        <w:instrText>ADDIN CSL_CITATION {"citationItems":[{"id":"ITEM-1","itemData":{"abstract":"We investigate the business model configurations associated with high and low firm performance by conducting a qualitative comparative analysis of firms competing in Formula One racing. We find that configurations of two business models-one focused on selling technology to competitors, the other one on developing and trading human resources with competitors-are associated with high performance. We also investigate why these configurations are high-performing and find that they are underpinned by capability-enhancing complementarities, accelerating firms' learning and supporting the development of focused firms' capabilities.","author":[{"dropping-particle":"","family":"Aversa","given":"Paolo","non-dropping-particle":"","parse-names":false,"suffix":""},{"dropping-particle":"","family":"Furnari","given":"Santi","non-dropping-particle":"","parse-names":false,"suffix":""},{"dropping-particle":"","family":"Haefliger","given":"Stefan","non-dropping-particle":"","parse-names":false,"suffix":""}],"container-title":"Industrial and Corporate Change","id":"ITEM-1","issue":"3","issued":{"date-parts":[["2015"]]},"page":"655-676","title":"Business model configurations and performance: A qualitative comparative analysis in Formula One racing, 2005-2013","type":"article-journal","volume":"24"},"uris":["http://www.mendeley.com/documents/?uuid=963a83ce-3175-4754-8dc8-f94b858c8907"]}],"mendeley":{"formattedCitation":"(Aversa, Furnari, &amp; Haefliger, 2015)","plainTextFormattedCitation":"(Aversa, Furnari, &amp; Haefliger, 2015)","previouslyFormattedCitation":"(Aversa, Furnari, et al., 2015)"},"properties":{"noteIndex":0},"schema":"https://github.com/citation-style-language/schema/raw/master/csl-citation.json"}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(Aversa, Furnari, &amp; Haefliger, 2015)</w:t>
      </w:r>
      <w:r w:rsidRPr="00FF4E93">
        <w:rPr>
          <w:rFonts w:eastAsia="Times New Roman"/>
          <w:sz w:val="26"/>
        </w:rPr>
        <w:fldChar w:fldCharType="end"/>
      </w:r>
      <w:r w:rsidRPr="00FF4E93">
        <w:rPr>
          <w:rFonts w:eastAsia="Times New Roman"/>
          <w:sz w:val="26"/>
        </w:rPr>
        <w:t xml:space="preserve">. </w:t>
      </w:r>
    </w:p>
    <w:p w14:paraId="7538DADC" w14:textId="77777777" w:rsidR="00151DC1" w:rsidRPr="00FF4E93" w:rsidRDefault="00151DC1" w:rsidP="00151DC1">
      <w:pPr>
        <w:spacing w:after="0"/>
        <w:rPr>
          <w:rFonts w:eastAsia="Times New Roman"/>
          <w:sz w:val="26"/>
        </w:rPr>
      </w:pPr>
      <w:r w:rsidRPr="00FF4E93">
        <w:rPr>
          <w:rFonts w:eastAsia="Times New Roman"/>
          <w:sz w:val="26"/>
        </w:rPr>
        <w:t xml:space="preserve">Despite these valuable contributions to theories on both business model patterns and business model innovation, critical issues remain. First, sets of </w:t>
      </w:r>
      <w:r w:rsidRPr="00FF4E93">
        <w:rPr>
          <w:rFonts w:eastAsia="Times New Roman"/>
          <w:i/>
          <w:sz w:val="26"/>
        </w:rPr>
        <w:t>generic</w:t>
      </w:r>
      <w:r w:rsidRPr="00FF4E93">
        <w:rPr>
          <w:rFonts w:eastAsia="Times New Roman"/>
          <w:sz w:val="26"/>
        </w:rPr>
        <w:t xml:space="preserve"> business model patterns receive interest by both scholars and practitioners. However, in contrast to patterns from other areas of research, knowledge about their application potential for certain contexts is scarce </w:t>
      </w:r>
      <w:r w:rsidRPr="00FF4E93">
        <w:rPr>
          <w:rFonts w:eastAsia="Times New Roman"/>
          <w:sz w:val="26"/>
        </w:rPr>
        <w:fldChar w:fldCharType="begin" w:fldLock="1"/>
      </w:r>
      <w:r w:rsidRPr="00FF4E93">
        <w:rPr>
          <w:rFonts w:eastAsia="Times New Roman"/>
          <w:sz w:val="26"/>
        </w:rPr>
        <w:instrText>ADDIN CSL_CITATION {"citationItems":[{"id":"ITEM-1","itemData":{"abstract":"This study proposes that international joint ventures (IJVs) are terminated either when the initial purposes of the formation of the IJV have been achieved (intended termination), or when unanticipated contingencies that emerge in the external, internal, or inter-partner conditions after the establishment of the IJV impede the continuation of its operation (unintended termination). Our study examines the factors that affect intended and unintended termination and the longevity of IJVs. The findings show that approximately 90 percent of all IJV terminations are unintended and 10 percent intended, and that the frequency of intended termination and unintended termination varies noticeably depending on the initial purposes of formation. This suggests that the termination of IJVs is significantly contingent on their formation. The findings also show that the longevity of IJVs varies according to the initial purposes of formation, the initial conditions under which the IJV is formed, and the types of unanticipated contingencies that it encounters. The key theoretical issues and practical implications of the distinction between the intended and unintended termination of IJVs are also discussed.","author":[{"dropping-particle":"","family":"Cusumano","given":"Michael A.","non-dropping-particle":"","parse-names":false,"suffix":""},{"dropping-particle":"","family":"Kahl","given":"Steven J.","non-dropping-particle":"","parse-names":false,"suffix":""},{"dropping-particle":"","family":"Suarez","given":"Fernando F.","non-dropping-particle":"","parse-names":false,"suffix":""}],"container-title":"Strategic Management Journal","id":"ITEM-1","issue":"4","issued":{"date-parts":[["2015"]]},"page":"559-575","title":"Services, industry evolution, and the competitive strategies of product firms","type":"article-journal","volume":"36"},"uris":["http://www.mendeley.com/documents/?uuid=2e5544d8-6c21-4d61-8dfb-707d3f049f18"]},{"id":"ITEM-2","itemData":{"abstract":"Various technologies have been deployed in household devices or micro-water treatment plants for mitigating fluoride and arsenic, and thereby provide safe and affordable drinking water in low-income countries. While the technologies have improved considerably, organizations still face challenges in making them financially sustainable. Financial sustainability questions the business models behind these water technologies. This article makes three contributions to business models in the context of fluoride and arsenic mitigation. Firstly, we describe four business models: A) low-value devices given away to people living in extreme poverty, B) high-value devices sold to low-income customers, C) communities as beneficiaries of micro-water treatment plants and D) entrepreneurs as franchisees for selling water services and highlight the emergence of hybrid business models. Secondly, we show current business model innovations such as cost transparency &amp; cost reductions, secured &amp; extended water payments, business diversification and distribution channels. Thirdly, we describe skills and competencies as part of capacity building for creating even more business model innovations. Together, these three contributions will create more awareness of the role of business models in scaling-up water treatment technologies. © 2014 Elsevier B.V.","author":[{"dropping-particle":"","family":"Gebauer","given":"Heiko","non-dropping-particle":"","parse-names":false,"suffix":""},{"dropping-particle":"","family":"Saul","given":"Caroline Jennings","non-dropping-particle":"","parse-names":false,"suffix":""}],"container-title":"Science of the Total Environment","id":"ITEM-2","issue":"1","issued":{"date-parts":[["2014"]]},"page":"512-520","publisher":"Elsevier B.V.","title":"Business model innovation in the water sector in developing countries","type":"article-journal","volume":"488-489"},"uris":["http://www.mendeley.com/documents/?uuid=e4ca2bc1-cc31-4fb1-933c-35d79445b953"]},{"id":"ITEM-3","itemData":{"author":[{"dropping-particle":"","family":"Remane","given":"Gerrit","non-dropping-particle":"","parse-names":false,"suffix":""},{"dropping-particle":"","family":"Hanelt","given":"Andre","non-dropping-particle":"","parse-names":false,"suffix":""},{"dropping-particle":"","family":"Tesch","given":"Jan F.","non-dropping-particle":"","parse-names":false,"suffix":""},{"dropping-particle":"","family":"Kolbe","given":"Lutz M.","non-dropping-particle":"","parse-names":false,"suffix":""}],"container-title":"International Journal of Innovation Management","id":"ITEM-3","issue":"1","issued":{"date-parts":[["2017"]]},"title":"The Business model pattern database – a tool for systematic business model innovation","type":"article-journal","volume":"21"},"uris":["http://www.mendeley.com/documents/?uuid=a47242df-2e1c-4369-affd-23004022edd8"]}],"mendeley":{"formattedCitation":"(Cusumano, Kahl, &amp; Suarez, 2015; Gebauer &amp; Saul, 2014; Remane et al., 2017)","manualFormatting":"(exceptions represent Cusumano, Kahl, &amp; Suarez, 2015; Gebauer &amp; Saul, 2014; Remane et al., 2017)","plainTextFormattedCitation":"(Cusumano, Kahl, &amp; Suarez, 2015; Gebauer &amp; Saul, 2014; Remane et al., 2017)","previouslyFormattedCitation":"(Cusumano, Kahl, &amp; Suarez, 2015; Gebauer &amp; Saul, 2014; Remane et al., 2017)"},"properties":{"noteIndex":0},"schema":"https://github.com/citation-style-language/schema/raw/master/csl-citation.json"}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(exceptions represent Cusumano, Kahl, &amp; Suarez, 2015; Gebauer &amp; Saul, 2014; Remane et al., 2017)</w:t>
      </w:r>
      <w:r w:rsidRPr="00FF4E93">
        <w:rPr>
          <w:rFonts w:eastAsia="Times New Roman"/>
          <w:sz w:val="26"/>
        </w:rPr>
        <w:fldChar w:fldCharType="end"/>
      </w:r>
      <w:r w:rsidRPr="00FF4E93">
        <w:rPr>
          <w:rFonts w:eastAsia="Times New Roman"/>
          <w:sz w:val="26"/>
        </w:rPr>
        <w:t xml:space="preserve">. For instance, </w:t>
      </w:r>
      <w:proofErr w:type="spellStart"/>
      <w:r w:rsidRPr="00FF4E93">
        <w:rPr>
          <w:rFonts w:eastAsia="Times New Roman"/>
          <w:sz w:val="26"/>
        </w:rPr>
        <w:t>Amshoff</w:t>
      </w:r>
      <w:proofErr w:type="spellEnd"/>
      <w:r w:rsidRPr="00FF4E93">
        <w:rPr>
          <w:rFonts w:eastAsia="Times New Roman"/>
          <w:sz w:val="26"/>
        </w:rPr>
        <w:t xml:space="preserve"> and colleagues </w:t>
      </w:r>
      <w:r w:rsidRPr="00FF4E93">
        <w:rPr>
          <w:rFonts w:eastAsia="Times New Roman"/>
          <w:sz w:val="26"/>
        </w:rPr>
        <w:fldChar w:fldCharType="begin" w:fldLock="1"/>
      </w:r>
      <w:r w:rsidRPr="00FF4E93">
        <w:rPr>
          <w:rFonts w:eastAsia="Times New Roman"/>
          <w:sz w:val="26"/>
        </w:rPr>
        <w:instrText>ADDIN CSL_CITATION {"citationItems":[{"id":"ITEM-1","itemData":{"abstract":"Companies nowadays face a myriad of business opportunities as a direct consequence of manifold disruptive technology developments. As a basic characteristic, disruptive technologies lead to a severe shift in value-creation networks giving rise to new market segments. One of the key challenges is to anticipate the business logics within these nascent and formerly unknown markets. Business model patterns promise to tackle this challenge. They can be interpreted as proven business model elements, which reveal valuable insights about pursued business logics. The approach in general helps increasing efficiency in business models design processes, but especially lacks methodological support so far. The paper at hand, therefore presents a methodology for pattern-based business model design simplifying development and analysis of business models for disruptive technologies. The methodology has been validated within several industrial projects. Read More: http://www.worldscientific.com/doi/abs/10.1142/S1363919615400022","author":[{"dropping-particle":"","family":"Amshoff","given":"Benhamin","non-dropping-particle":"","parse-names":false,"suffix":""},{"dropping-particle":"","family":"Dülme","given":"Christian","non-dropping-particle":"","parse-names":false,"suffix":""},{"dropping-particle":"","family":"Echterfeld","given":"Julian","non-dropping-particle":"","parse-names":false,"suffix":""},{"dropping-particle":"","family":"Gausemeier","given":"Jürgen","non-dropping-particle":"","parse-names":false,"suffix":""}],"container-title":"International Journal of Innovation Management","id":"ITEM-1","issue":"3","issued":{"date-parts":[["2015"]]},"page":"1-22","title":"Business Model Patterns for Disruptive Technologies","type":"article-journal","volume":"19"},"uris":["http://www.mendeley.com/documents/?uuid=b1231070-c6e3-4f9c-a02b-0f93cbb3c12e"]}],"mendeley":{"formattedCitation":"(Amshoff et al., 2015)","manualFormatting":"(2015)","plainTextFormattedCitation":"(Amshoff et al., 2015)","previouslyFormattedCitation":"(Amshoff et al., 2015)"},"properties":{"noteIndex":0},"schema":"https://github.com/citation-style-language/schema/raw/master/csl-citation.json"}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(2015)</w:t>
      </w:r>
      <w:r w:rsidRPr="00FF4E93">
        <w:rPr>
          <w:rFonts w:eastAsia="Times New Roman"/>
          <w:sz w:val="26"/>
        </w:rPr>
        <w:fldChar w:fldCharType="end"/>
      </w:r>
      <w:r w:rsidRPr="00FF4E93">
        <w:rPr>
          <w:rFonts w:eastAsia="Times New Roman"/>
          <w:sz w:val="26"/>
        </w:rPr>
        <w:t xml:space="preserve"> note a lack of knowledge about business model patterns for disruptive technologies. Second, the notion of fitness of business model configurations encompasses the combination of patterns </w:t>
      </w:r>
      <w:r w:rsidRPr="00FF4E93">
        <w:rPr>
          <w:rFonts w:eastAsia="Times New Roman"/>
          <w:sz w:val="26"/>
        </w:rPr>
        <w:fldChar w:fldCharType="begin" w:fldLock="1"/>
      </w:r>
      <w:r w:rsidRPr="00FF4E93">
        <w:rPr>
          <w:rFonts w:eastAsia="Times New Roman"/>
          <w:sz w:val="26"/>
        </w:rPr>
        <w:instrText>ADDIN CSL_CITATION {"citationItems":[{"id":"ITEM-1","itemData":{"abstract":"The application of Cyber-Physical Systems (CPS) in production systems leads to Cyber-Physical Production Systems (CPPS) or the Smart Factory, respectively. In such an environment products, production resources as well as processes are each individually characterised by the special qualities of CPS. The current and future business potentials of production networks with decentralized coordination are enormous. However it is difficult for companies to keep track of the risks and chances of CPPS and develop appropriate business models. Therefore in this contribution a methodology for the pattern-based development and realization of business models in the context of Cyber-Physical Production Systems is presented. The methodology comprises three main modules that cover the most important aspects of business models for CPPS. In the first module patterns of established business models are gathered and their applicability in the context of CPPS is examined. The resulting library is then extended with patterns explicitly dedicated to CPPS and represents the base for a development procedure model. In the second module the developed business models are assessed with regard to their risks. For this purpose a method to analyse the risks of different business models and the perception of customers is elaborated. The focus of the third module is on the operationalization of abstract business models into company-specific business processes. It contains a design scheme to model value creation networks as well as typical configurations of these networks. The overall methodology is therefore supposed to make the opportunities of CPPS not only available to big corporations but also to small and medium-sized enterprises.","author":[{"dropping-particle":"","family":"Rudtsch","given":"Vinzent","non-dropping-particle":"","parse-names":false,"suffix":""},{"dropping-particle":"","family":"Gausemeier","given":"Jürgen","non-dropping-particle":"","parse-names":false,"suffix":""},{"dropping-particle":"","family":"Gesing","given":"Judith","non-dropping-particle":"","parse-names":false,"suffix":""},{"dropping-particle":"","family":"Mittag","given":"Tobias","non-dropping-particle":"","parse-names":false,"suffix":""},{"dropping-particle":"","family":"Peter","given":"Stefan","non-dropping-particle":"","parse-names":false,"suffix":""}],"container-title":"Procedia CIRP","id":"ITEM-1","issue":"C","issued":{"date-parts":[["2014"]]},"page":"313-319","publisher":"Elsevier B.V.","title":"Pattern-based business model development for cyber-physical production systems","type":"article-journal","volume":"25"},"uris":["http://www.mendeley.com/documents/?uuid=88f4d1a1-a283-49d8-999b-554a57e9ac64"]}],"mendeley":{"formattedCitation":"(Rudtsch, Gausemeier, Gesing, Mittag, &amp; Peter, 2014)","plainTextFormattedCitation":"(Rudtsch, Gausemeier, Gesing, Mittag, &amp; Peter, 2014)","previouslyFormattedCitation":"(Rudtsch, Gausemeier, Gesing, Mittag, &amp; Peter, 2014)"},"properties":{"noteIndex":0},"schema":"https://github.com/citation-style-language/schema/raw/master/csl-citation.json"}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(Rudtsch, Gausemeier, Gesing, Mittag, &amp; Peter, 2014)</w:t>
      </w:r>
      <w:r w:rsidRPr="00FF4E93">
        <w:rPr>
          <w:rFonts w:eastAsia="Times New Roman"/>
          <w:sz w:val="26"/>
        </w:rPr>
        <w:fldChar w:fldCharType="end"/>
      </w:r>
      <w:r w:rsidRPr="00FF4E93">
        <w:rPr>
          <w:rFonts w:eastAsia="Times New Roman"/>
          <w:sz w:val="26"/>
        </w:rPr>
        <w:t xml:space="preserve">, but little is known about how </w:t>
      </w:r>
      <w:r w:rsidRPr="00FF4E93">
        <w:rPr>
          <w:rFonts w:eastAsia="Times New Roman"/>
          <w:i/>
          <w:sz w:val="26"/>
        </w:rPr>
        <w:t>(fitting)</w:t>
      </w:r>
      <w:r w:rsidRPr="00FF4E93">
        <w:rPr>
          <w:rFonts w:eastAsia="Times New Roman"/>
          <w:sz w:val="26"/>
        </w:rPr>
        <w:t xml:space="preserve"> pattern configurations look like. Because individual business model patterns only represent parts of a business model’s elements, causal interdependencies that create synergetic effects </w:t>
      </w:r>
      <w:r w:rsidRPr="00FF4E93">
        <w:rPr>
          <w:rFonts w:eastAsia="Times New Roman"/>
          <w:i/>
          <w:sz w:val="26"/>
        </w:rPr>
        <w:t>between</w:t>
      </w:r>
      <w:r w:rsidRPr="00FF4E93">
        <w:rPr>
          <w:rFonts w:eastAsia="Times New Roman"/>
          <w:sz w:val="26"/>
        </w:rPr>
        <w:t xml:space="preserve"> them need to exist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{"citationItems":[{"id":"ITEM-1","itemData":{"author":[{"dropping-particle":"","family":"Meyer","given":"Alan D.","non-dropping-particle":"","parse-names":false,"suffix":""},{"dropping-particle":"","family":"Tsui","given":"Anne S.","non-dropping-particle":"","parse-names":false,"suffix":""},{"dropping-particle":"","family":"Hinings","given":"C.R.","non-dropping-particle":"","parse-names":false,"suffix":""}],"container-title":"Academy of Management Journal","id":"ITEM-1","issue":"6","issued":{"date-parts":[["1993"]]},"page":"1175-1195","title":"Configurational Approaches to Organizational Analysis","type":"article-journal","volume":"36"},"uris":["http://www.mendeley.com/documents/?uuid=c6789846-6221-45c9-a58c-d76e88981dd2"]}],"mendeley":{"formattedCitation":"(Meyer et al., 1993)","manualFormatting":"(cfr. Meyer, Tsui, &amp; Hinings, 1993)","plainTextFormattedCitation":"(Meyer et al., 1993)","previouslyFormattedCitation":"(Meyer et al., 1993)"},"properties":{"noteIndex":0},"schema":"https://github.com/citation-style-language/schema/raw/master/csl-citation.json"}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(cfr. Meyer, Tsui, &amp; Hinings, 1993)</w:t>
      </w:r>
      <w:r w:rsidRPr="00FF4E93">
        <w:rPr>
          <w:rFonts w:eastAsia="Times New Roman"/>
          <w:sz w:val="26"/>
        </w:rPr>
        <w:fldChar w:fldCharType="end"/>
      </w:r>
      <w:r w:rsidRPr="00FF4E93">
        <w:rPr>
          <w:rFonts w:eastAsia="Times New Roman"/>
          <w:sz w:val="26"/>
        </w:rPr>
        <w:t xml:space="preserve">. Configurations would represent exactly those combinations, which are able to represent a large fraction of observable organizations </w:t>
      </w:r>
      <w:r w:rsidRPr="00FF4E93">
        <w:rPr>
          <w:rFonts w:eastAsia="Times New Roman"/>
          <w:sz w:val="26"/>
        </w:rPr>
        <w:lastRenderedPageBreak/>
        <w:fldChar w:fldCharType="begin" w:fldLock="1"/>
      </w:r>
      <w:r w:rsidRPr="00FF4E93">
        <w:rPr>
          <w:rFonts w:eastAsia="Times New Roman"/>
          <w:sz w:val="26"/>
        </w:rPr>
        <w:instrText>ADDIN CSL_CITATION {"citationItems":[{"id":"ITEM-1","itemData":{"author":[{"dropping-particle":"","family":"Miller","given":"Danny","non-dropping-particle":"","parse-names":false,"suffix":""}],"container-title":"Strategic Organization","id":"ITEM-1","issued":{"date-parts":[["2017"]]},"page":"1-17","title":"Challenging trends in configuration research: Where are the configurations?","type":"article-journal"},"uris":["http://www.mendeley.com/documents/?uuid=e7f74dee-8010-49fc-a730-30371a3fd712"]}],"mendeley":{"formattedCitation":"(Danny Miller, 2017)","manualFormatting":"(Miller, 2017)","plainTextFormattedCitation":"(Danny Miller, 2017)","previouslyFormattedCitation":"(Danny Miller, 2017)"},"properties":{"noteIndex":0},"schema":"https://github.com/citation-style-language/schema/raw/master/csl-citation.json"}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(Miller, 2017)</w:t>
      </w:r>
      <w:r w:rsidRPr="00FF4E93">
        <w:rPr>
          <w:rFonts w:eastAsia="Times New Roman"/>
          <w:sz w:val="26"/>
        </w:rPr>
        <w:fldChar w:fldCharType="end"/>
      </w:r>
      <w:r w:rsidRPr="00FF4E93">
        <w:rPr>
          <w:rFonts w:eastAsia="Times New Roman"/>
          <w:sz w:val="26"/>
        </w:rPr>
        <w:t>. In sum, despite critical relevance little is known about configurations of patterns in technology-intensive contexts. This is the gap we address.</w:t>
      </w:r>
    </w:p>
    <w:p w14:paraId="213122DC" w14:textId="77777777" w:rsidR="00151DC1" w:rsidRPr="00FF4E93" w:rsidRDefault="00151DC1" w:rsidP="00151DC1">
      <w:pPr>
        <w:pStyle w:val="Heading1"/>
        <w:rPr>
          <w:rFonts w:cs="Times New Roman"/>
          <w:lang w:eastAsia="de-AT"/>
        </w:rPr>
      </w:pPr>
      <w:bookmarkStart w:id="3" w:name="_Toc536101277"/>
      <w:r w:rsidRPr="00FF4E93">
        <w:rPr>
          <w:rFonts w:cs="Times New Roman"/>
          <w:lang w:eastAsia="de-AT"/>
        </w:rPr>
        <w:t>Methodology</w:t>
      </w:r>
      <w:bookmarkEnd w:id="3"/>
    </w:p>
    <w:p w14:paraId="75130BFD" w14:textId="77777777" w:rsidR="00151DC1" w:rsidRPr="00FF4E93" w:rsidRDefault="00151DC1" w:rsidP="00151DC1">
      <w:pPr>
        <w:spacing w:after="0"/>
        <w:rPr>
          <w:rFonts w:eastAsia="Times New Roman"/>
          <w:sz w:val="26"/>
        </w:rPr>
      </w:pPr>
      <w:r w:rsidRPr="00FF4E93">
        <w:rPr>
          <w:rFonts w:eastAsia="Times New Roman"/>
          <w:sz w:val="26"/>
        </w:rPr>
        <w:t xml:space="preserve">In this research, we seek to understand and develop theoretical constructs on fit of business model configurations in entrepreneurial ventures. We follow a configurational approach to account for the multivariate relationships between business model elements and higher order business model patterns and to accommodate the inductive nature of our inquiry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Dess","given":"G","non-dropping-particle":"","parse-names":false,"suffix":""},{"dropping-particle":"","family":"Newport","given":"S","non-dropping-particle":"","parse-names":false,"suffix":""},{"dropping-particle":"","family":"Rasheed","given":"A","non-dropping-particle":"","parse-names":false,"suffix":""}],"container-title":"Journal of Management","id":"ITEM-1","issue":"4","issued":{"date-parts":[["1993"]]},"page":"775-795","title":"Configuration research in strategic management: Key issues and suggestions","type":"article-journal","volume":"19"},"uris":["http://www.mendeley.com/documents/?uuid=99e810af-c71d-4236-b9b9-891fed9ab369"]}],"mendeley":{"formattedCitation":"(Dess et al., 1993)","plainTextFormattedCitation":"(Dess et al., 1993)","previouslyFormattedCitation":"(Dess et al., 1993)"},"properties":{"noteIndex":0},"schema":"https://github.com/citation-style-language/schema/raw/master/csl-citation.json"}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(Dess et al., 1993)</w:t>
      </w:r>
      <w:r w:rsidRPr="00FF4E93">
        <w:rPr>
          <w:rFonts w:eastAsia="Times New Roman"/>
          <w:sz w:val="26"/>
        </w:rPr>
        <w:fldChar w:fldCharType="end"/>
      </w:r>
      <w:r w:rsidRPr="00FF4E93">
        <w:rPr>
          <w:rFonts w:eastAsia="Times New Roman"/>
          <w:sz w:val="26"/>
        </w:rPr>
        <w:t>.</w:t>
      </w:r>
    </w:p>
    <w:p w14:paraId="76BFE058" w14:textId="77777777" w:rsidR="00151DC1" w:rsidRPr="00FF4E93" w:rsidRDefault="00151DC1" w:rsidP="00151DC1">
      <w:pPr>
        <w:spacing w:after="0"/>
        <w:rPr>
          <w:rFonts w:eastAsia="Times New Roman"/>
          <w:sz w:val="26"/>
        </w:rPr>
      </w:pPr>
      <w:r w:rsidRPr="00FF4E93">
        <w:rPr>
          <w:rFonts w:eastAsia="Times New Roman"/>
          <w:sz w:val="26"/>
        </w:rPr>
        <w:t xml:space="preserve">Our theoretical foundation is the extended set of </w:t>
      </w:r>
      <w:r w:rsidRPr="00FF4E93">
        <w:rPr>
          <w:rFonts w:eastAsia="Times New Roman"/>
          <w:i/>
          <w:sz w:val="26"/>
        </w:rPr>
        <w:t>55</w:t>
      </w:r>
      <w:r w:rsidRPr="00FF4E93">
        <w:rPr>
          <w:rFonts w:eastAsia="Times New Roman"/>
          <w:sz w:val="26"/>
        </w:rPr>
        <w:t xml:space="preserve">+(5=60) business model patterns by Gassmann, </w:t>
      </w:r>
      <w:proofErr w:type="spellStart"/>
      <w:r w:rsidRPr="00FF4E93">
        <w:rPr>
          <w:rFonts w:eastAsia="Times New Roman"/>
          <w:sz w:val="26"/>
        </w:rPr>
        <w:t>Frankenberger</w:t>
      </w:r>
      <w:proofErr w:type="spellEnd"/>
      <w:r w:rsidRPr="00FF4E93">
        <w:rPr>
          <w:rFonts w:eastAsia="Times New Roman"/>
          <w:sz w:val="26"/>
        </w:rPr>
        <w:t xml:space="preserve">, and </w:t>
      </w:r>
      <w:proofErr w:type="spellStart"/>
      <w:r w:rsidRPr="00FF4E93">
        <w:rPr>
          <w:rFonts w:eastAsia="Times New Roman"/>
          <w:sz w:val="26"/>
        </w:rPr>
        <w:t>Csik</w:t>
      </w:r>
      <w:proofErr w:type="spellEnd"/>
      <w:r w:rsidRPr="00FF4E93">
        <w:rPr>
          <w:rFonts w:eastAsia="Times New Roman"/>
          <w:sz w:val="26"/>
        </w:rPr>
        <w:t xml:space="preserve"> (2017). In comparison to other sets of patterns, this choice holds two main benefits: First, the set represents one of the more extensive lists of patterns, in turn allowing for a better characterization of recurring solutions in new contexts such as emerging technologies. Second, the set is the widely used among practitioners, and consequently our results may yield higher impact for managerial practice.</w:t>
      </w:r>
    </w:p>
    <w:p w14:paraId="3A0E7E7D" w14:textId="77777777" w:rsidR="00151DC1" w:rsidRPr="00FF4E93" w:rsidRDefault="00151DC1" w:rsidP="00151DC1">
      <w:pPr>
        <w:spacing w:after="0"/>
        <w:rPr>
          <w:rFonts w:eastAsia="Times New Roman"/>
          <w:sz w:val="26"/>
        </w:rPr>
      </w:pPr>
      <w:r w:rsidRPr="00FF4E93">
        <w:rPr>
          <w:rFonts w:eastAsia="Times New Roman"/>
          <w:sz w:val="26"/>
        </w:rPr>
        <w:t xml:space="preserve">Overall, our research approach encompassed three main steps. Initially, we analysed the business model patterns used by the sampled cases by relying on qualitative data. In the next step we sought to identify business model pattern configurations. Therefore, we quantitatively analysed the frequency of pattern co-occurrences in the sample. Finally, in order to shed light on </w:t>
      </w:r>
      <w:r w:rsidRPr="00FF4E93">
        <w:rPr>
          <w:rFonts w:eastAsia="Times New Roman"/>
          <w:i/>
          <w:sz w:val="26"/>
        </w:rPr>
        <w:t>how</w:t>
      </w:r>
      <w:r w:rsidRPr="00FF4E93">
        <w:rPr>
          <w:rFonts w:eastAsia="Times New Roman"/>
          <w:sz w:val="26"/>
        </w:rPr>
        <w:t xml:space="preserve"> fit was achieved within these configurations in the respective ventures, we conducted a multiple case study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{"citationItems":[{"id":"ITEM-1","itemData":{"author":[{"dropping-particle":"","family":"Eisenhardt","given":"Kathleen M","non-dropping-particle":"","parse-names":false,"suffix":""}],"container-title":"Academy of Management Review","id":"ITEM-1","issue":"4","issued":{"date-parts":[["1989"]]},"page":"532-550","title":"Building Theories from Case Study Research","type":"article-journal","volume":"14"},"uris":["http://www.mendeley.com/documents/?uuid=0b393c97-7ca8-41ab-aeb7-0e5fd1a4f93e"]},{"id":"ITEM-2","itemData":{"author":[{"dropping-particle":"","family":"Yin","given":"Robert K","non-dropping-particle":"","parse-names":false,"suffix":""}],"edition":"5th","id":"ITEM-2","issued":{"date-parts":[["2014"]]},"publisher":"Sage","publisher-place":"Thousand Oaks, CA","title":"Case Study Research: Design and Methods","type":"book"},"uris":["http://www.mendeley.com/documents/?uuid=a4e200f8-a54b-49a5-828a-21445c0d2b2d"]}],"mendeley":{"formattedCitation":"(Eisenhardt, 1989; Yin, 2014)","plainTextFormattedCitation":"(Eisenhardt, 1989; Yin, 2014)","previouslyFormattedCitation":"(Eisenhardt, 1989; Yin, 2014)"},"properties":{"noteIndex":0},"schema":"https://github.com/citation-style-language/schema/raw/master/csl-citation.json"}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(Eisenhardt, 1989; Yin, 2014)</w:t>
      </w:r>
      <w:r w:rsidRPr="00FF4E93">
        <w:rPr>
          <w:rFonts w:eastAsia="Times New Roman"/>
          <w:sz w:val="26"/>
        </w:rPr>
        <w:fldChar w:fldCharType="end"/>
      </w:r>
      <w:r w:rsidRPr="00FF4E93">
        <w:rPr>
          <w:rFonts w:eastAsia="Times New Roman"/>
          <w:sz w:val="26"/>
        </w:rPr>
        <w:t xml:space="preserve"> so as to obtain qualitative in-depth findings. </w:t>
      </w:r>
    </w:p>
    <w:p w14:paraId="59175840" w14:textId="77777777" w:rsidR="00151DC1" w:rsidRPr="00FF4E93" w:rsidRDefault="00151DC1" w:rsidP="00151DC1">
      <w:pPr>
        <w:spacing w:after="0"/>
        <w:rPr>
          <w:rFonts w:eastAsia="Times New Roman"/>
          <w:sz w:val="26"/>
        </w:rPr>
      </w:pPr>
      <w:r w:rsidRPr="00FF4E93">
        <w:rPr>
          <w:rFonts w:eastAsia="Times New Roman"/>
          <w:sz w:val="26"/>
        </w:rPr>
        <w:t xml:space="preserve">Such a sequential approach combines thus the broader scope of quantitative analysis along with the deep structure of explanatory qualitative analyses </w:t>
      </w:r>
      <w:r w:rsidRPr="00FF4E93">
        <w:rPr>
          <w:rFonts w:eastAsia="Times New Roman"/>
          <w:sz w:val="26"/>
        </w:rPr>
        <w:fldChar w:fldCharType="begin" w:fldLock="1"/>
      </w:r>
      <w:r w:rsidRPr="00FF4E93">
        <w:rPr>
          <w:rFonts w:eastAsia="Times New Roman"/>
          <w:sz w:val="26"/>
        </w:rPr>
        <w:instrText>ADDIN CSL_CITATION {"citationItems":[{"id":"ITEM-1","itemData":{"abstract":"Mixed methods research has gained visibility within the last few years, although limitations persist regarding the scientific caliber of certain mixed methods research designs and methods. The need exists for rigorous mixed methods designs that integrate various data analytic procedures for a seamless transfer of evidence across qualitative and quantitative modalities. Such designs can offer the strength of confirmatory results drawn from quantitative multivariate analyses, along with “deep structure” explanatory descriptions as drawn from qualitative analyses. This article presents evidence generated from over a decade of pilot research in developing an integrative mixed methods methodology. It presents a conceptual framework and methodological and data analytic procedures for conducting mixed methods research studies, and it also presents illustrative examples from the authors’ ongoing integrative mixed methods research studies.","author":[{"dropping-particle":"","family":"Castro","given":"Felipe González","non-dropping-particle":"","parse-names":false,"suffix":""},{"dropping-particle":"","family":"Kellison","given":"Joshua G.","non-dropping-particle":"","parse-names":false,"suffix":""},{"dropping-particle":"","family":"Boyd","given":"Stephen J.","non-dropping-particle":"","parse-names":false,"suffix":""},{"dropping-particle":"","family":"Kopak","given":"Albert","non-dropping-particle":"","parse-names":false,"suffix":""}],"container-title":"Journal of Mixed Methods Research","id":"ITEM-1","issue":"4","issued":{"date-parts":[["2010"]]},"page":"342-360","title":"A methodology for conducting integrative mixed methods research and data analyses","type":"article-journal","volume":"4"},"uris":["http://www.mendeley.com/documents/?uuid=1d51ea0b-aa30-4b5b-ae09-f149b99b8e66"]}],"mendeley":{"formattedCitation":"(Castro, Kellison, Boyd, &amp; Kopak, 2010)","plainTextFormattedCitation":"(Castro, Kellison, Boyd, &amp; Kopak, 2010)","previouslyFormattedCitation":"(Castro, Kellison, Boyd, &amp; Kopak, 2010)"},"properties":{"noteIndex":0},"schema":"https://github.com/citation-style-language/schema/raw/master/csl-citation.json"}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(Castro, Kellison, Boyd, &amp; Kopak, 2010)</w:t>
      </w:r>
      <w:r w:rsidRPr="00FF4E93">
        <w:rPr>
          <w:rFonts w:eastAsia="Times New Roman"/>
          <w:sz w:val="26"/>
        </w:rPr>
        <w:fldChar w:fldCharType="end"/>
      </w:r>
      <w:r w:rsidRPr="00FF4E93">
        <w:rPr>
          <w:rFonts w:eastAsia="Times New Roman"/>
          <w:i/>
          <w:sz w:val="26"/>
        </w:rPr>
        <w:t xml:space="preserve">. </w:t>
      </w:r>
      <w:r w:rsidRPr="00FF4E93">
        <w:rPr>
          <w:rFonts w:eastAsia="Times New Roman"/>
          <w:sz w:val="26"/>
        </w:rPr>
        <w:t>Consequently</w:t>
      </w:r>
      <w:r w:rsidRPr="00FF4E93">
        <w:rPr>
          <w:rFonts w:eastAsia="Times New Roman"/>
          <w:i/>
          <w:sz w:val="26"/>
        </w:rPr>
        <w:t xml:space="preserve">, </w:t>
      </w:r>
      <w:r w:rsidRPr="00FF4E93">
        <w:rPr>
          <w:rFonts w:eastAsia="Times New Roman"/>
          <w:sz w:val="26"/>
        </w:rPr>
        <w:t>this</w:t>
      </w:r>
      <w:r w:rsidRPr="00FF4E93">
        <w:rPr>
          <w:rFonts w:eastAsia="Times New Roman"/>
          <w:i/>
          <w:sz w:val="26"/>
        </w:rPr>
        <w:t xml:space="preserve"> </w:t>
      </w:r>
      <w:r w:rsidRPr="00FF4E93">
        <w:rPr>
          <w:rFonts w:eastAsia="Times New Roman"/>
          <w:sz w:val="26"/>
        </w:rPr>
        <w:t xml:space="preserve">combination yields the strengths from both research methods aiming at a more robust results </w:t>
      </w:r>
      <w:r w:rsidRPr="00FF4E93">
        <w:rPr>
          <w:rFonts w:eastAsia="Times New Roman"/>
          <w:i/>
          <w:sz w:val="26"/>
        </w:rPr>
        <w:fldChar w:fldCharType="begin" w:fldLock="1"/>
      </w:r>
      <w:r w:rsidRPr="00FF4E93">
        <w:rPr>
          <w:rFonts w:eastAsia="Times New Roman"/>
          <w:i/>
          <w:sz w:val="26"/>
        </w:rPr>
        <w:instrText>ADDIN CSL_CITATION {"citationItems":[{"id":"ITEM-1","itemData":{"author":[{"dropping-particle":"","family":"Creswell","given":"John W.","non-dropping-particle":"","parse-names":false,"suffix":""},{"dropping-particle":"","family":"Clark","given":"V. L. Plano","non-dropping-particle":"","parse-names":false,"suffix":""}],"container-title":"Designing and conducting mixed methods research","edition":"2nd","editor":[{"dropping-particle":"","family":"Creswell","given":"John W.","non-dropping-particle":"","parse-names":false,"suffix":""},{"dropping-particle":"","family":"Clark","given":"Vicki L. Plano","non-dropping-particle":"","parse-names":false,"suffix":""}],"id":"ITEM-1","issued":{"date-parts":[["2011"]]},"page":"53-106","publisher":"Sage Publications","publisher-place":"Los Angeles, CA","title":"Choosing a mixed methods design","type":"chapter"},"uris":["http://www.mendeley.com/documents/?uuid=c254c8f9-cc35-46e8-a134-63efa8b8e114"]}],"mendeley":{"formattedCitation":"(Creswell &amp; Clark, 2011)","plainTextFormattedCitation":"(Creswell &amp; Clark, 2011)","previouslyFormattedCitation":"(Creswell &amp; Clark, 2011)"},"properties":{"noteIndex":0},"schema":"https://github.com/citation-style-language/schema/raw/master/csl-citation.json"}</w:instrText>
      </w:r>
      <w:r w:rsidRPr="00FF4E93">
        <w:rPr>
          <w:rFonts w:eastAsia="Times New Roman"/>
          <w:i/>
          <w:sz w:val="26"/>
        </w:rPr>
        <w:fldChar w:fldCharType="separate"/>
      </w:r>
      <w:r w:rsidRPr="00FF4E93">
        <w:rPr>
          <w:rFonts w:eastAsia="Times New Roman"/>
          <w:noProof/>
          <w:sz w:val="26"/>
        </w:rPr>
        <w:t>(Creswell &amp; Clark, 2011)</w:t>
      </w:r>
      <w:r w:rsidRPr="00FF4E93">
        <w:rPr>
          <w:rFonts w:eastAsia="Times New Roman"/>
          <w:i/>
          <w:sz w:val="26"/>
        </w:rPr>
        <w:fldChar w:fldCharType="end"/>
      </w:r>
      <w:r w:rsidRPr="00FF4E93">
        <w:rPr>
          <w:rFonts w:eastAsia="Times New Roman"/>
          <w:sz w:val="26"/>
        </w:rPr>
        <w:t>. In the following, we outline our sampling, data collection, and data analysis strategy in greater detail.</w:t>
      </w:r>
    </w:p>
    <w:p w14:paraId="6FA17D18" w14:textId="77777777" w:rsidR="00151DC1" w:rsidRPr="00FF4E93" w:rsidRDefault="00151DC1" w:rsidP="00151DC1">
      <w:pPr>
        <w:keepNext/>
        <w:numPr>
          <w:ilvl w:val="2"/>
          <w:numId w:val="0"/>
        </w:numPr>
        <w:tabs>
          <w:tab w:val="num" w:pos="720"/>
        </w:tabs>
        <w:spacing w:after="0"/>
        <w:ind w:left="720" w:hanging="720"/>
        <w:outlineLvl w:val="2"/>
        <w:rPr>
          <w:rFonts w:eastAsia="Times New Roman"/>
          <w:b/>
          <w:bCs/>
          <w:sz w:val="26"/>
          <w:szCs w:val="26"/>
          <w:lang w:eastAsia="de-AT"/>
        </w:rPr>
      </w:pPr>
      <w:r w:rsidRPr="00FF4E93">
        <w:rPr>
          <w:rFonts w:eastAsia="Times New Roman"/>
          <w:b/>
          <w:bCs/>
          <w:sz w:val="26"/>
          <w:szCs w:val="26"/>
          <w:lang w:eastAsia="de-AT"/>
        </w:rPr>
        <w:t>Sampling</w:t>
      </w:r>
    </w:p>
    <w:p w14:paraId="2148E680" w14:textId="77777777" w:rsidR="00151DC1" w:rsidRPr="00FF4E93" w:rsidRDefault="00151DC1" w:rsidP="00151DC1">
      <w:pPr>
        <w:spacing w:after="0"/>
        <w:rPr>
          <w:rFonts w:eastAsia="Times New Roman"/>
          <w:sz w:val="26"/>
        </w:rPr>
      </w:pPr>
      <w:r w:rsidRPr="00FF4E93">
        <w:rPr>
          <w:rFonts w:eastAsia="Times New Roman"/>
          <w:sz w:val="26"/>
        </w:rPr>
        <w:t>Our research focuses on 730 high-performing entrepreneurial ventures</w:t>
      </w:r>
      <w:r w:rsidRPr="00FF4E93">
        <w:rPr>
          <w:rFonts w:eastAsia="Times New Roman"/>
          <w:color w:val="000000"/>
          <w:sz w:val="26"/>
        </w:rPr>
        <w:t>.</w:t>
      </w:r>
      <w:r w:rsidRPr="00FF4E93">
        <w:rPr>
          <w:rFonts w:eastAsia="Times New Roman"/>
          <w:sz w:val="26"/>
        </w:rPr>
        <w:t xml:space="preserve"> The setting is three emerging technology domains: </w:t>
      </w:r>
      <w:r w:rsidRPr="00FF4E93">
        <w:rPr>
          <w:rFonts w:eastAsia="Times New Roman"/>
          <w:i/>
          <w:iCs/>
          <w:sz w:val="26"/>
        </w:rPr>
        <w:t xml:space="preserve">Artificial Intelligence/Machine Learning </w:t>
      </w:r>
      <w:r w:rsidRPr="00FF4E93">
        <w:rPr>
          <w:rFonts w:eastAsia="Times New Roman"/>
          <w:iCs/>
          <w:sz w:val="26"/>
        </w:rPr>
        <w:t>(AIML)</w:t>
      </w:r>
      <w:r w:rsidRPr="00FF4E93">
        <w:rPr>
          <w:rFonts w:eastAsia="Times New Roman"/>
          <w:i/>
          <w:iCs/>
          <w:sz w:val="26"/>
        </w:rPr>
        <w:t xml:space="preserve">, Augmented Reality/Virtual Reality </w:t>
      </w:r>
      <w:r w:rsidRPr="00FF4E93">
        <w:rPr>
          <w:rFonts w:eastAsia="Times New Roman"/>
          <w:iCs/>
          <w:sz w:val="26"/>
        </w:rPr>
        <w:t>(ARVR),</w:t>
      </w:r>
      <w:r w:rsidRPr="00FF4E93">
        <w:rPr>
          <w:rFonts w:eastAsia="Times New Roman"/>
          <w:i/>
          <w:iCs/>
          <w:sz w:val="26"/>
        </w:rPr>
        <w:t xml:space="preserve"> </w:t>
      </w:r>
      <w:r w:rsidRPr="00FF4E93">
        <w:rPr>
          <w:rFonts w:eastAsia="Times New Roman"/>
          <w:sz w:val="26"/>
        </w:rPr>
        <w:t>and</w:t>
      </w:r>
      <w:r w:rsidRPr="00FF4E93">
        <w:rPr>
          <w:rFonts w:eastAsia="Times New Roman"/>
          <w:i/>
          <w:iCs/>
          <w:sz w:val="26"/>
        </w:rPr>
        <w:t xml:space="preserve"> Drones </w:t>
      </w:r>
      <w:r w:rsidRPr="00FF4E93">
        <w:rPr>
          <w:rFonts w:eastAsia="Times New Roman"/>
          <w:iCs/>
          <w:sz w:val="26"/>
        </w:rPr>
        <w:t>(DRON)</w:t>
      </w:r>
      <w:r w:rsidRPr="00FF4E93">
        <w:rPr>
          <w:rFonts w:eastAsia="Times New Roman"/>
          <w:sz w:val="26"/>
        </w:rPr>
        <w:t xml:space="preserve">. We relied on the startup database </w:t>
      </w:r>
      <w:proofErr w:type="spellStart"/>
      <w:r w:rsidRPr="00FF4E93">
        <w:rPr>
          <w:rFonts w:eastAsia="Times New Roman"/>
          <w:i/>
          <w:iCs/>
          <w:sz w:val="26"/>
        </w:rPr>
        <w:t>Crunchbase</w:t>
      </w:r>
      <w:proofErr w:type="spellEnd"/>
      <w:r w:rsidRPr="00FF4E93">
        <w:rPr>
          <w:rFonts w:eastAsia="Times New Roman"/>
          <w:sz w:val="26"/>
        </w:rPr>
        <w:t xml:space="preserve"> to identify the top 332 venture capital funded organizations tagged as “artificial intelligence” companies, the top 200 funded ventures featuring the </w:t>
      </w:r>
      <w:r w:rsidRPr="00FF4E93">
        <w:rPr>
          <w:rFonts w:eastAsia="Times New Roman"/>
          <w:sz w:val="26"/>
        </w:rPr>
        <w:lastRenderedPageBreak/>
        <w:t xml:space="preserve">tag “virtual reality” or “augmented reality”, and the top 198 funded ventures featuring the tag “drones”, each treated </w:t>
      </w:r>
      <w:r w:rsidRPr="00FF4E93">
        <w:rPr>
          <w:rFonts w:eastAsia="Times New Roman"/>
          <w:color w:val="000000"/>
          <w:sz w:val="26"/>
        </w:rPr>
        <w:t>as a separate sub-sample</w:t>
      </w:r>
      <w:r w:rsidRPr="00FF4E93">
        <w:rPr>
          <w:rFonts w:eastAsia="Times New Roman"/>
          <w:sz w:val="26"/>
        </w:rPr>
        <w:t xml:space="preserve">. </w:t>
      </w:r>
    </w:p>
    <w:p w14:paraId="04BF7BD1" w14:textId="77777777" w:rsidR="00151DC1" w:rsidRPr="00FF4E93" w:rsidRDefault="00151DC1" w:rsidP="00151DC1">
      <w:pPr>
        <w:spacing w:after="0"/>
        <w:rPr>
          <w:rFonts w:eastAsia="Times New Roman"/>
          <w:sz w:val="26"/>
        </w:rPr>
      </w:pPr>
      <w:r w:rsidRPr="00FF4E93">
        <w:rPr>
          <w:rFonts w:eastAsia="Times New Roman"/>
          <w:sz w:val="26"/>
        </w:rPr>
        <w:t xml:space="preserve">The choice of these domains provides an ideal setting for two main reasons. First, each of the selected technology domains receives enormous attention from VCs and business analysts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Lavender","given":"Jonathan","non-dropping-particle":"","parse-names":false,"suffix":""},{"dropping-particle":"","family":"Hughes","given":"Brian","non-dropping-particle":"","parse-names":false,"suffix":""},{"dropping-particle":"","family":"Speier","given":"Arik","non-dropping-particle":"","parse-names":false,"suffix":""}],"container-title":"KPMG Enterprise","id":"ITEM-1","issued":{"date-parts":[["2018"]]},"title":"Venture Pulse Q1 2018: Global analysis of venture funding","type":"report"},"uris":["http://www.mendeley.com/documents/?uuid=82fb44d7-c142-4665-a2f0-d8e96cba4d4c"]},{"id":"ITEM-2","itemData":{"URL":"https://www.fastcompany.com/40503654/the-most-important-tech-trends-of-2018-according-to-top-vcs","accessed":{"date-parts":[["2018","4","28"]]},"author":[{"dropping-particle":"","family":"Terdiman","given":"Daniel","non-dropping-particle":"","parse-names":false,"suffix":""},{"dropping-particle":"","family":"Sullivan","given":"Mark","non-dropping-particle":"","parse-names":false,"suffix":""}],"container-title":"Fast Company","id":"ITEM-2","issued":{"date-parts":[["2018"]]},"title":"The Most Important Tech Trends of 2018, According to Top VCs","type":"webpage"},"uris":["http://www.mendeley.com/documents/?uuid=084f705c-4ac9-4ffe-a495-f670e831052d"]},{"id":"ITEM-3","itemData":{"author":[{"dropping-particle":"","family":"Hall","given":"Stefan","non-dropping-particle":"","parse-names":false,"suffix":""},{"dropping-particle":"","family":"Takahashi","given":"Ryo","non-dropping-particle":"","parse-names":false,"suffix":""}],"container-title":"McKinsey&amp;Company","id":"ITEM-3","issue":"October","issued":{"date-parts":[["2017"]]},"page":"1-9","title":"Immersive technologies, namely virtual and augmented reality, will fundamentally alter how we interact with content","type":"article-journal"},"uris":["http://www.mendeley.com/documents/?uuid=89c59f83-7eaf-4143-b5c3-c333ffd7685c"]},{"id":"ITEM-4","itemData":{"author":[{"dropping-particle":"","family":"Cohn","given":"Pamela","non-dropping-particle":"","parse-names":false,"suffix":""},{"dropping-particle":"","family":"Green","given":"Alastair","non-dropping-particle":"","parse-names":false,"suffix":""},{"dropping-particle":"","family":"Langstaff","given":"Meredith","non-dropping-particle":"","parse-names":false,"suffix":""},{"dropping-particle":"","family":"Roller","given":"Melanie","non-dropping-particle":"","parse-names":false,"suffix":""}],"container-title":"McKinsey&amp;Company","id":"ITEM-4","issue":"December","issued":{"date-parts":[["2017"]]},"page":"1-11","title":"Commercial Drone are Here: The Future of Unmanned Aerial Systems","type":"article-journal"},"uris":["http://www.mendeley.com/documents/?uuid=7bb22285-1e2a-4af3-b76f-4371d3302482"]},{"id":"ITEM-5","itemData":{"author":[{"dropping-particle":"","family":"Lavender","given":"Jonathan","non-dropping-particle":"","parse-names":false,"suffix":""},{"dropping-particle":"","family":"Hughes","given":"Brian","non-dropping-particle":"","parse-names":false,"suffix":""},{"dropping-particle":"","family":"Speier","given":"Arik","non-dropping-particle":"","parse-names":false,"suffix":""}],"container-title":"KPMG Enterprise","id":"ITEM-5","issue":"July","issued":{"date-parts":[["2018"]]},"page":"1-92","title":"Venture Pulse Q2 2018: Global analysis of venture funding","type":"article-journal"},"uris":["http://www.mendeley.com/documents/?uuid=7ffa5786-68eb-4b1f-92dc-4f58e7e0c0f8"]},{"id":"ITEM-6","itemData":{"abstract":"10:00 -10:15 Break 10:00 -10:15 Break 10:15 – noon T- 2 “Wireless Future – 802.11 n Ratified – Why It is Needed” Mark Hamilton &amp; Kevin Spellman, Cisco 10:15-12:15 T-6 Technology Briefings (see below) 8 sessions – 10 minutes each.","author":[{"dropping-particle":"","family":"Lavender","given":"Jonathan","non-dropping-particle":"","parse-names":false,"suffix":""},{"dropping-particle":"","family":"Hughes","given":"Brian","non-dropping-particle":"","parse-names":false,"suffix":""},{"dropping-particle":"","family":"Speier","given":"Arik","non-dropping-particle":"","parse-names":false,"suffix":""}],"container-title":"KPMG Enterprise","id":"ITEM-6","issue":"October","issued":{"date-parts":[["2018"]]},"page":"1-103","title":"Venture Pulse Q3 2018: Global analysis of venture funding","type":"article-journal"},"uris":["http://www.mendeley.com/documents/?uuid=46631f20-ddde-4f23-af85-c5be462c4667"]},{"id":"ITEM-7","itemData":{"author":[{"dropping-particle":"","family":"Bellini","given":"Heather","non-dropping-particle":"","parse-names":false,"suffix":""},{"dropping-particle":"","family":"Chen","given":"Wei","non-dropping-particle":"","parse-names":false,"suffix":""},{"dropping-particle":"","family":"Sugiyama","given":"Masaru","non-dropping-particle":"","parse-names":false,"suffix":""},{"dropping-particle":"","family":"Shin","given":"Marcus","non-dropping-particle":"","parse-names":false,"suffix":""},{"dropping-particle":"","family":"Alam","given":"Shateel","non-dropping-particle":"","parse-names":false,"suffix":""},{"dropping-particle":"","family":"Takayama","given":"Daiki","non-dropping-particle":"","parse-names":false,"suffix":""}],"id":"ITEM-7","issued":{"date-parts":[["2016"]]},"number-of-pages":"1-30","title":"Profiles in Innovation: Virtual &amp; Augmented Reality","type":"report"},"uris":["http://www.mendeley.com/documents/?uuid=55907335-e6cd-4010-bc1e-f44712e26761"]}],"mendeley":{"formattedCitation":"(Bellini et al., 2016; Cohn, Green, Langstaff, &amp; Roller, 2017; S. Hall &amp; Takahashi, 2017; Lavender, Hughes, &amp; Speier, 2018a, 2018b, 2018c; Terdiman &amp; Sullivan, 2018)","manualFormatting":"(Bellini et al., 2016; Cohn, Green, Langstaff, &amp; Roller, 2017; Hall &amp; Takahashi, 2017; Lavender, Hughes, &amp; Speier, 2018a, 2018b, 2018c; Terdiman &amp; Sullivan, 2018)","plainTextFormattedCitation":"(Bellini et al., 2016; Cohn, Green, Langstaff, &amp; Roller, 2017; S. Hall &amp; Takahashi, 2017; Lavender, Hughes, &amp; Speier, 2018a, 2018b, 2018c; Terdiman &amp; Sullivan, 2018)","previouslyFormattedCitation":"(Bellini et al., 2016; Cohn, Green, Langstaff, &amp; Roller, 2017; S. Hall &amp; Takahashi, 2017; Lavender, Hughes, &amp; Speier, 2018a, 2018b, 2018c; Terdiman &amp; Sullivan, 2018)"},"properties":{"noteIndex":0},"schema":"https://github.com/citation-style-language/schema/raw/master/csl-citation.json"}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(Bellini et al., 2016; Cohn, Green, Langstaff, &amp; Roller, 2017; Hall &amp; Takahashi, 2017; Lavender, Hughes, &amp; Speier, 2018a, 2018b, 2018c; Terdiman &amp; Sullivan, 2018)</w:t>
      </w:r>
      <w:r w:rsidRPr="00FF4E93">
        <w:rPr>
          <w:rFonts w:eastAsia="Times New Roman"/>
          <w:sz w:val="26"/>
        </w:rPr>
        <w:fldChar w:fldCharType="end"/>
      </w:r>
      <w:r w:rsidRPr="00FF4E93">
        <w:rPr>
          <w:rFonts w:eastAsia="Times New Roman"/>
          <w:sz w:val="26"/>
        </w:rPr>
        <w:t xml:space="preserve">, indicating a great potential to empirically observe successful business model innovations of entrepreneurial ventures. Second, there is only little overlap between the ventures sampled individually for each domain. Out of 751 sampled ventures only 20 related to more than one of the selected domains. The low degree of overlap indicates high technological variance between ventures from each domain. </w:t>
      </w:r>
    </w:p>
    <w:p w14:paraId="40FDC70F" w14:textId="58613B03" w:rsidR="00151DC1" w:rsidRPr="00FF4E93" w:rsidRDefault="00151DC1" w:rsidP="00151DC1">
      <w:pPr>
        <w:spacing w:after="0"/>
        <w:rPr>
          <w:rFonts w:eastAsia="Times New Roman"/>
          <w:sz w:val="26"/>
        </w:rPr>
      </w:pPr>
      <w:r w:rsidRPr="00FF4E93">
        <w:rPr>
          <w:rFonts w:eastAsia="Times New Roman"/>
          <w:sz w:val="26"/>
        </w:rPr>
        <w:t xml:space="preserve">Sampling such a large number of ventures (in comparison to a traditional multiple case study for theory building), provides two main advantages. First, it facilitates variance along different factors including geography or application domain, i.e. the </w:t>
      </w:r>
      <w:r w:rsidRPr="00FF4E93">
        <w:rPr>
          <w:rFonts w:eastAsia="Times New Roman"/>
          <w:i/>
          <w:color w:val="000000"/>
          <w:sz w:val="26"/>
        </w:rPr>
        <w:t>“context of the physical environment in which systems can be deployed”</w:t>
      </w:r>
      <w:r w:rsidRPr="00FF4E93">
        <w:rPr>
          <w:rFonts w:eastAsia="Times New Roman"/>
          <w:color w:val="000000"/>
          <w:sz w:val="26"/>
        </w:rPr>
        <w:t xml:space="preserve"> </w:t>
      </w:r>
      <w:r w:rsidRPr="00FF4E93">
        <w:rPr>
          <w:rFonts w:eastAsia="Times New Roman"/>
          <w:color w:val="000000"/>
          <w:sz w:val="26"/>
        </w:rPr>
        <w:fldChar w:fldCharType="begin" w:fldLock="1"/>
      </w:r>
      <w:r w:rsidR="00C95F78" w:rsidRPr="00FF4E93">
        <w:rPr>
          <w:rFonts w:eastAsia="Times New Roman"/>
          <w:color w:val="000000"/>
          <w:sz w:val="26"/>
        </w:rPr>
        <w:instrText>ADDIN CSL_CITATION {"citationItems":[{"id":"ITEM-1","itemData":{"author":[{"dropping-particle":"","family":"Manyika","given":"J.","non-dropping-particle":"","parse-names":false,"suffix":""},{"dropping-particle":"","family":"Chui","given":"M.","non-dropping-particle":"","parse-names":false,"suffix":""},{"dropping-particle":"","family":"Bisson","given":"P.","non-dropping-particle":"","parse-names":false,"suffix":""},{"dropping-particle":"","family":"Dobbs","given":"R.","non-dropping-particle":"","parse-names":false,"suffix":""},{"dropping-particle":"","family":"Bughin","given":"J.","non-dropping-particle":"","parse-names":false,"suffix":""},{"dropping-particle":"","family":"Aharon","given":"D.","non-dropping-particle":"","parse-names":false,"suffix":""}],"id":"ITEM-1","issue":"June","issued":{"date-parts":[["2015"]]},"number-of-pages":"1-134","title":"The Internet of Things: mapping the value beyond the hype","type":"report"},"uris":["http://www.mendeley.com/documents/?uuid=607d7c40-8cd5-41cb-b6e0-25f7a5270e8d"]}],"mendeley":{"formattedCitation":"(Manyika et al., 2015)","manualFormatting":"(Manyika et al., 2015, p.18)","plainTextFormattedCitation":"(Manyika et al., 2015)","previouslyFormattedCitation":"(J. Manyika et al., 2015)"},"properties":{"noteIndex":0},"schema":"https://github.com/citation-style-language/schema/raw/master/csl-citation.json"}</w:instrText>
      </w:r>
      <w:r w:rsidRPr="00FF4E93">
        <w:rPr>
          <w:rFonts w:eastAsia="Times New Roman"/>
          <w:color w:val="000000"/>
          <w:sz w:val="26"/>
        </w:rPr>
        <w:fldChar w:fldCharType="separate"/>
      </w:r>
      <w:r w:rsidRPr="00FF4E93">
        <w:rPr>
          <w:rFonts w:eastAsia="Times New Roman"/>
          <w:noProof/>
          <w:color w:val="000000"/>
          <w:sz w:val="26"/>
        </w:rPr>
        <w:t>(Manyika et al., 2015, p.18)</w:t>
      </w:r>
      <w:r w:rsidRPr="00FF4E93">
        <w:rPr>
          <w:rFonts w:eastAsia="Times New Roman"/>
          <w:color w:val="000000"/>
          <w:sz w:val="26"/>
        </w:rPr>
        <w:fldChar w:fldCharType="end"/>
      </w:r>
      <w:r w:rsidRPr="00FF4E93">
        <w:rPr>
          <w:rFonts w:eastAsia="Times New Roman"/>
          <w:sz w:val="26"/>
        </w:rPr>
        <w:t xml:space="preserve">. The high contextual variance stemming from the large number of sampled ventures from three technology domains allows us to create more robust theories about high-performing business model pattern configurations </w:t>
      </w:r>
      <w:r w:rsidRPr="00FF4E93">
        <w:rPr>
          <w:rFonts w:eastAsia="Times New Roman"/>
          <w:sz w:val="26"/>
        </w:rPr>
        <w:fldChar w:fldCharType="begin" w:fldLock="1"/>
      </w:r>
      <w:r w:rsidRPr="00FF4E93">
        <w:rPr>
          <w:rFonts w:eastAsia="Times New Roman"/>
          <w:sz w:val="26"/>
        </w:rPr>
        <w:instrText>ADDIN CSL_CITATION {"citationItems":[{"id":"ITEM-1","itemData":{"abstract":"This article discusses the research strategy of theory building from cases, particularly multiple cases. Such a strategy involves using one or more cases to create theoretical constructs, propositions, and/or midrange theory from case-based, empirical evidence. Replication logic means that each case serves as a distinct experiment that stands on its own merits as an analytic unit. The frequent use of case studies as a research strategy has given rise to some challenges that can be mitigated by the use of very precise wording and thoughtful research design.","author":[{"dropping-particle":"","family":"Eisenhardt","given":"Kathleen M.","non-dropping-particle":"","parse-names":false,"suffix":""},{"dropping-particle":"","family":"Graebner","given":"Melissa E.","non-dropping-particle":"","parse-names":false,"suffix":""}],"container-title":"Academy of Management Journal","id":"ITEM-1","issued":{"date-parts":[["2007"]]},"title":"Theory building from cases: Opportunities and challenges","type":"article-journal"},"uris":["http://www.mendeley.com/documents/?uuid=fbaad3f4-e519-3d60-8e27-98450e9c86eb"]}],"mendeley":{"formattedCitation":"(Eisenhardt &amp; Graebner, 2007)","plainTextFormattedCitation":"(Eisenhardt &amp; Graebner, 2007)","previouslyFormattedCitation":"(Eisenhardt &amp; Graebner, 2007)"},"properties":{"noteIndex":0},"schema":"https://github.com/citation-style-language/schema/raw/master/csl-citation.json"}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(Eisenhardt &amp; Graebner, 2007)</w:t>
      </w:r>
      <w:r w:rsidRPr="00FF4E93">
        <w:rPr>
          <w:rFonts w:eastAsia="Times New Roman"/>
          <w:sz w:val="26"/>
        </w:rPr>
        <w:fldChar w:fldCharType="end"/>
      </w:r>
      <w:r w:rsidRPr="00FF4E93">
        <w:rPr>
          <w:rFonts w:eastAsia="Times New Roman"/>
          <w:sz w:val="26"/>
        </w:rPr>
        <w:t>. Second, a large sample enhances the derivation of meaningful configurations. By empirically observing different combinations of 60 business model patterns, we gain a better understanding of their relevance and mitigate errors, such as the potential performance impact of organizational attributes we did not observe for our analysis.</w:t>
      </w:r>
    </w:p>
    <w:p w14:paraId="62CA64E3" w14:textId="3C67E74A" w:rsidR="00151DC1" w:rsidRPr="00FF4E93" w:rsidRDefault="00151DC1" w:rsidP="00151DC1">
      <w:pPr>
        <w:spacing w:after="0"/>
        <w:rPr>
          <w:rFonts w:eastAsia="Times New Roman"/>
          <w:sz w:val="26"/>
        </w:rPr>
      </w:pPr>
      <w:r w:rsidRPr="00FF4E93">
        <w:rPr>
          <w:rFonts w:eastAsia="Times New Roman"/>
          <w:sz w:val="26"/>
        </w:rPr>
        <w:t xml:space="preserve">The resulting sample features ventures with funding ranging from $88,000 </w:t>
      </w:r>
      <w:r w:rsidRPr="00FF4E93">
        <w:rPr>
          <w:rFonts w:eastAsia="Times New Roman"/>
          <w:i/>
          <w:sz w:val="26"/>
        </w:rPr>
        <w:t>(</w:t>
      </w:r>
      <w:proofErr w:type="spellStart"/>
      <w:r w:rsidRPr="00FF4E93">
        <w:rPr>
          <w:rFonts w:eastAsia="Times New Roman"/>
          <w:i/>
          <w:sz w:val="26"/>
        </w:rPr>
        <w:t>Marvelmind</w:t>
      </w:r>
      <w:proofErr w:type="spellEnd"/>
      <w:r w:rsidRPr="00FF4E93">
        <w:rPr>
          <w:rFonts w:eastAsia="Times New Roman"/>
          <w:i/>
          <w:sz w:val="26"/>
        </w:rPr>
        <w:t xml:space="preserve"> Robotics) </w:t>
      </w:r>
      <w:r w:rsidRPr="00FF4E93">
        <w:rPr>
          <w:rFonts w:eastAsia="Times New Roman"/>
          <w:sz w:val="26"/>
        </w:rPr>
        <w:t xml:space="preserve">to $3,100,000,000 </w:t>
      </w:r>
      <w:r w:rsidRPr="00FF4E93">
        <w:rPr>
          <w:rFonts w:eastAsia="Times New Roman"/>
          <w:i/>
          <w:sz w:val="26"/>
        </w:rPr>
        <w:t>(</w:t>
      </w:r>
      <w:proofErr w:type="spellStart"/>
      <w:r w:rsidRPr="00FF4E93">
        <w:rPr>
          <w:rFonts w:eastAsia="Times New Roman"/>
          <w:i/>
          <w:sz w:val="26"/>
        </w:rPr>
        <w:t>Toutiao</w:t>
      </w:r>
      <w:proofErr w:type="spellEnd"/>
      <w:r w:rsidRPr="00FF4E93">
        <w:rPr>
          <w:rFonts w:eastAsia="Times New Roman"/>
          <w:i/>
          <w:sz w:val="26"/>
        </w:rPr>
        <w:t xml:space="preserve">) </w:t>
      </w:r>
      <w:r w:rsidRPr="00FF4E93">
        <w:rPr>
          <w:rFonts w:eastAsia="Times New Roman"/>
          <w:sz w:val="26"/>
        </w:rPr>
        <w:t xml:space="preserve">with a median funding amount of $16,630,000 (average funding $45,471,491). One entry from the sampled list referred to a research institution and was hence excluded. Since profit histories are difficult to retrieve among new ventures, we used the </w:t>
      </w:r>
      <w:r w:rsidRPr="00FF4E93">
        <w:rPr>
          <w:rFonts w:eastAsia="Times New Roman"/>
          <w:i/>
          <w:iCs/>
          <w:sz w:val="26"/>
        </w:rPr>
        <w:t>total funding amount</w:t>
      </w:r>
      <w:r w:rsidRPr="00FF4E93">
        <w:rPr>
          <w:rFonts w:eastAsia="Times New Roman"/>
          <w:sz w:val="26"/>
        </w:rPr>
        <w:t xml:space="preserve"> as the proxy for firm performance. The use of this proxy is consistent with prior literature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{"citationItems":[{"id":"ITEM-1","itemData":{"author":[{"dropping-particle":"","family":"Short","given":"Jeremy C.","non-dropping-particle":"","parse-names":false,"suffix":""},{"dropping-particle":"","family":"Mckelvie","given":"Alexander","non-dropping-particle":"","parse-names":false,"suffix":""},{"dropping-particle":"","family":"Ketchen","given":"David J.","non-dropping-particle":"","parse-names":false,"suffix":""},{"dropping-particle":"","family":"Chandler","given":"Gaylen N.","non-dropping-particle":"","parse-names":false,"suffix":""}],"container-title":"Strategic Entrepreneurship Journal","id":"ITEM-1","issued":{"date-parts":[["2009"]]},"page":"47-65","title":"Firm and industry effects on firm performance: A generalization and extension for new ventures","type":"article-journal","volume":"3"},"uris":["http://www.mendeley.com/documents/?uuid=632766b3-6e58-4bb4-a710-d8922314619b"]},{"id":"ITEM-2","itemData":{"abstract":"Like governance structure and alliance scope, partner selection may serve to safeguard firms’ intellectual assets in R&amp;D alliances. We categorize potential alliance partners into friends, acquaintances, and strangers, depending on their previous alliance experience. Data on 1,159 R&amp;D alliances indicate that the more radical an alliance’s innovation goals, the more likely it is that partners are friends rather than strangers. However, strangers are preferred to acquaintances, suggesting partner selection preferences are not transitive. Moreover, results suggest that firms use partner selection, governance structure, and alliance scope as substitute mechanisms to protect valuable technological assets from appropriation in R&amp;D alliances.","author":[{"dropping-particle":"","family":"Zott","given":"Christoph","non-dropping-particle":"","parse-names":false,"suffix":""},{"dropping-particle":"","family":"Amit","given":"Raphael","non-dropping-particle":"","parse-names":false,"suffix":""}],"container-title":"Strategic Management Journal","id":"ITEM-2","issue":"1","issued":{"date-parts":[["2008"]]},"page":"1-26","title":"The Fit between Product Market Strategy and Business Model: Implications for Firm Performance","type":"article-journal","volume":"29"},"uris":["http://www.mendeley.com/documents/?uuid=4a51b70d-1f26-4ca0-988a-27dd8a1330b9"]}],"mendeley":{"formattedCitation":"(Short, Mckelvie, Ketchen, &amp; Chandler, 2009; Zott &amp; Amit, 2008)","manualFormatting":"(cfr. Short, Mckelvie, Ketchen, &amp; Chandler, 2009; Zott &amp; Amit, 2008)","plainTextFormattedCitation":"(Short, Mckelvie, Ketchen, &amp; Chandler, 2009; Zott &amp; Amit, 2008)","previouslyFormattedCitation":"(Short, Mckelvie, Ketchen, &amp; Chandler, 2009; Zott &amp; Amit, 2008)"},"properties":{"noteIndex":0},"schema":"https://github.com/citation-style-language/schema/raw/master/csl-citation.json"}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(cfr. Short, Mckelvie, Ketchen, &amp; Chandler, 2009; Zott &amp; Amit, 2008)</w:t>
      </w:r>
      <w:r w:rsidRPr="00FF4E93">
        <w:rPr>
          <w:rFonts w:eastAsia="Times New Roman"/>
          <w:sz w:val="26"/>
        </w:rPr>
        <w:fldChar w:fldCharType="end"/>
      </w:r>
      <w:r w:rsidRPr="00FF4E93">
        <w:rPr>
          <w:rFonts w:eastAsia="Times New Roman"/>
          <w:sz w:val="26"/>
        </w:rPr>
        <w:t xml:space="preserve"> that has found a positive relationship between the amount of capital received and young venture success </w:t>
      </w:r>
      <w:r w:rsidRPr="00FF4E93">
        <w:rPr>
          <w:rFonts w:eastAsia="Times New Roman"/>
          <w:sz w:val="26"/>
        </w:rPr>
        <w:fldChar w:fldCharType="begin" w:fldLock="1"/>
      </w:r>
      <w:r w:rsidR="00C95F78" w:rsidRPr="00FF4E93">
        <w:rPr>
          <w:rFonts w:eastAsia="Times New Roman"/>
          <w:sz w:val="26"/>
        </w:rPr>
        <w:instrText>ADDIN CSL_CITATION {"citationItems":[{"id":"ITEM-1","itemData":{"abstract":"Two schools of advice are often provided to fledgling entrepreneurial ventures: one advocates a deliberate and well structured phase prior to the beginning of operations, while the other suggests a quick-to-market approach that relies heavily upon the entrepreneurial team's ability to adjust resources and strategy as the new venture develops. Furthermore, the economy is generally seen as a short-term player in the success of the firm. That is, economic conditions appear to have a cyclical nature to them, so initial market conditions may only be relevant to the start-up speed of the new venture. Unfortunately, although there has been research that has examined the impact some of these areas may have, it has generally been limited to issues of survivability and/or has utilized young ventures (rather than new ventures). All of this leaves open the question of the long-term importance of these initial decisions and conditions. This research specifically examined a sample of new banks at the point of inception in order to accomplish the following: 1) to investigate the suggestion that initial founding conditions and decisions have a long lasting impact upon performance; 2) to gain an insight into the temporal endurance of these initial decisions and conditions by testing the extent to which the explanatory power persisted with time; and 3) to utilize multiple measures of performance in order to allow for a comparison of this important issue as it affects various aspects of a new venture's measurement of performance. The results of this study provide concrete suggestions for both those seeking to develop new ventures as well as those investing in them. First and foremost, initial founding decisions and conditions are significantly related to the growth potential of new ventures. In fact, those decisions and conditions were sufficient to explain a large amount of the variance in the growth of the new venture even six years after firm birth. The impact upon profitability was much less important, suggesting that while these initial decisions and conditions were important for predicting short-term profitability, they were not significant in later years. Second, the impact of initial founding decisions and conditions appears to diminish over time for at least two of our three performance measures. Not intuitively surprising, some research has suggested that the impact of these factors would not only persist but would actually amplify with time. Our research sugges…","author":[{"dropping-particle":"","family":"Bamford","given":"Charles E.","non-dropping-particle":"","parse-names":false,"suffix":""},{"dropping-particle":"","family":"Dean","given":"Thomas J.","non-dropping-particle":"","parse-names":false,"suffix":""},{"dropping-particle":"","family":"McDougall","given":"Patricia P.","non-dropping-particle":"","parse-names":false,"suffix":""}],"container-title":"Journal of Business Venturing","id":"ITEM-1","issue":"3","issued":{"date-parts":[["2000"]]},"page":"253-277","title":"An examination of the impact of initial founding conditions and decisions upon the performance of new bank start-ups","type":"article-journal","volume":"15"},"uris":["http://www.mendeley.com/documents/?uuid=f3de4379-29dd-479b-88a8-2599ed2236dc"]},{"id":"ITEM-2","itemData":{"abstract":"This research seeks to predict the performance of new ventures based on factors that can be observed at the time of start-up. Indicators of initial human and financial capital are considered to determine how they bear upon the probability of three possible performance outcomes: (1) failure, (2) marginal survival, or (3) high growth. Four categories of initial human and financial capital are examined. General human capital, represented here by the entrepreneur's education, gender, and race, may reflect the extent to which the entrepreneur has had the opportunity to develop relevant skills and contacts. Management know-how, embodied in the entrepreneur or available through advisors or partners, reflects management-specific skills and knowledge, without regard to the kind of business. Industry-specific know-how reflects specific experience in similar businesses. Financial capital is one of the most visible resources; it can create a buffer against random shocks and allow the pursuit of more capital-intensive strategies, which are better protected from imitation. The study utilizes a longitudinal study of 1053 new ventures, representative of all industry sectors and geographical regions. The research departs from most previous studies in considering different measures of performance (marginal survival and growth) and in considering explicitly whether the factors contributing to marginal survival differ from those contributing to high growth. It was found that measures of general human capital influenced both survival and growth (except for gender, with women-owned ventures being less likely to grow, but just as likely to survive). Management know-how variables had more limited impact. Having parents who had owned a business contributed to marginal survival, but not to growth. Number of partners contributed to growth but not to survival. Management level, prior employment in non-profit organizations or not having been in the labor force, and the use of professional advisors did not have significant effects. Industry-specific know-how contributed to both survival and growth. Amount of initial financial capital also contributed to both. The usefulness of the model is enhanced by the fact that the resource variables considered are relatively easy to assess and all can be considered at the time of start-up. Although some of the human capital variables cannot easily be changed, the benefits or risks associated with each can be assessed. In some cases, potential p…","author":[{"dropping-particle":"","family":"Cooper","given":"Arnold C.","non-dropping-particle":"","parse-names":false,"suffix":""},{"dropping-particle":"","family":"Gimeno-Gascon","given":"F. Javier","non-dropping-particle":"","parse-names":false,"suffix":""},{"dropping-particle":"","family":"Woo","given":"Carolyn Y.","non-dropping-particle":"","parse-names":false,"suffix":""}],"container-title":"Journal of Business Venturing","id":"ITEM-2","issue":"5","issued":{"date-parts":[["1994"]]},"page":"371-395","title":"Initial human and financial capital as predictors of new venture performance","type":"article-journal","volume":"9"},"uris":["http://www.mendeley.com/documents/?uuid=bd23db5b-4017-4355-b793-5865a52d2788"]},{"id":"ITEM-3","itemData":{"author":[{"dropping-particle":"","family":"Dahlqvist","given":"J.","non-dropping-particle":"","parse-names":false,"suffix":""},{"dropping-particle":"","family":"Davidsson","given":"P.","non-dropping-particle":"","parse-names":false,"suffix":""},{"dropping-particle":"","family":"Wiklund","given":"J.","non-dropping-particle":"","parse-names":false,"suffix":""}],"container-title":"Enterprise and Innovation Management Studies","id":"ITEM-3","issue":"1","issued":{"date-parts":[["2000"]]},"page":"1-17","title":"Initial Conditions as Predictors of New Venture Performance: A Replication and Extension of the Cooper et al. study","type":"article-journal","volume":"1"},"uris":["http://www.mendeley.com/documents/?uuid=152ffa43-d1f1-4930-abf4-8bbe6eed81db"]},{"id":"ITEM-4","itemData":{"abstract":"This study examined three types of factors: (1) the characteristics of the lead entrepreneur, (2) startup processes undertaken during the founding of the firm, and (3) firm behaviors after start-up, including management practices and strategic behaviors, associated with new venture success and failure. The research involved a field study of 26 small, young firms; 13 successful and 13 less, successful (or failed), each engaged in the distribution of fresh juices in eight metropolitan centers (about 30% of the total market) in the United States. Both quantitative and qualitative data were collected through field work at each firm location. A statistical analysis of data collected in a structured questionnaire was the primary method for testing the factors. Case studies of all of the firms were developed to provide qualitative support for the quantitative findings of the study. Results from these analyses indicated significant differences between successful and unsuccessful firms in all three categories. Lead entrepreneurs in successful firms were more likely to have been raised by entrepreneurial parents, have had a broader business and more prior startup experience, and believed they had less control of their success in business, than unsuccessful entrepreneurs. Successful entrepreneurs seek to reduce risk in their businesses. They work long hours, have a personal investment in the firm, and are good communicators. Successful firms were those initiated with ambitious goals. Lead entrepreneurs had a clear broad business idea which provided the adaptive torque required to overcome adversity, confrontation, and often, a troubled financial condition. Effective startup or purchase required broad planning efforts that considered all aspects of the industry and firm. Successful firms spent more time planning (237 hours) than unsuccessful firms (85 hours). The use of outside professionals and advisors for help in solving specific problems during startup was important for success as well as the advice and information provided by other industry participants, particularly customers and suppliers. Most ventures did not have written business plans. Nearly all purchased firms failed. Buyers of competitively troubled firms were negatively displaced, generally unemployed managers who lacked broad management experience, and while often well educated, had no prior experience in purchasing a business. Successful firms were found to be more flexible, participative, and adap…","author":[{"dropping-particle":"","family":"Duchesneau","given":"Donald A.","non-dropping-particle":"","parse-names":false,"suffix":""},{"dropping-particle":"","family":"Gartner","given":"William B.","non-dropping-particle":"","parse-names":false,"suffix":""}],"container-title":"Journal of Business Venturing","id":"ITEM-4","issue":"5","issued":{"date-parts":[["1990"]]},"page":"297-312","title":"A profile of new venture success and failure in an emerging industry","type":"article-journal","volume":"5"},"uris":["http://www.mendeley.com/documents/?uuid=53a5a916-1336-4ebf-8cbd-d9a7f15a0a74"]}],"mendeley":{"formattedCitation":"(Bamford, Dean, &amp; McDougall, 2000; Cooper, Gimeno-Gascon, &amp; Woo, 1994; Dahlqvist, Davidsson, &amp; Wiklund, 2000; Duchesneau &amp; Gartner, 1990)","manualFormatting":"(Bamford et al., 2000; Cooper et al., 1994; Dahlqvist et al., 2000; Duchesneau &amp; Gartner, 1990)","plainTextFormattedCitation":"(Bamford, Dean, &amp; McDougall, 2000; Cooper, Gimeno-Gascon, &amp; Woo, 1994; Dahlqvist, Davidsson, &amp; Wiklund, 2000; Duchesneau &amp; Gartner, 1990)","previouslyFormattedCitation":"(Bamford et al., 2000; A. C. Cooper et al., 1994; Dahlqvist et al., 2000; Duchesneau &amp; Gartner, 1990)"},"properties":{"noteIndex":0},"schema":"https://github.com/citation-style-language/schema/raw/master/csl-citation.json"}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(Bamford et al., 2000; Cooper et al., 1994; Dahlqvist et al., 2000; Duchesneau &amp; Gartner, 1990)</w:t>
      </w:r>
      <w:r w:rsidRPr="00FF4E93">
        <w:rPr>
          <w:rFonts w:eastAsia="Times New Roman"/>
          <w:sz w:val="26"/>
        </w:rPr>
        <w:fldChar w:fldCharType="end"/>
      </w:r>
      <w:r w:rsidRPr="00FF4E93">
        <w:rPr>
          <w:rFonts w:eastAsia="Times New Roman"/>
          <w:sz w:val="26"/>
        </w:rPr>
        <w:t>.</w:t>
      </w:r>
    </w:p>
    <w:p w14:paraId="098D3B86" w14:textId="7CEFA66F" w:rsidR="00151DC1" w:rsidRPr="00FF4E93" w:rsidRDefault="00151DC1" w:rsidP="00151DC1">
      <w:pPr>
        <w:spacing w:after="0"/>
        <w:rPr>
          <w:rFonts w:eastAsia="Times New Roman"/>
          <w:sz w:val="26"/>
        </w:rPr>
      </w:pPr>
      <w:r w:rsidRPr="00FF4E93">
        <w:rPr>
          <w:rFonts w:eastAsia="Times New Roman"/>
          <w:sz w:val="26"/>
        </w:rPr>
        <w:t xml:space="preserve">We further restricted our sampling to only include ventures founded in or after 2010. Thereby we intended to align with </w:t>
      </w:r>
      <w:proofErr w:type="spellStart"/>
      <w:r w:rsidRPr="00FF4E93">
        <w:rPr>
          <w:rFonts w:eastAsia="Times New Roman"/>
          <w:sz w:val="26"/>
        </w:rPr>
        <w:t>Bhide</w:t>
      </w:r>
      <w:proofErr w:type="spellEnd"/>
      <w:r w:rsidRPr="00FF4E93">
        <w:rPr>
          <w:rFonts w:eastAsia="Times New Roman"/>
          <w:sz w:val="26"/>
        </w:rPr>
        <w:t xml:space="preserve">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{"citationItems":[{"id":"ITEM-1","itemData":{"author":[{"dropping-particle":"","family":"Bhide","given":"A.","non-dropping-particle":"","parse-names":false,"suffix":""}],"id":"ITEM-1","issued":{"date-parts":[["2000"]]},"publisher":"Oxford University Press","publisher-place":"New York","title":"The Origin and Evolution of New Businesses","type":"book"},"uris":["http://www.mendeley.com/documents/?uuid=3b9a4c2e-a249-47c2-bd65-f565643658c3"]}],"mendeley":{"formattedCitation":"(Bhide, 2000)","manualFormatting":"(2000)","plainTextFormattedCitation":"(Bhide, 2000)","previouslyFormattedCitation":"(Bhide, 2000)"},"properties":{"noteIndex":0},"schema":"https://github.com/citation-style-language/schema/raw/master/csl-citation.json"}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(2000)</w:t>
      </w:r>
      <w:r w:rsidRPr="00FF4E93">
        <w:rPr>
          <w:rFonts w:eastAsia="Times New Roman"/>
          <w:sz w:val="26"/>
        </w:rPr>
        <w:fldChar w:fldCharType="end"/>
      </w:r>
      <w:r w:rsidRPr="00FF4E93">
        <w:rPr>
          <w:rFonts w:eastAsia="Times New Roman"/>
          <w:sz w:val="26"/>
        </w:rPr>
        <w:t xml:space="preserve"> who refers to the entrepreneurial firms as relatively young organization possessing potential of attaining significant size and profitability. Observing entrepreneurial ventures with low complexity in their business </w:t>
      </w:r>
      <w:r w:rsidRPr="00FF4E93">
        <w:rPr>
          <w:rFonts w:eastAsia="Times New Roman"/>
          <w:sz w:val="26"/>
        </w:rPr>
        <w:lastRenderedPageBreak/>
        <w:t xml:space="preserve">models </w:t>
      </w:r>
      <w:r w:rsidRPr="00FF4E93">
        <w:rPr>
          <w:rFonts w:eastAsia="Times New Roman"/>
          <w:sz w:val="26"/>
        </w:rPr>
        <w:fldChar w:fldCharType="begin" w:fldLock="1"/>
      </w:r>
      <w:r w:rsidRPr="00FF4E93">
        <w:rPr>
          <w:rFonts w:eastAsia="Times New Roman"/>
          <w:sz w:val="26"/>
        </w:rPr>
        <w:instrText>ADDIN CSL_CITATION {"citationItems":[{"id":"ITEM-1","itemData":{"abstract":"l'entrepreneurship des petites entreprises \"simple firms\" est marqué par la personnalité de leur chef, celui des \"planning firms\" est déterminé par des stratégies produit-marché, et celui des \"organic firms\" est entrainé par une combinaison environnement-structure.","author":[{"dropping-particle":"","family":"Miller","given":"Danny","non-dropping-particle":"","parse-names":false,"suffix":""}],"container-title":"Management Science","id":"ITEM-1","issue":"7","issued":{"date-parts":[["1983"]]},"page":"770-791","title":"The Correlates of Entrepreneurship in Three Types of Firms","type":"article-journal","volume":"29"},"uris":["http://www.mendeley.com/documents/?uuid=43b027a5-e098-4d5e-ad39-3922f6e43d05"]}],"mendeley":{"formattedCitation":"(Danny Miller, 1983)","manualFormatting":"(Miller, 1983)","plainTextFormattedCitation":"(Danny Miller, 1983)","previouslyFormattedCitation":"(Danny Miller, 1983)"},"properties":{"noteIndex":0},"schema":"https://github.com/citation-style-language/schema/raw/master/csl-citation.json"}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(Miller, 1983)</w:t>
      </w:r>
      <w:r w:rsidRPr="00FF4E93">
        <w:rPr>
          <w:rFonts w:eastAsia="Times New Roman"/>
          <w:sz w:val="26"/>
        </w:rPr>
        <w:fldChar w:fldCharType="end"/>
      </w:r>
      <w:r w:rsidRPr="00FF4E93">
        <w:rPr>
          <w:rFonts w:eastAsia="Times New Roman"/>
          <w:sz w:val="26"/>
        </w:rPr>
        <w:t xml:space="preserve"> was important to identify consistency in pattern configurations within business models and relate them to performance. For instance, incumbents often operate multiple business models which is why management research has argued that the configuration of their business model </w:t>
      </w:r>
      <w:r w:rsidRPr="00FF4E93">
        <w:rPr>
          <w:rFonts w:eastAsia="Times New Roman"/>
          <w:i/>
          <w:sz w:val="26"/>
        </w:rPr>
        <w:t>portfolio</w:t>
      </w:r>
      <w:r w:rsidRPr="00FF4E93">
        <w:rPr>
          <w:rFonts w:eastAsia="Times New Roman"/>
          <w:sz w:val="26"/>
        </w:rPr>
        <w:t xml:space="preserve"> is responsible for their performance </w:t>
      </w:r>
      <w:r w:rsidRPr="00FF4E93">
        <w:rPr>
          <w:rFonts w:eastAsia="Times New Roman"/>
          <w:sz w:val="26"/>
        </w:rPr>
        <w:fldChar w:fldCharType="begin" w:fldLock="1"/>
      </w:r>
      <w:r w:rsidR="00C95F78" w:rsidRPr="00FF4E93">
        <w:rPr>
          <w:rFonts w:eastAsia="Times New Roman"/>
          <w:sz w:val="26"/>
        </w:rPr>
        <w:instrText>ADDIN CSL_CITATION {"citationItems":[{"id":"ITEM-1","itemData":{"author":[{"dropping-particle":"","family":"Kim","given":"Stephen K","non-dropping-particle":"","parse-names":false,"suffix":""},{"dropping-particle":"","family":"Min","given":"Sungwook","non-dropping-particle":"","parse-names":false,"suffix":""}],"container-title":"Strategic Entrepreneurship Journal","id":"ITEM-1","issued":{"date-parts":[["2015"]]},"page":"34-57","title":"Business model innovation performance: When does adding a new business model benefit an incumbent?","type":"article-journal","volume":"9"},"uris":["http://www.mendeley.com/documents/?uuid=8ed52c1e-c5d7-4ada-8a2b-838c8cfc6730"]},{"id":"ITEM-2","itemData":{"ISBN":"0896-3789","ISSN":"10795545","abstract":"How can a company adopt two different business models in the same market? This question has become particularly pressing for an increasing number of established companies that have recently come under attack from “strategic innovators”—companies that attack the established players by using radically different business models. The success of these attackers in gaining market share has created a big dilemma for established companies. On the one hand, by embracing the new business models that the innovators have introduced in their markets, established companies can potentially take advantage of a great growth opportunity. On the other hand, because the new business models often conflict with the established ones, companies that try to compete by adopting both of them risk mismanaging both and destroying value. How, then, can established companies embrace the new business models without diluting and destroying their existing models? Our research explores this question and offers a contingency solution to this problem. We show that the challenge for companies is to balance the benefits of keeping the two business models separate while at the same time integrating them enough so as to allow them to exploit synergies with one another. We describe four possible strategies that companies can use to achieve such a balance and identify what separates success from failure for each strategy.","author":[{"dropping-particle":"","family":"Markides","given":"Constantinos","non-dropping-particle":"","parse-names":false,"suffix":""},{"dropping-particle":"","family":"Charitou","given":"Constantinos D.","non-dropping-particle":"","parse-names":false,"suffix":""}],"container-title":"Academy of Management Executive","id":"ITEM-2","issue":"3","issued":{"date-parts":[["2004"]]},"page":"22-36","title":"Competing with dual business models: A contingency approach.","type":"article-journal","volume":"18"},"uris":["http://www.mendeley.com/documents/?uuid=79b0872c-a5ae-47f5-b524-a8e3d3e0524f"]},{"id":"ITEM-3","itemData":{"abstract":"We investigate the business model configurations associated with high and low firm performance by conducting a qualitative comparative analysis of firms competing in Formula One racing. We find that configurations of two business models-one focused on selling technology to competitors, the other one on developing and trading human resources with competitors-are associated with high performance. We also investigate why these configurations are high-performing and find that they are underpinned by capability-enhancing complementarities, accelerating firms' learning and supporting the development of focused firms' capabilities.","author":[{"dropping-particle":"","family":"Aversa","given":"Paolo","non-dropping-particle":"","parse-names":false,"suffix":""},{"dropping-particle":"","family":"Furnari","given":"Santi","non-dropping-particle":"","parse-names":false,"suffix":""},{"dropping-particle":"","family":"Haefliger","given":"Stefan","non-dropping-particle":"","parse-names":false,"suffix":""}],"container-title":"Industrial and Corporate Change","id":"ITEM-3","issue":"3","issued":{"date-parts":[["2015"]]},"page":"655-676","title":"Business model configurations and performance: A qualitative comparative analysis in Formula One racing, 2005-2013","type":"article-journal","volume":"24"},"uris":["http://www.mendeley.com/documents/?uuid=963a83ce-3175-4754-8dc8-f94b858c8907"]}],"mendeley":{"formattedCitation":"(Aversa et al., 2015; Kim &amp; Min, 2015; Markides &amp; Charitou, 2004)","manualFormatting":"(Aversa et al., 2015; Kim &amp; Min, 2015; Markides &amp; Charitou, 2004)","plainTextFormattedCitation":"(Aversa et al., 2015; Kim &amp; Min, 2015; Markides &amp; Charitou, 2004)","previouslyFormattedCitation":"(Aversa, Furnari, et al., 2015; Kim &amp; Min, 2015; C. Markides &amp; Charitou, 2004)"},"properties":{"noteIndex":0},"schema":"https://github.com/citation-style-language/schema/raw/master/csl-citation.json"}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(Aversa et al., 2015; Kim &amp; Min, 2015; Markides &amp; Charitou, 2004)</w:t>
      </w:r>
      <w:r w:rsidRPr="00FF4E93">
        <w:rPr>
          <w:rFonts w:eastAsia="Times New Roman"/>
          <w:sz w:val="26"/>
        </w:rPr>
        <w:fldChar w:fldCharType="end"/>
      </w:r>
      <w:r w:rsidRPr="00FF4E93">
        <w:rPr>
          <w:rFonts w:eastAsia="Times New Roman"/>
          <w:sz w:val="26"/>
        </w:rPr>
        <w:t>.</w:t>
      </w:r>
    </w:p>
    <w:p w14:paraId="0A313C1B" w14:textId="77777777" w:rsidR="00151DC1" w:rsidRPr="00FF4E93" w:rsidRDefault="00151DC1" w:rsidP="00151DC1">
      <w:pPr>
        <w:spacing w:after="0"/>
        <w:rPr>
          <w:rFonts w:eastAsia="Times New Roman"/>
          <w:sz w:val="26"/>
        </w:rPr>
      </w:pPr>
      <w:r w:rsidRPr="00FF4E93">
        <w:rPr>
          <w:rFonts w:eastAsia="Times New Roman"/>
          <w:sz w:val="26"/>
        </w:rPr>
        <w:t xml:space="preserve">We relied on the study of high-performing entrepreneurial ventures in order to study fitness in innovative business models. By reducing the systematic effect of competing explanations for firm performance, we can attribute the ventures’ success to business model innovation and consequently expect fitness to exist in the business models of all sampled companies. </w:t>
      </w:r>
    </w:p>
    <w:p w14:paraId="1DDB82AC" w14:textId="77777777" w:rsidR="00151DC1" w:rsidRPr="00FF4E93" w:rsidRDefault="00151DC1" w:rsidP="00151DC1">
      <w:pPr>
        <w:spacing w:after="0"/>
        <w:rPr>
          <w:rFonts w:eastAsia="Times New Roman"/>
          <w:sz w:val="26"/>
        </w:rPr>
      </w:pPr>
      <w:r w:rsidRPr="00FF4E93">
        <w:rPr>
          <w:rFonts w:eastAsia="Times New Roman"/>
          <w:sz w:val="26"/>
        </w:rPr>
        <w:t>In sum, our sampling strategy is well suited to build robust theories on the relationship between business model configurations and high firm performance. By studying multiple domains, we set the foundations for moderate levels of external validity. By covering a great number of ventures, we are able to evaluate the coverage of any identified set of configurations.</w:t>
      </w:r>
    </w:p>
    <w:p w14:paraId="0930B011" w14:textId="77777777" w:rsidR="00151DC1" w:rsidRPr="00FF4E93" w:rsidRDefault="00151DC1" w:rsidP="00151DC1">
      <w:pPr>
        <w:keepNext/>
        <w:numPr>
          <w:ilvl w:val="2"/>
          <w:numId w:val="0"/>
        </w:numPr>
        <w:tabs>
          <w:tab w:val="num" w:pos="720"/>
        </w:tabs>
        <w:spacing w:after="0"/>
        <w:ind w:left="720" w:hanging="720"/>
        <w:outlineLvl w:val="2"/>
        <w:rPr>
          <w:rFonts w:eastAsia="Times New Roman"/>
          <w:b/>
          <w:bCs/>
          <w:sz w:val="26"/>
          <w:szCs w:val="26"/>
          <w:lang w:eastAsia="de-AT"/>
        </w:rPr>
      </w:pPr>
      <w:r w:rsidRPr="00FF4E93">
        <w:rPr>
          <w:rFonts w:eastAsia="Times New Roman"/>
          <w:b/>
          <w:bCs/>
          <w:sz w:val="26"/>
          <w:szCs w:val="26"/>
          <w:lang w:eastAsia="de-AT"/>
        </w:rPr>
        <w:t>Data Collection</w:t>
      </w:r>
    </w:p>
    <w:p w14:paraId="2BDF3CC4" w14:textId="77777777" w:rsidR="00151DC1" w:rsidRPr="00FF4E93" w:rsidRDefault="00151DC1" w:rsidP="00151DC1">
      <w:pPr>
        <w:spacing w:after="0"/>
        <w:rPr>
          <w:rFonts w:eastAsia="Times New Roman"/>
          <w:sz w:val="26"/>
        </w:rPr>
      </w:pPr>
      <w:r w:rsidRPr="00FF4E93">
        <w:rPr>
          <w:rFonts w:eastAsia="Times New Roman"/>
          <w:sz w:val="26"/>
        </w:rPr>
        <w:t xml:space="preserve">Our data collection aimed for qualitative descriptions of the business model design for each of the sampled ventures. More specifically, we sought to (a) identify the business model patterns applied by each venture, and (b) understand </w:t>
      </w:r>
      <w:r w:rsidRPr="00FF4E93">
        <w:rPr>
          <w:rFonts w:eastAsia="Times New Roman"/>
          <w:i/>
          <w:iCs/>
          <w:sz w:val="26"/>
        </w:rPr>
        <w:t>how</w:t>
      </w:r>
      <w:r w:rsidRPr="00FF4E93">
        <w:rPr>
          <w:rFonts w:eastAsia="Times New Roman"/>
          <w:sz w:val="26"/>
        </w:rPr>
        <w:t xml:space="preserve"> the respective venture applied each of them.</w:t>
      </w:r>
    </w:p>
    <w:p w14:paraId="2E2AF4B6" w14:textId="25F6EC8D" w:rsidR="00151DC1" w:rsidRPr="00FF4E93" w:rsidRDefault="00151DC1" w:rsidP="00151DC1">
      <w:pPr>
        <w:spacing w:after="0"/>
        <w:rPr>
          <w:rFonts w:eastAsia="Times New Roman"/>
          <w:sz w:val="26"/>
        </w:rPr>
      </w:pPr>
      <w:r w:rsidRPr="00FF4E93">
        <w:rPr>
          <w:rFonts w:eastAsia="Times New Roman"/>
          <w:sz w:val="26"/>
        </w:rPr>
        <w:t xml:space="preserve">We relied on multiple primary and secondary data sources: website information, archival records such as press releases, social media profiles, and news articles. Secondary sources, such as </w:t>
      </w:r>
      <w:proofErr w:type="spellStart"/>
      <w:r w:rsidRPr="00FF4E93">
        <w:rPr>
          <w:rFonts w:eastAsia="Times New Roman"/>
          <w:i/>
          <w:iCs/>
          <w:sz w:val="26"/>
        </w:rPr>
        <w:t>Crunchbase</w:t>
      </w:r>
      <w:proofErr w:type="spellEnd"/>
      <w:r w:rsidRPr="00FF4E93">
        <w:rPr>
          <w:rFonts w:eastAsia="Times New Roman"/>
          <w:sz w:val="26"/>
        </w:rPr>
        <w:t xml:space="preserve"> or </w:t>
      </w:r>
      <w:r w:rsidRPr="00FF4E93">
        <w:rPr>
          <w:rFonts w:eastAsia="Times New Roman"/>
          <w:i/>
          <w:iCs/>
          <w:sz w:val="26"/>
        </w:rPr>
        <w:t>Bloomberg</w:t>
      </w:r>
      <w:r w:rsidRPr="00FF4E93">
        <w:rPr>
          <w:rFonts w:eastAsia="Times New Roman"/>
          <w:sz w:val="26"/>
        </w:rPr>
        <w:t xml:space="preserve">, provided us with an initial overview of the venture’s business model. Primary sources were used to confirm our initial understanding and obtain more in-depth data. Additional secondary sources from technology news providers, such as </w:t>
      </w:r>
      <w:r w:rsidRPr="00FF4E93">
        <w:rPr>
          <w:rFonts w:eastAsia="Times New Roman"/>
          <w:i/>
          <w:iCs/>
          <w:sz w:val="26"/>
        </w:rPr>
        <w:t>TechCrunch</w:t>
      </w:r>
      <w:r w:rsidRPr="00FF4E93">
        <w:rPr>
          <w:rFonts w:eastAsia="Times New Roman"/>
          <w:sz w:val="26"/>
        </w:rPr>
        <w:t xml:space="preserve"> or </w:t>
      </w:r>
      <w:proofErr w:type="spellStart"/>
      <w:r w:rsidRPr="00FF4E93">
        <w:rPr>
          <w:rFonts w:eastAsia="Times New Roman"/>
          <w:i/>
          <w:iCs/>
          <w:sz w:val="26"/>
        </w:rPr>
        <w:t>Venturebeat</w:t>
      </w:r>
      <w:proofErr w:type="spellEnd"/>
      <w:r w:rsidRPr="00FF4E93">
        <w:rPr>
          <w:rFonts w:eastAsia="Times New Roman"/>
          <w:sz w:val="26"/>
        </w:rPr>
        <w:t xml:space="preserve"> complemented our data collection as certain business model patterns are commonly not reported directly by the firm but rather portrayed by outside parties (e.g., the </w:t>
      </w:r>
      <w:r w:rsidRPr="00FF4E93">
        <w:rPr>
          <w:rFonts w:eastAsia="Times New Roman"/>
          <w:i/>
          <w:iCs/>
          <w:sz w:val="26"/>
        </w:rPr>
        <w:t xml:space="preserve">Hidden Revenue </w:t>
      </w:r>
      <w:r w:rsidRPr="00FF4E93">
        <w:rPr>
          <w:rFonts w:eastAsia="Times New Roman"/>
          <w:sz w:val="26"/>
        </w:rPr>
        <w:t xml:space="preserve">pattern). The triangulation of data sources is an important strategy to ensure construct validity </w:t>
      </w:r>
      <w:r w:rsidRPr="00FF4E93">
        <w:rPr>
          <w:rFonts w:eastAsia="Times New Roman"/>
          <w:sz w:val="26"/>
        </w:rPr>
        <w:fldChar w:fldCharType="begin" w:fldLock="1"/>
      </w:r>
      <w:r w:rsidR="00C95F78" w:rsidRPr="00FF4E93">
        <w:rPr>
          <w:rFonts w:eastAsia="Times New Roman"/>
          <w:sz w:val="26"/>
        </w:rPr>
        <w:instrText>ADDIN CSL_CITATION {"citationItems":[{"id":"ITEM-1","itemData":{"author":[{"dropping-particle":"","family":"Denzin","given":"Norman K.","non-dropping-particle":"","parse-names":false,"suffix":""},{"dropping-particle":"","family":"Lincoln","given":"Yvonna S.","non-dropping-particle":"","parse-names":false,"suffix":""}],"id":"ITEM-1","issued":{"date-parts":[["1994"]]},"publisher":"Sage Publications","publisher-place":"Thousand Oaks, CA, US","title":"Handbook of Qualitative Research","type":"book"},"uris":["http://www.mendeley.com/documents/?uuid=09546b14-6cf0-4292-b239-80bb17708bf5"]},{"id":"ITEM-2","itemData":{"author":[{"dropping-particle":"","family":"Jick","given":"Todd D","non-dropping-particle":"","parse-names":false,"suffix":""}],"container-title":"Administrative Science Quarterly","id":"ITEM-2","issue":"4","issued":{"date-parts":[["1979"]]},"page":"602-611","title":"Mixing Qualitative and Quantitative Methods: Triangulation in Action","type":"article-journal","volume":"24"},"uris":["http://www.mendeley.com/documents/?uuid=f72dd62e-6a3e-4c0b-be59-8406a8412de6"]},{"id":"ITEM-3","itemData":{"abstract":"Like governance structure and alliance scope, partner selection may serve to safeguard firms’ intellectual assets in R&amp;D alliances. We categorize potential alliance partners into friends, acquaintances, and strangers, depending on their previous alliance experience. Data on 1,159 R&amp;D alliances indicate that the more radical an alliance’s innovation goals, the more likely it is that partners are friends rather than strangers. However, strangers are preferred to acquaintances, suggesting partner selection preferences are not transitive. Moreover, results suggest that firms use partner selection, governance structure, and alliance scope as substitute mechanisms to protect valuable technological assets from appropriation in R&amp;D alliances.","author":[{"dropping-particle":"","family":"Gibbert","given":"Michael","non-dropping-particle":"","parse-names":false,"suffix":""},{"dropping-particle":"","family":"Ruigrok","given":"Winfried","non-dropping-particle":"","parse-names":false,"suffix":""},{"dropping-particle":"","family":"Wicki","given":"Barbara","non-dropping-particle":"","parse-names":false,"suffix":""}],"container-title":"Strategic Management Journal","id":"ITEM-3","issue":"13","issued":{"date-parts":[["2008"]]},"page":"1465-1474","title":"What passes as a rigorous case study?","type":"article-journal","volume":"29"},"uris":["http://www.mendeley.com/documents/?uuid=5fdddc9d-8de5-4b4d-a982-ff4df479861d"]},{"id":"ITEM-4","itemData":{"abstract":"Abstract: To provide evidence-based strategies for ensuring rigor of case studies, we examine what rigor types authors report and how they report them by content-analyzing all case studies published 1995-2000 in ten management journals. Comparing practices in articles addressing rigor extensively and less extensively, we reveal three strategies for insuring rigor. First, very few case-study authors explicitly label the rigor criteria in terms of the concepts commonly used in the positivist tradition (construct, internal, and external validity, as well as reliability). Despite this, papers addressing rigor extensively do report concrete research actions taken to ensure methodological rigor. Second, papers addressing rigor extensively prioritized rigor types: more, and more detailed, strategies were reported for ensuring internal and construct validity than for external validity. Third, emergent strategies used in the field were reported, such as set-backs and serendipities that necessitated changes to the originally planned research procedures. Authors focus squarely on the concrete research actions taken, carefully relaying them to the reader so that the reader may appreciate the logic and purpose of trade-off decisions in the context of the specific case study.","author":[{"dropping-particle":"","family":"Gibbert","given":"Michael","non-dropping-particle":"","parse-names":false,"suffix":""},{"dropping-particle":"","family":"Ruigrok","given":"Winfried","non-dropping-particle":"","parse-names":false,"suffix":""}],"container-title":"Organizational Research Methods","id":"ITEM-4","issue":"4","issued":{"date-parts":[["2010"]]},"page":"710-737","title":"The \"What\" and \"How\" of Case Study Rigor: Three Strategies Based on Published Work","type":"article-journal","volume":"13"},"uris":["http://www.mendeley.com/documents/?uuid=a5d3a24f-97ad-4c97-9d58-ba6040566d26"]}],"mendeley":{"formattedCitation":"(Denzin &amp; Lincoln, 1994; Gibbert &amp; Ruigrok, 2010; Gibbert, Ruigrok, &amp; Wicki, 2008; Jick, 1979)","plainTextFormattedCitation":"(Denzin &amp; Lincoln, 1994; Gibbert &amp; Ruigrok, 2010; Gibbert, Ruigrok, &amp; Wicki, 2008; Jick, 1979)","previouslyFormattedCitation":"(Denzin &amp; Lincoln, 1994; Gibbert &amp; Ruigrok, 2010; Gibbert, Ruigrok, &amp; Wicki, 2008b; Jick, 1979)"},"properties":{"noteIndex":0},"schema":"https://github.com/citation-style-language/schema/raw/master/csl-citation.json"}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(Denzin &amp; Lincoln, 1994; Gibbert &amp; Ruigrok, 2010; Gibbert, Ruigrok, &amp; Wicki, 2008; Jick, 1979)</w:t>
      </w:r>
      <w:r w:rsidRPr="00FF4E93">
        <w:rPr>
          <w:rFonts w:eastAsia="Times New Roman"/>
          <w:sz w:val="26"/>
        </w:rPr>
        <w:fldChar w:fldCharType="end"/>
      </w:r>
      <w:r w:rsidRPr="00FF4E93">
        <w:rPr>
          <w:rFonts w:eastAsia="Times New Roman"/>
          <w:sz w:val="26"/>
        </w:rPr>
        <w:t xml:space="preserve">. </w:t>
      </w:r>
    </w:p>
    <w:p w14:paraId="40FAA4DC" w14:textId="1B6CA29B" w:rsidR="00151DC1" w:rsidRPr="00FF4E93" w:rsidRDefault="00151DC1" w:rsidP="00151DC1">
      <w:pPr>
        <w:spacing w:after="0"/>
        <w:rPr>
          <w:rFonts w:eastAsia="Times New Roman"/>
          <w:sz w:val="26"/>
        </w:rPr>
      </w:pPr>
      <w:r w:rsidRPr="00FF4E93">
        <w:rPr>
          <w:rFonts w:eastAsia="Times New Roman"/>
          <w:sz w:val="26"/>
        </w:rPr>
        <w:t xml:space="preserve">Three researchers were involved in the data collection process. We initiated our data collection through a training sample comprising 112 </w:t>
      </w:r>
      <w:r w:rsidRPr="00FF4E93">
        <w:rPr>
          <w:rFonts w:eastAsia="Times New Roman"/>
          <w:i/>
          <w:iCs/>
          <w:sz w:val="26"/>
        </w:rPr>
        <w:t>‘iconic’</w:t>
      </w:r>
      <w:r w:rsidRPr="00FF4E93">
        <w:rPr>
          <w:rFonts w:eastAsia="Times New Roman"/>
          <w:sz w:val="26"/>
        </w:rPr>
        <w:t xml:space="preserve"> business models (e.g., Spotify, Nespresso, Ryanair) </w:t>
      </w:r>
      <w:r w:rsidRPr="00FF4E93">
        <w:rPr>
          <w:rFonts w:eastAsia="Times New Roman"/>
          <w:sz w:val="26"/>
        </w:rPr>
        <w:fldChar w:fldCharType="begin" w:fldLock="1"/>
      </w:r>
      <w:r w:rsidR="00C95F78" w:rsidRPr="00FF4E93">
        <w:rPr>
          <w:rFonts w:eastAsia="Times New Roman"/>
          <w:sz w:val="26"/>
        </w:rPr>
        <w:instrText>ADDIN CSL_CITATION {"citationItems":[{"id":"ITEM-1","itemData":{"abstract":"This article builds on the analogy between the business model concept and a recipe to discuss the concept of a business model portfolio (which we analogise as a dinner). In this context, we view analogies as concise, shorthand ways to describe important concepts and propose principles to organise new ways to make money in existing activities. Considering the different business models of four European biotechnology companies, we explore the their business model portfolios, defined as the range of different ways they deliver value to their customers to ensure both their medium term viability and future development. A firm's portfolio can help balance the levels of promise and interdependency with other firms of its different business models, and help it articulate and finance its activities in the medium run to ensure idiosyncrasy to protect its future health. © 2010 Elsevier Ltd.","author":[{"dropping-particle":"","family":"Sabatier","given":"Valérie","non-dropping-particle":"","parse-names":false,"suffix":""},{"dropping-particle":"","family":"Mangematin","given":"Vincent","non-dropping-particle":"","parse-names":false,"suffix":""},{"dropping-particle":"","family":"Rousselle","given":"Tristan","non-dropping-particle":"","parse-names":false,"suffix":""}],"container-title":"Long Range Planning","id":"ITEM-1","issue":"2-3","issued":{"date-parts":[["2010"]]},"page":"431-447","title":"From recipe to dinner: Business model portfolios in the european biopharmaceutical industry","type":"article-journal","volume":"43"},"uris":["http://www.mendeley.com/documents/?uuid=404b63ff-afa4-4515-9325-a2dc63994dad"]}],"mendeley":{"formattedCitation":"(Sabatier et al., 2010)","manualFormatting":"(Sabatier et al., 2010)","plainTextFormattedCitation":"(Sabatier et al., 2010)","previouslyFormattedCitation":"(Valérie Sabatier et al., 2010)"},"properties":{"noteIndex":0},"schema":"https://github.com/citation-style-language/schema/raw/master/csl-citation.json"}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(Sabatier et al., 2010)</w:t>
      </w:r>
      <w:r w:rsidRPr="00FF4E93">
        <w:rPr>
          <w:rFonts w:eastAsia="Times New Roman"/>
          <w:sz w:val="26"/>
        </w:rPr>
        <w:fldChar w:fldCharType="end"/>
      </w:r>
      <w:r w:rsidRPr="00FF4E93">
        <w:rPr>
          <w:rFonts w:eastAsia="Times New Roman"/>
          <w:sz w:val="26"/>
        </w:rPr>
        <w:t xml:space="preserve">. This step enabled the researchers to become familiar with and to generate a common understanding of each of the 60 patterns </w:t>
      </w:r>
      <w:r w:rsidRPr="00FF4E93">
        <w:rPr>
          <w:rFonts w:eastAsia="Times New Roman"/>
          <w:sz w:val="26"/>
        </w:rPr>
        <w:lastRenderedPageBreak/>
        <w:t xml:space="preserve">and the data collection process. Subsequently, we collected the data for our main sample. Throughout this phase, we placed special attention on ensuring common understanding through continuous discussions of each pattern and observable instantiations. </w:t>
      </w:r>
    </w:p>
    <w:p w14:paraId="6A937558" w14:textId="77777777" w:rsidR="00151DC1" w:rsidRPr="00FF4E93" w:rsidRDefault="00151DC1" w:rsidP="00151DC1">
      <w:pPr>
        <w:keepNext/>
        <w:numPr>
          <w:ilvl w:val="2"/>
          <w:numId w:val="0"/>
        </w:numPr>
        <w:tabs>
          <w:tab w:val="num" w:pos="720"/>
        </w:tabs>
        <w:spacing w:after="0"/>
        <w:ind w:left="720" w:hanging="720"/>
        <w:outlineLvl w:val="2"/>
        <w:rPr>
          <w:rFonts w:eastAsia="Times New Roman"/>
          <w:b/>
          <w:bCs/>
          <w:sz w:val="26"/>
          <w:szCs w:val="26"/>
          <w:lang w:eastAsia="de-AT"/>
        </w:rPr>
      </w:pPr>
      <w:r w:rsidRPr="00FF4E93">
        <w:rPr>
          <w:rFonts w:eastAsia="Times New Roman"/>
          <w:b/>
          <w:bCs/>
          <w:sz w:val="26"/>
          <w:szCs w:val="26"/>
          <w:lang w:eastAsia="de-AT"/>
        </w:rPr>
        <w:t>Data Analysis</w:t>
      </w:r>
    </w:p>
    <w:p w14:paraId="3609A09D" w14:textId="77777777" w:rsidR="00151DC1" w:rsidRPr="00FF4E93" w:rsidRDefault="00151DC1" w:rsidP="00151DC1">
      <w:pPr>
        <w:keepNext/>
        <w:spacing w:after="0"/>
        <w:outlineLvl w:val="2"/>
        <w:rPr>
          <w:rFonts w:eastAsia="Times New Roman"/>
          <w:bCs/>
          <w:i/>
          <w:sz w:val="26"/>
          <w:szCs w:val="26"/>
          <w:lang w:eastAsia="de-AT"/>
        </w:rPr>
      </w:pPr>
      <w:r w:rsidRPr="00FF4E93">
        <w:rPr>
          <w:rFonts w:eastAsia="Times New Roman"/>
          <w:bCs/>
          <w:i/>
          <w:sz w:val="26"/>
          <w:szCs w:val="26"/>
          <w:lang w:eastAsia="de-AT"/>
        </w:rPr>
        <w:t>Pattern assignment</w:t>
      </w:r>
    </w:p>
    <w:p w14:paraId="2A63733D" w14:textId="77777777" w:rsidR="00151DC1" w:rsidRPr="00FF4E93" w:rsidRDefault="00151DC1" w:rsidP="00151DC1">
      <w:pPr>
        <w:spacing w:after="0"/>
        <w:rPr>
          <w:rFonts w:eastAsia="Times New Roman"/>
          <w:sz w:val="26"/>
        </w:rPr>
      </w:pPr>
      <w:r w:rsidRPr="00FF4E93">
        <w:rPr>
          <w:rFonts w:eastAsia="Times New Roman"/>
          <w:sz w:val="26"/>
        </w:rPr>
        <w:t xml:space="preserve">We began our data analysis through the assignment of business model patterns for each venture </w:t>
      </w:r>
      <w:r w:rsidRPr="00FF4E93">
        <w:rPr>
          <w:rFonts w:eastAsia="Times New Roman"/>
          <w:sz w:val="26"/>
        </w:rPr>
        <w:fldChar w:fldCharType="begin" w:fldLock="1"/>
      </w:r>
      <w:r w:rsidRPr="00FF4E93">
        <w:rPr>
          <w:rFonts w:eastAsia="Times New Roman"/>
          <w:sz w:val="26"/>
        </w:rPr>
        <w:instrText>ADDIN CSL_CITATION {"citationItems":[{"id":"ITEM-1","itemData":{"abstract":"In recent years, there has been an increasing emphasis within organizational ecology on identity as a fundamental basis for the conceptualization and identification of organizational forms. This paper highlights the benefits of an identity- based conceptualization of organizational forms and outlines an identity-based agenda for organizational ecology. We begin by discussing fundamental properties of organizational identity, drawing extensively from the formal-theoretical conceptualization proposed by Pólos et al. (2002). We then build on this foundation by proposing a number of systematic ways in which forms can be specified and differentiated in terms of identity. We also address the challenge of measuring forms by discussing various approaches researchers may use to assess the beliefs contemporaneous audiences hold regarding organizational identities. This paper concludes with a discussion of research questions revolving around three issues core to an ecological approach to organizations: (1) the emergence of identities, (2) the persistence of identities, and (3) the strategic","author":[{"dropping-particle":"","family":"Hsu","given":"Greta","non-dropping-particle":"","parse-names":false,"suffix":""},{"dropping-particle":"","family":"Hannan","given":"Michael T.","non-dropping-particle":"","parse-names":false,"suffix":""}],"container-title":"Organization Science","id":"ITEM-1","issue":"5","issued":{"date-parts":[["2005"]]},"page":"474-490","title":"Identities, Genres, and Organizational Forms","type":"article-journal","volume":"16"},"uris":["http://www.mendeley.com/documents/?uuid=58b49de1-f9f8-4535-9975-bda6481a0ef1"]}],"mendeley":{"formattedCitation":"(Hsu &amp; Hannan, 2005)","manualFormatting":"(cfr. Hsu &amp; Hannan, 2005)","plainTextFormattedCitation":"(Hsu &amp; Hannan, 2005)","previouslyFormattedCitation":"(Hsu &amp; Hannan, 2005)"},"properties":{"noteIndex":0},"schema":"https://github.com/citation-style-language/schema/raw/master/csl-citation.json"}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(cfr. Hsu &amp; Hannan, 2005)</w:t>
      </w:r>
      <w:r w:rsidRPr="00FF4E93">
        <w:rPr>
          <w:rFonts w:eastAsia="Times New Roman"/>
          <w:sz w:val="26"/>
        </w:rPr>
        <w:fldChar w:fldCharType="end"/>
      </w:r>
      <w:r w:rsidRPr="00FF4E93">
        <w:rPr>
          <w:rFonts w:eastAsia="Times New Roman"/>
          <w:sz w:val="26"/>
        </w:rPr>
        <w:t xml:space="preserve">. This part took place during the data collection, a natural process as highlighted in the context of interviewing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{"citationItems":[{"id":"ITEM-1","itemData":{"author":[{"dropping-particle":"","family":"Langley","given":"Ann","non-dropping-particle":"","parse-names":false,"suffix":""}],"container-title":"Academy of Management Review","id":"ITEM-1","issue":"4","issued":{"date-parts":[["1999"]]},"page":"691-710","title":"Strategies for theorizing from process data","type":"article-journal","volume":"24"},"uris":["http://www.mendeley.com/documents/?uuid=62e258f3-09ac-4f68-b38d-fa59c31eff8d"]},{"id":"ITEM-2","itemData":{"author":[{"dropping-particle":"","family":"Lincoln","given":"Yvonna S.","non-dropping-particle":"","parse-names":false,"suffix":""},{"dropping-particle":"","family":"Guba","given":"Egon G.","non-dropping-particle":"","parse-names":false,"suffix":""}],"id":"ITEM-2","issued":{"date-parts":[["1985"]]},"publisher":"Sage Publications","title":"Naturalistic inquiry","type":"book"},"uris":["http://www.mendeley.com/documents/?uuid=2a28401d-7016-46ff-9f03-d1e07fd5276e"]},{"id":"ITEM-3","itemData":{"abstract":"Examining a sample of journal articles, we develop a grounded theory of contribution that shows how organization studies theorists textually construct opportunities for making contrihutions to the field. The analyses reveal two major processes and the associated rhetorical prac-tices that texts invoke in establishing opporlunilies for contribution. The study's findings point to the richness of contribution by illuminat-ing how uniqueness claims are textually produced and legitimated in Ihe context of science. The construction of contrihution in organization studies is more complicated than has been assumed. What constitutes a scientific contribution in the field of organizational studies? How do authors construct contribution in their written work? Despite the centrality of the notion of contrihution to the institution of sci-ence and the evident interest practitioners of science have in that notion, no empirical work has examined how scientific contribution in organizational studies is \"inscribed\" in written texts. In this article, we begin the empirical investigation of how contribution is constructed in organizational studies, hi doing so, we seek to develop a grounded theory of contribution by integrating and extending the traditions of others in the social sciences who have investigated scientific texts, espe-cially those in the constructivist stream of the sociology of science (cf. Davis, 1971, 1986; Knorr-Cetina, 1981; Latour &amp; Woolgar, 1979) and those wbo have incorporated a rhetorical perspective in the analysis of scientific texts (cf. Gephart, 1986, 1988; Gusfield, 1976; McCloskey, 1994). The present study focuses on the \"situated\" microprocess of language use in journal articles, the location of crucial public discourse among researchers {Winsor, 1993; Yearley. 1981; Zuckermann, 1987). It addresses three questions: (1) How do texts estahlish opportunities for contribution? (2) How do texts","author":[{"dropping-particle":"","family":"Locke","given":"Karen","non-dropping-particle":"","parse-names":false,"suffix":""},{"dropping-particle":"","family":"Golden-Biddle","given":"Karen","non-dropping-particle":"","parse-names":false,"suffix":""}],"container-title":"Academy of Management Journal","id":"ITEM-3","issue":"5","issued":{"date-parts":[["1997"]]},"page":"1023-1062","title":"Constructing opportunities for contribution: Structuring intertextual coherence and \"Problematizing\" in organizational studies","type":"article-journal","volume":"40"},"uris":["http://www.mendeley.com/documents/?uuid=a3239ea7-eba1-4b5f-aa63-1b7f7a7e2723"]}],"mendeley":{"formattedCitation":"(Langley, 1999; Lincoln &amp; Guba, 1985; Locke &amp; Golden-Biddle, 1997)","plainTextFormattedCitation":"(Langley, 1999; Lincoln &amp; Guba, 1985; Locke &amp; Golden-Biddle, 1997)","previouslyFormattedCitation":"(Langley, 1999; Lincoln &amp; Guba, 1985; Locke &amp; Golden-Biddle, 1997)"},"properties":{"noteIndex":0},"schema":"https://github.com/citation-style-language/schema/raw/master/csl-citation.json"}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(Langley, 1999; Lincoln &amp; Guba, 1985; Locke &amp; Golden-Biddle, 1997)</w:t>
      </w:r>
      <w:r w:rsidRPr="00FF4E93">
        <w:rPr>
          <w:rFonts w:eastAsia="Times New Roman"/>
          <w:sz w:val="26"/>
        </w:rPr>
        <w:fldChar w:fldCharType="end"/>
      </w:r>
      <w:r w:rsidRPr="00FF4E93">
        <w:rPr>
          <w:rFonts w:eastAsia="Times New Roman"/>
          <w:sz w:val="26"/>
        </w:rPr>
        <w:t xml:space="preserve">. </w:t>
      </w:r>
    </w:p>
    <w:p w14:paraId="4448BA96" w14:textId="77777777" w:rsidR="00151DC1" w:rsidRPr="00FF4E93" w:rsidRDefault="00151DC1" w:rsidP="00151DC1">
      <w:pPr>
        <w:spacing w:after="0"/>
        <w:rPr>
          <w:rFonts w:eastAsia="Times New Roman"/>
          <w:sz w:val="26"/>
        </w:rPr>
      </w:pPr>
      <w:r w:rsidRPr="00FF4E93">
        <w:rPr>
          <w:rFonts w:eastAsia="Times New Roman"/>
          <w:sz w:val="26"/>
        </w:rPr>
        <w:t xml:space="preserve">In the following we formalize relevant constructs to facilitate better understanding of our data analysis. We define: </w:t>
      </w:r>
    </w:p>
    <w:p w14:paraId="352AD4A6" w14:textId="77777777" w:rsidR="00151DC1" w:rsidRPr="00FF4E93" w:rsidRDefault="00151DC1" w:rsidP="00151DC1">
      <w:pPr>
        <w:spacing w:after="0"/>
        <w:jc w:val="center"/>
        <w:rPr>
          <w:rFonts w:eastAsia="Times New Roman"/>
          <w:sz w:val="26"/>
        </w:rPr>
      </w:pPr>
      <m:oMath>
        <m:r>
          <w:rPr>
            <w:rFonts w:ascii="Cambria Math" w:eastAsia="Times New Roman" w:hAnsi="Cambria Math"/>
            <w:sz w:val="26"/>
          </w:rPr>
          <m:t>P={</m:t>
        </m:r>
        <m:sSub>
          <m:sSubPr>
            <m:ctrlPr>
              <w:rPr>
                <w:rFonts w:ascii="Cambria Math" w:eastAsia="Times New Roman" w:hAnsi="Cambria Math"/>
                <w:i/>
                <w:sz w:val="26"/>
              </w:rPr>
            </m:ctrlPr>
          </m:sSubPr>
          <m:e>
            <m:r>
              <w:rPr>
                <w:rFonts w:ascii="Cambria Math" w:eastAsia="Times New Roman" w:hAnsi="Cambria Math"/>
                <w:sz w:val="26"/>
              </w:rPr>
              <m:t>p</m:t>
            </m:r>
          </m:e>
          <m:sub>
            <m:r>
              <w:rPr>
                <w:rFonts w:ascii="Cambria Math" w:eastAsia="Times New Roman" w:hAnsi="Cambria Math"/>
                <w:sz w:val="26"/>
              </w:rPr>
              <m:t>1</m:t>
            </m:r>
          </m:sub>
        </m:sSub>
        <m:r>
          <w:rPr>
            <w:rFonts w:ascii="Cambria Math" w:eastAsia="Times New Roman" w:hAnsi="Cambria Math"/>
            <w:sz w:val="26"/>
          </w:rPr>
          <m:t xml:space="preserve">, </m:t>
        </m:r>
        <m:sSub>
          <m:sSubPr>
            <m:ctrlPr>
              <w:rPr>
                <w:rFonts w:ascii="Cambria Math" w:eastAsia="Times New Roman" w:hAnsi="Cambria Math"/>
                <w:i/>
                <w:sz w:val="26"/>
              </w:rPr>
            </m:ctrlPr>
          </m:sSubPr>
          <m:e>
            <m:r>
              <w:rPr>
                <w:rFonts w:ascii="Cambria Math" w:eastAsia="Times New Roman" w:hAnsi="Cambria Math"/>
                <w:sz w:val="26"/>
              </w:rPr>
              <m:t>p</m:t>
            </m:r>
          </m:e>
          <m:sub>
            <m:r>
              <w:rPr>
                <w:rFonts w:ascii="Cambria Math" w:eastAsia="Times New Roman" w:hAnsi="Cambria Math"/>
                <w:sz w:val="26"/>
              </w:rPr>
              <m:t>2</m:t>
            </m:r>
          </m:sub>
        </m:sSub>
        <m:r>
          <w:rPr>
            <w:rFonts w:ascii="Cambria Math" w:eastAsia="Times New Roman" w:hAnsi="Cambria Math"/>
            <w:sz w:val="26"/>
          </w:rPr>
          <m:t>,…</m:t>
        </m:r>
        <m:sSub>
          <m:sSubPr>
            <m:ctrlPr>
              <w:rPr>
                <w:rFonts w:ascii="Cambria Math" w:eastAsia="Times New Roman" w:hAnsi="Cambria Math"/>
                <w:i/>
                <w:sz w:val="26"/>
              </w:rPr>
            </m:ctrlPr>
          </m:sSubPr>
          <m:e>
            <m:r>
              <w:rPr>
                <w:rFonts w:ascii="Cambria Math" w:eastAsia="Times New Roman" w:hAnsi="Cambria Math"/>
                <w:sz w:val="26"/>
              </w:rPr>
              <m:t>p</m:t>
            </m:r>
          </m:e>
          <m:sub>
            <m:r>
              <w:rPr>
                <w:rFonts w:ascii="Cambria Math" w:eastAsia="Times New Roman" w:hAnsi="Cambria Math"/>
                <w:sz w:val="26"/>
              </w:rPr>
              <m:t>60</m:t>
            </m:r>
          </m:sub>
        </m:sSub>
        <m:r>
          <w:rPr>
            <w:rFonts w:ascii="Cambria Math" w:eastAsia="Times New Roman" w:hAnsi="Cambria Math"/>
            <w:sz w:val="26"/>
          </w:rPr>
          <m:t>}</m:t>
        </m:r>
      </m:oMath>
      <w:r w:rsidRPr="00FF4E93">
        <w:rPr>
          <w:rFonts w:eastAsia="Times New Roman"/>
          <w:sz w:val="26"/>
        </w:rPr>
        <w:t>,</w:t>
      </w:r>
    </w:p>
    <w:p w14:paraId="472CBB12" w14:textId="77777777" w:rsidR="00151DC1" w:rsidRPr="00FF4E93" w:rsidRDefault="00151DC1" w:rsidP="00151DC1">
      <w:pPr>
        <w:spacing w:after="0"/>
        <w:rPr>
          <w:rFonts w:eastAsia="Times New Roman"/>
          <w:sz w:val="26"/>
        </w:rPr>
      </w:pPr>
      <w:r w:rsidRPr="00FF4E93">
        <w:rPr>
          <w:rFonts w:eastAsia="Times New Roman"/>
          <w:sz w:val="26"/>
        </w:rPr>
        <w:t xml:space="preserve">where </w:t>
      </w:r>
      <m:oMath>
        <m:r>
          <w:rPr>
            <w:rFonts w:ascii="Cambria Math" w:eastAsia="Times New Roman" w:hAnsi="Cambria Math"/>
            <w:sz w:val="26"/>
          </w:rPr>
          <m:t>P</m:t>
        </m:r>
      </m:oMath>
      <w:r w:rsidRPr="00FF4E93">
        <w:rPr>
          <w:rFonts w:eastAsia="Times New Roman"/>
          <w:sz w:val="26"/>
        </w:rPr>
        <w:t xml:space="preserve"> is the set of considered patterns with </w:t>
      </w:r>
      <m:oMath>
        <m:sSub>
          <m:sSubPr>
            <m:ctrlPr>
              <w:rPr>
                <w:rFonts w:ascii="Cambria Math" w:eastAsia="Times New Roman" w:hAnsi="Cambria Math"/>
                <w:i/>
                <w:sz w:val="26"/>
              </w:rPr>
            </m:ctrlPr>
          </m:sSubPr>
          <m:e>
            <m:r>
              <w:rPr>
                <w:rFonts w:ascii="Cambria Math" w:eastAsia="Times New Roman" w:hAnsi="Cambria Math"/>
                <w:sz w:val="26"/>
              </w:rPr>
              <m:t>p</m:t>
            </m:r>
          </m:e>
          <m:sub>
            <m:r>
              <w:rPr>
                <w:rFonts w:ascii="Cambria Math" w:eastAsia="Times New Roman" w:hAnsi="Cambria Math"/>
                <w:sz w:val="26"/>
              </w:rPr>
              <m:t>1</m:t>
            </m:r>
          </m:sub>
        </m:sSub>
        <m:r>
          <w:rPr>
            <w:rFonts w:ascii="Cambria Math" w:eastAsia="Times New Roman" w:hAnsi="Cambria Math"/>
            <w:sz w:val="26"/>
          </w:rPr>
          <m:t xml:space="preserve">=Add–on, </m:t>
        </m:r>
        <m:sSub>
          <m:sSubPr>
            <m:ctrlPr>
              <w:rPr>
                <w:rFonts w:ascii="Cambria Math" w:eastAsia="Times New Roman" w:hAnsi="Cambria Math"/>
                <w:i/>
                <w:sz w:val="26"/>
              </w:rPr>
            </m:ctrlPr>
          </m:sSubPr>
          <m:e>
            <m:r>
              <w:rPr>
                <w:rFonts w:ascii="Cambria Math" w:eastAsia="Times New Roman" w:hAnsi="Cambria Math"/>
                <w:sz w:val="26"/>
              </w:rPr>
              <m:t>p</m:t>
            </m:r>
          </m:e>
          <m:sub>
            <m:r>
              <w:rPr>
                <w:rFonts w:ascii="Cambria Math" w:eastAsia="Times New Roman" w:hAnsi="Cambria Math"/>
                <w:sz w:val="26"/>
              </w:rPr>
              <m:t>2</m:t>
            </m:r>
          </m:sub>
        </m:sSub>
        <m:r>
          <w:rPr>
            <w:rFonts w:ascii="Cambria Math" w:eastAsia="Times New Roman" w:hAnsi="Cambria Math"/>
            <w:sz w:val="26"/>
          </w:rPr>
          <m:t xml:space="preserve">,=Affiliation , </m:t>
        </m:r>
      </m:oMath>
      <w:r w:rsidRPr="00FF4E93">
        <w:rPr>
          <w:rFonts w:eastAsia="Times New Roman"/>
          <w:sz w:val="26"/>
        </w:rPr>
        <w:t>etc. We further define:</w:t>
      </w:r>
    </w:p>
    <w:p w14:paraId="1A11886B" w14:textId="77777777" w:rsidR="00151DC1" w:rsidRPr="00FF4E93" w:rsidRDefault="00151DC1" w:rsidP="00151DC1">
      <w:pPr>
        <w:spacing w:after="0"/>
        <w:jc w:val="center"/>
        <w:rPr>
          <w:rFonts w:eastAsia="Times New Roman"/>
          <w:sz w:val="26"/>
        </w:rPr>
      </w:pPr>
      <m:oMath>
        <m:r>
          <w:rPr>
            <w:rFonts w:ascii="Cambria Math" w:eastAsia="Times New Roman" w:hAnsi="Cambria Math"/>
            <w:sz w:val="26"/>
          </w:rPr>
          <m:t>V={</m:t>
        </m:r>
        <m:sSub>
          <m:sSubPr>
            <m:ctrlPr>
              <w:rPr>
                <w:rFonts w:ascii="Cambria Math" w:eastAsia="Times New Roman" w:hAnsi="Cambria Math"/>
                <w:i/>
                <w:sz w:val="26"/>
              </w:rPr>
            </m:ctrlPr>
          </m:sSubPr>
          <m:e>
            <m:r>
              <w:rPr>
                <w:rFonts w:ascii="Cambria Math" w:eastAsia="Times New Roman" w:hAnsi="Cambria Math"/>
                <w:sz w:val="26"/>
              </w:rPr>
              <m:t>v</m:t>
            </m:r>
          </m:e>
          <m:sub>
            <m:r>
              <w:rPr>
                <w:rFonts w:ascii="Cambria Math" w:eastAsia="Times New Roman" w:hAnsi="Cambria Math"/>
                <w:sz w:val="26"/>
              </w:rPr>
              <m:t>1</m:t>
            </m:r>
          </m:sub>
        </m:sSub>
        <m:r>
          <w:rPr>
            <w:rFonts w:ascii="Cambria Math" w:eastAsia="Times New Roman" w:hAnsi="Cambria Math"/>
            <w:sz w:val="26"/>
          </w:rPr>
          <m:t xml:space="preserve">, </m:t>
        </m:r>
        <m:sSub>
          <m:sSubPr>
            <m:ctrlPr>
              <w:rPr>
                <w:rFonts w:ascii="Cambria Math" w:eastAsia="Times New Roman" w:hAnsi="Cambria Math"/>
                <w:i/>
                <w:sz w:val="26"/>
              </w:rPr>
            </m:ctrlPr>
          </m:sSubPr>
          <m:e>
            <m:r>
              <w:rPr>
                <w:rFonts w:ascii="Cambria Math" w:eastAsia="Times New Roman" w:hAnsi="Cambria Math"/>
                <w:sz w:val="26"/>
              </w:rPr>
              <m:t>v</m:t>
            </m:r>
          </m:e>
          <m:sub>
            <m:r>
              <w:rPr>
                <w:rFonts w:ascii="Cambria Math" w:eastAsia="Times New Roman" w:hAnsi="Cambria Math"/>
                <w:sz w:val="26"/>
              </w:rPr>
              <m:t>2</m:t>
            </m:r>
          </m:sub>
        </m:sSub>
        <m:r>
          <w:rPr>
            <w:rFonts w:ascii="Cambria Math" w:eastAsia="Times New Roman" w:hAnsi="Cambria Math"/>
            <w:sz w:val="26"/>
          </w:rPr>
          <m:t>,…</m:t>
        </m:r>
        <m:sSub>
          <m:sSubPr>
            <m:ctrlPr>
              <w:rPr>
                <w:rFonts w:ascii="Cambria Math" w:eastAsia="Times New Roman" w:hAnsi="Cambria Math"/>
                <w:i/>
                <w:sz w:val="26"/>
              </w:rPr>
            </m:ctrlPr>
          </m:sSubPr>
          <m:e>
            <m:r>
              <w:rPr>
                <w:rFonts w:ascii="Cambria Math" w:eastAsia="Times New Roman" w:hAnsi="Cambria Math"/>
                <w:sz w:val="26"/>
              </w:rPr>
              <m:t>v</m:t>
            </m:r>
          </m:e>
          <m:sub>
            <m:r>
              <w:rPr>
                <w:rFonts w:ascii="Cambria Math" w:eastAsia="Times New Roman" w:hAnsi="Cambria Math"/>
                <w:sz w:val="26"/>
              </w:rPr>
              <m:t>730</m:t>
            </m:r>
          </m:sub>
        </m:sSub>
        <m:r>
          <w:rPr>
            <w:rFonts w:ascii="Cambria Math" w:eastAsia="Times New Roman" w:hAnsi="Cambria Math"/>
            <w:sz w:val="26"/>
          </w:rPr>
          <m:t>}</m:t>
        </m:r>
      </m:oMath>
      <w:r w:rsidRPr="00FF4E93">
        <w:rPr>
          <w:rFonts w:eastAsia="Times New Roman"/>
          <w:sz w:val="26"/>
        </w:rPr>
        <w:t>,</w:t>
      </w:r>
    </w:p>
    <w:p w14:paraId="2DAB3369" w14:textId="77777777" w:rsidR="00151DC1" w:rsidRPr="00FF4E93" w:rsidRDefault="00151DC1" w:rsidP="00151DC1">
      <w:pPr>
        <w:spacing w:after="0"/>
        <w:rPr>
          <w:rFonts w:eastAsia="Times New Roman"/>
          <w:sz w:val="26"/>
        </w:rPr>
      </w:pPr>
      <w:r w:rsidRPr="00FF4E93">
        <w:rPr>
          <w:rFonts w:eastAsia="Times New Roman"/>
          <w:sz w:val="26"/>
        </w:rPr>
        <w:t xml:space="preserve">where </w:t>
      </w:r>
      <m:oMath>
        <m:r>
          <w:rPr>
            <w:rFonts w:ascii="Cambria Math" w:eastAsia="Times New Roman" w:hAnsi="Cambria Math"/>
            <w:sz w:val="26"/>
          </w:rPr>
          <m:t>V</m:t>
        </m:r>
      </m:oMath>
      <w:r w:rsidRPr="00FF4E93">
        <w:rPr>
          <w:rFonts w:eastAsia="Times New Roman"/>
          <w:sz w:val="26"/>
        </w:rPr>
        <w:t xml:space="preserve"> is the set of ventures with </w:t>
      </w:r>
      <m:oMath>
        <m:sSub>
          <m:sSubPr>
            <m:ctrlPr>
              <w:rPr>
                <w:rFonts w:ascii="Cambria Math" w:eastAsia="Times New Roman" w:hAnsi="Cambria Math"/>
                <w:i/>
                <w:sz w:val="26"/>
              </w:rPr>
            </m:ctrlPr>
          </m:sSubPr>
          <m:e>
            <m:r>
              <w:rPr>
                <w:rFonts w:ascii="Cambria Math" w:eastAsia="Times New Roman" w:hAnsi="Cambria Math"/>
                <w:sz w:val="26"/>
              </w:rPr>
              <m:t>v</m:t>
            </m:r>
          </m:e>
          <m:sub>
            <m:r>
              <w:rPr>
                <w:rFonts w:ascii="Cambria Math" w:eastAsia="Times New Roman" w:hAnsi="Cambria Math"/>
                <w:sz w:val="26"/>
              </w:rPr>
              <m:t>1</m:t>
            </m:r>
          </m:sub>
        </m:sSub>
        <m:r>
          <w:rPr>
            <w:rFonts w:ascii="Cambria Math" w:eastAsia="Times New Roman" w:hAnsi="Cambria Math"/>
            <w:sz w:val="26"/>
          </w:rPr>
          <m:t xml:space="preserve">=ABC Fintech, </m:t>
        </m:r>
        <m:sSub>
          <m:sSubPr>
            <m:ctrlPr>
              <w:rPr>
                <w:rFonts w:ascii="Cambria Math" w:eastAsia="Times New Roman" w:hAnsi="Cambria Math"/>
                <w:i/>
                <w:sz w:val="26"/>
              </w:rPr>
            </m:ctrlPr>
          </m:sSubPr>
          <m:e>
            <m:r>
              <w:rPr>
                <w:rFonts w:ascii="Cambria Math" w:eastAsia="Times New Roman" w:hAnsi="Cambria Math"/>
                <w:sz w:val="26"/>
              </w:rPr>
              <m:t>v</m:t>
            </m:r>
          </m:e>
          <m:sub>
            <m:r>
              <w:rPr>
                <w:rFonts w:ascii="Cambria Math" w:eastAsia="Times New Roman" w:hAnsi="Cambria Math"/>
                <w:sz w:val="26"/>
              </w:rPr>
              <m:t>2</m:t>
            </m:r>
          </m:sub>
        </m:sSub>
        <m:r>
          <w:rPr>
            <w:rFonts w:ascii="Cambria Math" w:eastAsia="Times New Roman" w:hAnsi="Cambria Math"/>
            <w:sz w:val="26"/>
          </w:rPr>
          <m:t>,=Acalvio Technologies,</m:t>
        </m:r>
      </m:oMath>
      <w:r w:rsidRPr="00FF4E93">
        <w:rPr>
          <w:rFonts w:eastAsia="Times New Roman"/>
          <w:sz w:val="26"/>
        </w:rPr>
        <w:t xml:space="preserve"> etc</w:t>
      </w:r>
      <w:r w:rsidRPr="00FF4E93">
        <w:rPr>
          <w:rFonts w:eastAsia="Times New Roman"/>
          <w:i/>
          <w:sz w:val="26"/>
        </w:rPr>
        <w:t>.</w:t>
      </w:r>
      <w:r w:rsidRPr="00FF4E93">
        <w:rPr>
          <w:rFonts w:eastAsia="Times New Roman"/>
          <w:sz w:val="26"/>
        </w:rPr>
        <w:t xml:space="preserve"> Let </w:t>
      </w:r>
      <w:r w:rsidRPr="00FF4E93">
        <w:rPr>
          <w:rFonts w:eastAsia="Times New Roman"/>
          <w:i/>
          <w:sz w:val="26"/>
        </w:rPr>
        <w:t xml:space="preserve">p </w:t>
      </w:r>
      <m:oMath>
        <m:r>
          <w:rPr>
            <w:rFonts w:ascii="Cambria Math" w:eastAsia="Times New Roman" w:hAnsi="Cambria Math"/>
            <w:sz w:val="26"/>
          </w:rPr>
          <m:t xml:space="preserve">∈ </m:t>
        </m:r>
      </m:oMath>
      <w:r w:rsidRPr="00FF4E93">
        <w:rPr>
          <w:rFonts w:eastAsia="Times New Roman"/>
          <w:i/>
          <w:sz w:val="26"/>
        </w:rPr>
        <w:t xml:space="preserve">P </w:t>
      </w:r>
      <w:r w:rsidRPr="00FF4E93">
        <w:rPr>
          <w:rFonts w:eastAsia="Times New Roman"/>
          <w:sz w:val="26"/>
        </w:rPr>
        <w:t>and</w:t>
      </w:r>
      <w:r w:rsidRPr="00FF4E93">
        <w:rPr>
          <w:rFonts w:eastAsia="Times New Roman"/>
          <w:i/>
          <w:sz w:val="26"/>
        </w:rPr>
        <w:t xml:space="preserve"> v </w:t>
      </w:r>
      <m:oMath>
        <m:r>
          <w:rPr>
            <w:rFonts w:ascii="Cambria Math" w:eastAsia="Times New Roman" w:hAnsi="Cambria Math"/>
            <w:sz w:val="26"/>
          </w:rPr>
          <m:t xml:space="preserve">∈ </m:t>
        </m:r>
      </m:oMath>
      <w:r w:rsidRPr="00FF4E93">
        <w:rPr>
          <w:rFonts w:eastAsia="Times New Roman"/>
          <w:i/>
          <w:sz w:val="26"/>
        </w:rPr>
        <w:t xml:space="preserve">V. </w:t>
      </w:r>
      <w:r w:rsidRPr="00FF4E93">
        <w:rPr>
          <w:rFonts w:eastAsia="Times New Roman"/>
          <w:sz w:val="26"/>
        </w:rPr>
        <w:t>For the assignment of patterns, we define:</w:t>
      </w:r>
    </w:p>
    <w:p w14:paraId="1BE00203" w14:textId="77777777" w:rsidR="00151DC1" w:rsidRPr="00FF4E93" w:rsidRDefault="006A0129" w:rsidP="00151DC1">
      <w:pPr>
        <w:spacing w:after="0"/>
        <w:jc w:val="center"/>
        <w:rPr>
          <w:rFonts w:eastAsia="Times New Roman"/>
          <w:sz w:val="26"/>
        </w:rPr>
      </w:pPr>
      <m:oMath>
        <m:sSub>
          <m:sSubPr>
            <m:ctrlPr>
              <w:rPr>
                <w:rFonts w:ascii="Cambria Math" w:eastAsia="Times New Roman" w:hAnsi="Cambria Math"/>
                <w:i/>
                <w:sz w:val="26"/>
              </w:rPr>
            </m:ctrlPr>
          </m:sSubPr>
          <m:e>
            <m:r>
              <w:rPr>
                <w:rFonts w:ascii="Cambria Math" w:eastAsia="Times New Roman" w:hAnsi="Cambria Math"/>
                <w:sz w:val="26"/>
              </w:rPr>
              <m:t>σ</m:t>
            </m:r>
          </m:e>
          <m:sub>
            <m:r>
              <w:rPr>
                <w:rFonts w:ascii="Cambria Math" w:eastAsia="Times New Roman" w:hAnsi="Cambria Math"/>
                <w:sz w:val="26"/>
              </w:rPr>
              <m:t>p</m:t>
            </m:r>
          </m:sub>
        </m:sSub>
        <m:d>
          <m:dPr>
            <m:ctrlPr>
              <w:rPr>
                <w:rFonts w:ascii="Cambria Math" w:eastAsia="Times New Roman" w:hAnsi="Cambria Math"/>
                <w:i/>
                <w:sz w:val="26"/>
              </w:rPr>
            </m:ctrlPr>
          </m:dPr>
          <m:e>
            <m:r>
              <w:rPr>
                <w:rFonts w:ascii="Cambria Math" w:eastAsia="Times New Roman" w:hAnsi="Cambria Math"/>
                <w:sz w:val="26"/>
              </w:rPr>
              <m:t>v</m:t>
            </m:r>
          </m:e>
        </m:d>
        <m:r>
          <w:rPr>
            <w:rFonts w:ascii="Cambria Math" w:eastAsia="Times New Roman" w:hAnsi="Cambria Math"/>
            <w:sz w:val="26"/>
          </w:rPr>
          <m:t>∈{0,1}</m:t>
        </m:r>
      </m:oMath>
      <w:r w:rsidR="00151DC1" w:rsidRPr="00FF4E93">
        <w:rPr>
          <w:rFonts w:eastAsia="Times New Roman"/>
          <w:sz w:val="26"/>
        </w:rPr>
        <w:t>:=F</w:t>
      </w:r>
      <w:r w:rsidR="00151DC1" w:rsidRPr="00FF4E93">
        <w:rPr>
          <w:rFonts w:eastAsia="Times New Roman"/>
          <w:sz w:val="26"/>
          <w:vertAlign w:val="subscript"/>
        </w:rPr>
        <w:t>2</w:t>
      </w:r>
    </w:p>
    <w:p w14:paraId="7BB9EFC6" w14:textId="77777777" w:rsidR="00151DC1" w:rsidRPr="00FF4E93" w:rsidRDefault="00151DC1" w:rsidP="00151DC1">
      <w:pPr>
        <w:spacing w:after="0"/>
        <w:rPr>
          <w:rFonts w:eastAsia="Times New Roman"/>
          <w:sz w:val="26"/>
        </w:rPr>
      </w:pPr>
      <w:r w:rsidRPr="00FF4E93">
        <w:rPr>
          <w:rFonts w:eastAsia="Times New Roman"/>
          <w:sz w:val="26"/>
        </w:rPr>
        <w:t xml:space="preserve">Here, </w:t>
      </w:r>
      <m:oMath>
        <m:sSub>
          <m:sSubPr>
            <m:ctrlPr>
              <w:rPr>
                <w:rFonts w:ascii="Cambria Math" w:eastAsia="Times New Roman" w:hAnsi="Cambria Math"/>
                <w:i/>
                <w:sz w:val="26"/>
              </w:rPr>
            </m:ctrlPr>
          </m:sSubPr>
          <m:e>
            <m:r>
              <w:rPr>
                <w:rFonts w:ascii="Cambria Math" w:eastAsia="Times New Roman" w:hAnsi="Cambria Math"/>
                <w:sz w:val="26"/>
              </w:rPr>
              <m:t>σ</m:t>
            </m:r>
          </m:e>
          <m:sub>
            <m:r>
              <w:rPr>
                <w:rFonts w:ascii="Cambria Math" w:eastAsia="Times New Roman" w:hAnsi="Cambria Math"/>
                <w:sz w:val="26"/>
              </w:rPr>
              <m:t>p</m:t>
            </m:r>
          </m:sub>
        </m:sSub>
        <m:d>
          <m:dPr>
            <m:ctrlPr>
              <w:rPr>
                <w:rFonts w:ascii="Cambria Math" w:eastAsia="Times New Roman" w:hAnsi="Cambria Math"/>
                <w:i/>
                <w:sz w:val="26"/>
              </w:rPr>
            </m:ctrlPr>
          </m:dPr>
          <m:e>
            <m:r>
              <w:rPr>
                <w:rFonts w:ascii="Cambria Math" w:eastAsia="Times New Roman" w:hAnsi="Cambria Math"/>
                <w:sz w:val="26"/>
              </w:rPr>
              <m:t>v</m:t>
            </m:r>
          </m:e>
        </m:d>
      </m:oMath>
      <w:r w:rsidRPr="00FF4E93">
        <w:rPr>
          <w:rFonts w:eastAsia="Times New Roman"/>
          <w:sz w:val="26"/>
        </w:rPr>
        <w:t xml:space="preserve"> describes if </w:t>
      </w:r>
      <m:oMath>
        <m:r>
          <w:rPr>
            <w:rFonts w:ascii="Cambria Math" w:eastAsia="Times New Roman" w:hAnsi="Cambria Math"/>
            <w:sz w:val="26"/>
          </w:rPr>
          <m:t>v</m:t>
        </m:r>
      </m:oMath>
      <w:r w:rsidRPr="00FF4E93">
        <w:rPr>
          <w:rFonts w:eastAsia="Times New Roman"/>
          <w:sz w:val="26"/>
        </w:rPr>
        <w:t xml:space="preserve"> applies the pattern</w:t>
      </w:r>
      <m:oMath>
        <m:r>
          <w:rPr>
            <w:rFonts w:ascii="Cambria Math" w:eastAsia="Times New Roman" w:hAnsi="Cambria Math"/>
            <w:sz w:val="26"/>
          </w:rPr>
          <m:t xml:space="preserve"> p</m:t>
        </m:r>
      </m:oMath>
      <w:r w:rsidRPr="00FF4E93">
        <w:rPr>
          <w:rFonts w:eastAsia="Times New Roman"/>
          <w:sz w:val="26"/>
        </w:rPr>
        <w:t xml:space="preserve"> (1) or not (0). We also define:</w:t>
      </w:r>
    </w:p>
    <w:p w14:paraId="27307219" w14:textId="77777777" w:rsidR="00151DC1" w:rsidRPr="00FF4E93" w:rsidRDefault="00151DC1" w:rsidP="00151DC1">
      <w:pPr>
        <w:spacing w:after="0"/>
        <w:jc w:val="center"/>
        <w:rPr>
          <w:rFonts w:eastAsia="Times New Roman"/>
          <w:sz w:val="26"/>
        </w:rPr>
      </w:pPr>
      <m:oMathPara>
        <m:oMathParaPr>
          <m:jc m:val="center"/>
        </m:oMathParaPr>
        <m:oMath>
          <m:r>
            <w:rPr>
              <w:rFonts w:ascii="Cambria Math" w:eastAsia="Times New Roman" w:hAnsi="Cambria Math"/>
              <w:sz w:val="26"/>
            </w:rPr>
            <m:t>σ</m:t>
          </m:r>
          <m:d>
            <m:dPr>
              <m:ctrlPr>
                <w:rPr>
                  <w:rFonts w:ascii="Cambria Math" w:eastAsia="Times New Roman" w:hAnsi="Cambria Math"/>
                  <w:i/>
                  <w:sz w:val="26"/>
                </w:rPr>
              </m:ctrlPr>
            </m:dPr>
            <m:e>
              <m:r>
                <w:rPr>
                  <w:rFonts w:ascii="Cambria Math" w:eastAsia="Times New Roman" w:hAnsi="Cambria Math"/>
                  <w:sz w:val="26"/>
                </w:rPr>
                <m:t>v</m:t>
              </m:r>
            </m:e>
          </m:d>
          <m:r>
            <w:rPr>
              <w:rFonts w:ascii="Cambria Math" w:eastAsia="Times New Roman" w:hAnsi="Cambria Math"/>
              <w:sz w:val="26"/>
            </w:rPr>
            <m:t>=</m:t>
          </m:r>
          <m:d>
            <m:dPr>
              <m:ctrlPr>
                <w:rPr>
                  <w:rFonts w:ascii="Cambria Math" w:eastAsia="Times New Roman" w:hAnsi="Cambria Math"/>
                  <w:i/>
                  <w:sz w:val="26"/>
                </w:rPr>
              </m:ctrlPr>
            </m:dPr>
            <m:e>
              <m:sSub>
                <m:sSubPr>
                  <m:ctrlPr>
                    <w:rPr>
                      <w:rFonts w:ascii="Cambria Math" w:eastAsia="Times New Roman" w:hAnsi="Cambria Math"/>
                      <w:i/>
                      <w:sz w:val="26"/>
                    </w:rPr>
                  </m:ctrlPr>
                </m:sSubPr>
                <m:e>
                  <m:r>
                    <w:rPr>
                      <w:rFonts w:ascii="Cambria Math" w:eastAsia="Times New Roman" w:hAnsi="Cambria Math"/>
                      <w:sz w:val="26"/>
                    </w:rPr>
                    <m:t>σ</m:t>
                  </m:r>
                </m:e>
                <m:sub>
                  <m:sSub>
                    <m:sSubPr>
                      <m:ctrlPr>
                        <w:rPr>
                          <w:rFonts w:ascii="Cambria Math" w:eastAsia="Times New Roman" w:hAnsi="Cambria Math"/>
                          <w:i/>
                          <w:sz w:val="26"/>
                        </w:rPr>
                      </m:ctrlPr>
                    </m:sSubPr>
                    <m:e>
                      <m:r>
                        <w:rPr>
                          <w:rFonts w:ascii="Cambria Math" w:eastAsia="Times New Roman" w:hAnsi="Cambria Math"/>
                          <w:sz w:val="26"/>
                        </w:rPr>
                        <m:t>p</m:t>
                      </m:r>
                    </m:e>
                    <m:sub>
                      <m:r>
                        <w:rPr>
                          <w:rFonts w:ascii="Cambria Math" w:eastAsia="Times New Roman" w:hAnsi="Cambria Math"/>
                          <w:sz w:val="26"/>
                        </w:rPr>
                        <m:t>1</m:t>
                      </m:r>
                    </m:sub>
                  </m:sSub>
                </m:sub>
              </m:sSub>
              <m:d>
                <m:dPr>
                  <m:ctrlPr>
                    <w:rPr>
                      <w:rFonts w:ascii="Cambria Math" w:eastAsia="Times New Roman" w:hAnsi="Cambria Math"/>
                      <w:i/>
                      <w:sz w:val="26"/>
                    </w:rPr>
                  </m:ctrlPr>
                </m:dPr>
                <m:e>
                  <m:r>
                    <w:rPr>
                      <w:rFonts w:ascii="Cambria Math" w:eastAsia="Times New Roman" w:hAnsi="Cambria Math"/>
                      <w:sz w:val="26"/>
                    </w:rPr>
                    <m:t>v</m:t>
                  </m:r>
                </m:e>
              </m:d>
              <m:r>
                <w:rPr>
                  <w:rFonts w:ascii="Cambria Math" w:eastAsia="Times New Roman" w:hAnsi="Cambria Math"/>
                  <w:sz w:val="26"/>
                </w:rPr>
                <m:t xml:space="preserve">, </m:t>
              </m:r>
              <m:sSub>
                <m:sSubPr>
                  <m:ctrlPr>
                    <w:rPr>
                      <w:rFonts w:ascii="Cambria Math" w:eastAsia="Times New Roman" w:hAnsi="Cambria Math"/>
                      <w:i/>
                      <w:sz w:val="26"/>
                    </w:rPr>
                  </m:ctrlPr>
                </m:sSubPr>
                <m:e>
                  <m:r>
                    <w:rPr>
                      <w:rFonts w:ascii="Cambria Math" w:eastAsia="Times New Roman" w:hAnsi="Cambria Math"/>
                      <w:sz w:val="26"/>
                    </w:rPr>
                    <m:t>σ</m:t>
                  </m:r>
                </m:e>
                <m:sub>
                  <m:sSub>
                    <m:sSubPr>
                      <m:ctrlPr>
                        <w:rPr>
                          <w:rFonts w:ascii="Cambria Math" w:eastAsia="Times New Roman" w:hAnsi="Cambria Math"/>
                          <w:i/>
                          <w:sz w:val="26"/>
                        </w:rPr>
                      </m:ctrlPr>
                    </m:sSubPr>
                    <m:e>
                      <m:r>
                        <w:rPr>
                          <w:rFonts w:ascii="Cambria Math" w:eastAsia="Times New Roman" w:hAnsi="Cambria Math"/>
                          <w:sz w:val="26"/>
                        </w:rPr>
                        <m:t>p</m:t>
                      </m:r>
                    </m:e>
                    <m:sub>
                      <m:r>
                        <w:rPr>
                          <w:rFonts w:ascii="Cambria Math" w:eastAsia="Times New Roman" w:hAnsi="Cambria Math"/>
                          <w:sz w:val="26"/>
                        </w:rPr>
                        <m:t>2</m:t>
                      </m:r>
                    </m:sub>
                  </m:sSub>
                </m:sub>
              </m:sSub>
              <m:d>
                <m:dPr>
                  <m:ctrlPr>
                    <w:rPr>
                      <w:rFonts w:ascii="Cambria Math" w:eastAsia="Times New Roman" w:hAnsi="Cambria Math"/>
                      <w:i/>
                      <w:sz w:val="26"/>
                    </w:rPr>
                  </m:ctrlPr>
                </m:dPr>
                <m:e>
                  <m:r>
                    <w:rPr>
                      <w:rFonts w:ascii="Cambria Math" w:eastAsia="Times New Roman" w:hAnsi="Cambria Math"/>
                      <w:sz w:val="26"/>
                    </w:rPr>
                    <m:t>v</m:t>
                  </m:r>
                </m:e>
              </m:d>
              <m:r>
                <w:rPr>
                  <w:rFonts w:ascii="Cambria Math" w:eastAsia="Times New Roman" w:hAnsi="Cambria Math"/>
                  <w:sz w:val="26"/>
                </w:rPr>
                <m:t>,…</m:t>
              </m:r>
            </m:e>
          </m:d>
          <m:r>
            <w:rPr>
              <w:rFonts w:ascii="Cambria Math" w:eastAsia="Times New Roman" w:hAnsi="Cambria Math"/>
              <w:sz w:val="26"/>
            </w:rPr>
            <m:t>∈</m:t>
          </m:r>
          <m:nary>
            <m:naryPr>
              <m:chr m:val="∏"/>
              <m:limLoc m:val="undOvr"/>
              <m:supHide m:val="1"/>
              <m:ctrlPr>
                <w:rPr>
                  <w:rFonts w:ascii="Cambria Math" w:eastAsia="Times New Roman" w:hAnsi="Cambria Math"/>
                  <w:i/>
                  <w:sz w:val="26"/>
                </w:rPr>
              </m:ctrlPr>
            </m:naryPr>
            <m:sub>
              <m:sSub>
                <m:sSubPr>
                  <m:ctrlPr>
                    <w:rPr>
                      <w:rFonts w:ascii="Cambria Math" w:eastAsia="Times New Roman" w:hAnsi="Cambria Math"/>
                      <w:i/>
                      <w:sz w:val="26"/>
                    </w:rPr>
                  </m:ctrlPr>
                </m:sSubPr>
                <m:e>
                  <m:r>
                    <w:rPr>
                      <w:rFonts w:ascii="Cambria Math" w:eastAsia="Times New Roman" w:hAnsi="Cambria Math"/>
                      <w:sz w:val="26"/>
                    </w:rPr>
                    <m:t>p</m:t>
                  </m:r>
                </m:e>
                <m:sub>
                  <m:r>
                    <w:rPr>
                      <w:rFonts w:ascii="Cambria Math" w:eastAsia="Times New Roman" w:hAnsi="Cambria Math"/>
                      <w:sz w:val="26"/>
                    </w:rPr>
                    <m:t>i</m:t>
                  </m:r>
                </m:sub>
              </m:sSub>
              <m:r>
                <w:rPr>
                  <w:rFonts w:ascii="Cambria Math" w:eastAsia="Times New Roman" w:hAnsi="Cambria Math"/>
                  <w:sz w:val="26"/>
                </w:rPr>
                <m:t>∈P</m:t>
              </m:r>
            </m:sub>
            <m:sup/>
            <m:e>
              <m:sSub>
                <m:sSubPr>
                  <m:ctrlPr>
                    <w:rPr>
                      <w:rFonts w:ascii="Cambria Math" w:eastAsia="Times New Roman" w:hAnsi="Cambria Math"/>
                      <w:i/>
                      <w:sz w:val="26"/>
                    </w:rPr>
                  </m:ctrlPr>
                </m:sSubPr>
                <m:e>
                  <m:r>
                    <w:rPr>
                      <w:rFonts w:ascii="Cambria Math" w:eastAsia="Times New Roman" w:hAnsi="Cambria Math"/>
                      <w:sz w:val="26"/>
                    </w:rPr>
                    <m:t>Ϝ</m:t>
                  </m:r>
                </m:e>
                <m:sub>
                  <m:r>
                    <w:rPr>
                      <w:rFonts w:ascii="Cambria Math" w:eastAsia="Times New Roman" w:hAnsi="Cambria Math"/>
                      <w:sz w:val="26"/>
                    </w:rPr>
                    <m:t>2</m:t>
                  </m:r>
                </m:sub>
              </m:sSub>
              <m:r>
                <w:rPr>
                  <w:rFonts w:ascii="Cambria Math" w:eastAsia="Times New Roman" w:hAnsi="Cambria Math"/>
                  <w:sz w:val="26"/>
                </w:rPr>
                <m:t>=</m:t>
              </m:r>
              <m:sSub>
                <m:sSubPr>
                  <m:ctrlPr>
                    <w:rPr>
                      <w:rFonts w:ascii="Cambria Math" w:eastAsia="Times New Roman" w:hAnsi="Cambria Math"/>
                      <w:i/>
                      <w:sz w:val="26"/>
                    </w:rPr>
                  </m:ctrlPr>
                </m:sSubPr>
                <m:e>
                  <m:r>
                    <w:rPr>
                      <w:rFonts w:ascii="Cambria Math" w:eastAsia="Times New Roman" w:hAnsi="Cambria Math"/>
                      <w:sz w:val="26"/>
                    </w:rPr>
                    <m:t>P</m:t>
                  </m:r>
                </m:e>
                <m:sub>
                  <m:r>
                    <w:rPr>
                      <w:rFonts w:ascii="Cambria Math" w:eastAsia="Times New Roman" w:hAnsi="Cambria Math"/>
                      <w:sz w:val="26"/>
                    </w:rPr>
                    <m:t>P</m:t>
                  </m:r>
                </m:sub>
              </m:sSub>
            </m:e>
          </m:nary>
        </m:oMath>
      </m:oMathPara>
    </w:p>
    <w:p w14:paraId="0895E39B" w14:textId="3C0F12FA" w:rsidR="00151DC1" w:rsidRPr="00FF4E93" w:rsidRDefault="00151DC1" w:rsidP="00151DC1">
      <w:pPr>
        <w:spacing w:after="0"/>
        <w:rPr>
          <w:rFonts w:eastAsia="Times New Roman"/>
          <w:sz w:val="26"/>
        </w:rPr>
      </w:pPr>
      <m:oMath>
        <m:r>
          <w:rPr>
            <w:rFonts w:ascii="Cambria Math" w:eastAsia="Times New Roman" w:hAnsi="Cambria Math"/>
            <w:sz w:val="26"/>
          </w:rPr>
          <m:t>σ</m:t>
        </m:r>
        <m:d>
          <m:dPr>
            <m:ctrlPr>
              <w:rPr>
                <w:rFonts w:ascii="Cambria Math" w:eastAsia="Times New Roman" w:hAnsi="Cambria Math"/>
                <w:i/>
                <w:sz w:val="26"/>
              </w:rPr>
            </m:ctrlPr>
          </m:dPr>
          <m:e>
            <m:r>
              <w:rPr>
                <w:rFonts w:ascii="Cambria Math" w:eastAsia="Times New Roman" w:hAnsi="Cambria Math"/>
                <w:sz w:val="26"/>
              </w:rPr>
              <m:t>v</m:t>
            </m:r>
          </m:e>
        </m:d>
      </m:oMath>
      <w:r w:rsidRPr="00FF4E93">
        <w:rPr>
          <w:rFonts w:eastAsia="Times New Roman"/>
          <w:sz w:val="26"/>
        </w:rPr>
        <w:t xml:space="preserve"> is the signature of </w:t>
      </w:r>
      <m:oMath>
        <m:r>
          <w:rPr>
            <w:rFonts w:ascii="Cambria Math" w:eastAsia="Times New Roman" w:hAnsi="Cambria Math"/>
            <w:sz w:val="26"/>
          </w:rPr>
          <m:t>v</m:t>
        </m:r>
      </m:oMath>
      <w:r w:rsidRPr="00FF4E93">
        <w:rPr>
          <w:rFonts w:eastAsia="Times New Roman"/>
          <w:sz w:val="26"/>
        </w:rPr>
        <w:t xml:space="preserve">. Its positive values represent the applied patterns, i.e. the business model </w:t>
      </w:r>
      <w:r w:rsidRPr="00FF4E93">
        <w:rPr>
          <w:rFonts w:eastAsia="Times New Roman"/>
          <w:sz w:val="26"/>
        </w:rPr>
        <w:fldChar w:fldCharType="begin" w:fldLock="1"/>
      </w:r>
      <w:r w:rsidR="00C95F78" w:rsidRPr="00FF4E93">
        <w:rPr>
          <w:rFonts w:eastAsia="Times New Roman"/>
          <w:sz w:val="26"/>
        </w:rPr>
        <w:instrText>ADDIN CSL_CITATION {"citationItems":[{"id":"ITEM-1","itemData":{"author":[{"dropping-particle":"","family":"Gassmann","given":"Oliver","non-dropping-particle":"","parse-names":false,"suffix":""},{"dropping-particle":"","family":"Frankenberger","given":"Karolin","non-dropping-particle":"","parse-names":false,"suffix":""},{"dropping-particle":"","family":"Sauer","given":"Roman","non-dropping-particle":"","parse-names":false,"suffix":""}],"id":"ITEM-1","issued":{"date-parts":[["2016"]]},"publisher":"Palgrave Macmillan","title":"Exploring the field of Business Model Innovation: New Theoretical Perspectives","type":"book"},"uris":["http://www.mendeley.com/documents/?uuid=541f9f4e-872b-49e0-90de-a0142c143fa2"]}],"mendeley":{"formattedCitation":"(Gassmann et al., 2016)","plainTextFormattedCitation":"(Gassmann et al., 2016)","previouslyFormattedCitation":"(Gassmann, Frankenberger, &amp; Sauer, 2016)"},"properties":{"noteIndex":0},"schema":"https://github.com/citation-style-language/schema/raw/master/csl-citation.json"}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(Gassmann et al., 2016)</w:t>
      </w:r>
      <w:r w:rsidRPr="00FF4E93">
        <w:rPr>
          <w:rFonts w:eastAsia="Times New Roman"/>
          <w:sz w:val="26"/>
        </w:rPr>
        <w:fldChar w:fldCharType="end"/>
      </w:r>
      <w:r w:rsidRPr="00FF4E93">
        <w:rPr>
          <w:rFonts w:eastAsia="Times New Roman"/>
          <w:sz w:val="26"/>
        </w:rPr>
        <w:t xml:space="preserve">, of a venture. </w:t>
      </w:r>
      <m:oMath>
        <m:sSub>
          <m:sSubPr>
            <m:ctrlPr>
              <w:rPr>
                <w:rFonts w:ascii="Cambria Math" w:eastAsia="Times New Roman" w:hAnsi="Cambria Math"/>
                <w:i/>
                <w:sz w:val="26"/>
              </w:rPr>
            </m:ctrlPr>
          </m:sSubPr>
          <m:e>
            <m:r>
              <w:rPr>
                <w:rFonts w:ascii="Cambria Math" w:eastAsia="Times New Roman" w:hAnsi="Cambria Math"/>
                <w:sz w:val="26"/>
              </w:rPr>
              <m:t>P</m:t>
            </m:r>
          </m:e>
          <m:sub>
            <m:r>
              <w:rPr>
                <w:rFonts w:ascii="Cambria Math" w:eastAsia="Times New Roman" w:hAnsi="Cambria Math"/>
                <w:sz w:val="26"/>
              </w:rPr>
              <m:t>P</m:t>
            </m:r>
          </m:sub>
        </m:sSub>
      </m:oMath>
      <w:r w:rsidRPr="00FF4E93">
        <w:rPr>
          <w:rFonts w:eastAsia="Times New Roman"/>
          <w:sz w:val="26"/>
        </w:rPr>
        <w:t xml:space="preserve"> is the signature space for any venture, i.e. the amount of distinctly different business models (projectable through the combination of the 60 patterns). Its theoretical size is 2</w:t>
      </w:r>
      <w:r w:rsidRPr="00FF4E93">
        <w:rPr>
          <w:rFonts w:eastAsia="Times New Roman"/>
          <w:sz w:val="26"/>
          <w:vertAlign w:val="superscript"/>
        </w:rPr>
        <w:t>60</w:t>
      </w:r>
      <w:r w:rsidRPr="00FF4E93">
        <w:rPr>
          <w:rFonts w:eastAsia="Times New Roman"/>
          <w:sz w:val="26"/>
        </w:rPr>
        <w:t xml:space="preserve">. In reality, applying a high number of patterns is unlikely to prove viable for any (entrepreneurial) firm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{"citationItems":[{"id":"ITEM-1","itemData":{"author":[{"dropping-particle":"","family":"Meyer","given":"Alan D.","non-dropping-particle":"","parse-names":false,"suffix":""},{"dropping-particle":"","family":"Tsui","given":"Anne S.","non-dropping-particle":"","parse-names":false,"suffix":""},{"dropping-particle":"","family":"Hinings","given":"C.R.","non-dropping-particle":"","parse-names":false,"suffix":""}],"container-title":"Academy of Management Journal","id":"ITEM-1","issue":"6","issued":{"date-parts":[["1993"]]},"page":"1175-1195","title":"Configurational Approaches to Organizational Analysis","type":"article-journal","volume":"36"},"uris":["http://www.mendeley.com/documents/?uuid=c6789846-6221-45c9-a58c-d76e88981dd2"]}],"mendeley":{"formattedCitation":"(Meyer et al., 1993)","manualFormatting":"(cfr. Meyer et al., 1993)","plainTextFormattedCitation":"(Meyer et al., 1993)","previouslyFormattedCitation":"(Meyer et al., 1993)"},"properties":{"noteIndex":0},"schema":"https://github.com/citation-style-language/schema/raw/master/csl-citation.json"}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(cfr. Meyer et al., 1993)</w:t>
      </w:r>
      <w:r w:rsidRPr="00FF4E93">
        <w:rPr>
          <w:rFonts w:eastAsia="Times New Roman"/>
          <w:sz w:val="26"/>
        </w:rPr>
        <w:fldChar w:fldCharType="end"/>
      </w:r>
      <w:r w:rsidRPr="00FF4E93">
        <w:rPr>
          <w:rFonts w:eastAsia="Times New Roman"/>
          <w:sz w:val="26"/>
        </w:rPr>
        <w:t>.</w:t>
      </w:r>
    </w:p>
    <w:p w14:paraId="79495F76" w14:textId="77777777" w:rsidR="00151DC1" w:rsidRPr="00FF4E93" w:rsidRDefault="00151DC1" w:rsidP="00151DC1">
      <w:pPr>
        <w:spacing w:after="0"/>
        <w:rPr>
          <w:rFonts w:eastAsia="Times New Roman"/>
          <w:sz w:val="26"/>
        </w:rPr>
      </w:pPr>
      <w:r w:rsidRPr="00FF4E93">
        <w:rPr>
          <w:rFonts w:eastAsia="Times New Roman"/>
          <w:sz w:val="26"/>
        </w:rPr>
        <w:t xml:space="preserve">During this initial step, we attached pieces of our qualitative data as evidence to support each positive assignment (opposed to a purely binary assignment for each pattern and venture). The resulting transparency serves to increase the reliability of our study and noticeably enhanced the discussions between the researchers. These discussions were an important mean for continuous calibration in the assignment, necessary due to the </w:t>
      </w:r>
      <w:r w:rsidRPr="00FF4E93">
        <w:rPr>
          <w:rFonts w:eastAsia="Times New Roman"/>
          <w:sz w:val="26"/>
        </w:rPr>
        <w:lastRenderedPageBreak/>
        <w:t xml:space="preserve">ambiguity of the pattern assignment process. The underlying cause for the noticed ambiguity in pattern assignment arises from the </w:t>
      </w:r>
      <w:r w:rsidRPr="00FF4E93">
        <w:rPr>
          <w:rFonts w:eastAsia="Times New Roman"/>
          <w:i/>
          <w:sz w:val="26"/>
        </w:rPr>
        <w:t>categorical fuzziness</w:t>
      </w:r>
      <w:r w:rsidRPr="00FF4E93">
        <w:rPr>
          <w:rFonts w:eastAsia="Times New Roman"/>
          <w:sz w:val="26"/>
        </w:rPr>
        <w:t xml:space="preserve"> </w:t>
      </w:r>
      <w:r w:rsidRPr="00FF4E93">
        <w:rPr>
          <w:rFonts w:eastAsia="Times New Roman"/>
          <w:sz w:val="26"/>
        </w:rPr>
        <w:fldChar w:fldCharType="begin" w:fldLock="1"/>
      </w:r>
      <w:r w:rsidRPr="00FF4E93">
        <w:rPr>
          <w:rFonts w:eastAsia="Times New Roman"/>
          <w:sz w:val="26"/>
        </w:rPr>
        <w:instrText>ADDIN CSL_CITATION {"citationItems":[{"id":"ITEM-1","itemData":{"abstract":"We advocate for more tolerance in the manner we collectively address categories and categorization in our research. Drawing on the prototype view, organizational scholars have provided a ‘disciplining’ framework to explain how category membership shapes, impacts, and limits organizational success. By stretching the existing straightjacket of scholarship on categories, we point to other useful conceptualizations of categories – i.e. the causal-model and the goal-based approaches of categorization – and propose that depending on situational circumstances, and beyond a disciplining exercise, categories involve a cognitive test of congruence and a goal satisfying calculus. Unsettling the current consensus about categorical imperatives and market discipline, we suggest also that audiences may tolerate more often than previously thought organizations that blend, span, and stretch categories. We derive implications for research about multi-category membership and mediation in markets, and suggest ways in which work on the theme of categories in the strategy, entrepreneurship, and managerial cognition literatures can be enriched.","author":[{"dropping-particle":"","family":"Durand","given":"Rodolphe","non-dropping-particle":"","parse-names":false,"suffix":""},{"dropping-particle":"","family":"Paolella","given":"Lionel","non-dropping-particle":"","parse-names":false,"suffix":""}],"container-title":"Journal of Management Studies","id":"ITEM-1","issue":"6","issued":{"date-parts":[["2013"]]},"page":"1100-1123","title":"Category stretching: Reorienting research on categories in strategy, entrepreneurship, and organization theory","type":"article-journal","volume":"50"},"uris":["http://www.mendeley.com/documents/?uuid=9fedef3c-58c1-486e-a871-64a741d7c4d4"]}],"mendeley":{"formattedCitation":"(Durand &amp; Paolella, 2013)","plainTextFormattedCitation":"(Durand &amp; Paolella, 2013)","previouslyFormattedCitation":"(Durand &amp; Paolella, 2013)"},"properties":{"noteIndex":0},"schema":"https://github.com/citation-style-language/schema/raw/master/csl-citation.json"}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(Durand &amp; Paolella, 2013)</w:t>
      </w:r>
      <w:r w:rsidRPr="00FF4E93">
        <w:rPr>
          <w:rFonts w:eastAsia="Times New Roman"/>
          <w:sz w:val="26"/>
        </w:rPr>
        <w:fldChar w:fldCharType="end"/>
      </w:r>
      <w:r w:rsidRPr="00FF4E93">
        <w:rPr>
          <w:rFonts w:eastAsia="Times New Roman"/>
          <w:sz w:val="26"/>
        </w:rPr>
        <w:t xml:space="preserve"> of the business model patterns by Gassmann and colleagues (2017). </w:t>
      </w:r>
    </w:p>
    <w:p w14:paraId="0EE02DE0" w14:textId="77777777" w:rsidR="00151DC1" w:rsidRPr="00FF4E93" w:rsidRDefault="00151DC1" w:rsidP="00151DC1">
      <w:pPr>
        <w:spacing w:after="0"/>
        <w:rPr>
          <w:rFonts w:eastAsia="Times New Roman"/>
          <w:sz w:val="26"/>
        </w:rPr>
      </w:pPr>
      <w:r w:rsidRPr="00FF4E93">
        <w:rPr>
          <w:rFonts w:eastAsia="Times New Roman"/>
          <w:sz w:val="26"/>
        </w:rPr>
        <w:t xml:space="preserve">Prior research has found that categories of social phenomena are inherently fuzzy at their boundaries </w:t>
      </w:r>
      <w:r w:rsidRPr="00FF4E93">
        <w:rPr>
          <w:rFonts w:eastAsia="Times New Roman"/>
          <w:sz w:val="26"/>
        </w:rPr>
        <w:fldChar w:fldCharType="begin" w:fldLock="1"/>
      </w:r>
      <w:r w:rsidRPr="00FF4E93">
        <w:rPr>
          <w:rFonts w:eastAsia="Times New Roman"/>
          <w:sz w:val="26"/>
        </w:rPr>
        <w:instrText>ADDIN CSL_CITATION {"citationItems":[{"id":"ITEM-1","itemData":{"abstract":"We advocate for more tolerance in the manner we collectively address categories and categorization in our research. Drawing on the prototype view, organizational scholars have provided a ‘disciplining’ framework to explain how category membership shapes, impacts, and limits organizational success. By stretching the existing straightjacket of scholarship on categories, we point to other useful conceptualizations of categories – i.e. the causal-model and the goal-based approaches of categorization – and propose that depending on situational circumstances, and beyond a disciplining exercise, categories involve a cognitive test of congruence and a goal satisfying calculus. Unsettling the current consensus about categorical imperatives and market discipline, we suggest also that audiences may tolerate more often than previously thought organizations that blend, span, and stretch categories. We derive implications for research about multi-category membership and mediation in markets, and suggest ways in which work on the theme of categories in the strategy, entrepreneurship, and managerial cognition literatures can be enriched.","author":[{"dropping-particle":"","family":"Durand","given":"Rodolphe","non-dropping-particle":"","parse-names":false,"suffix":""},{"dropping-particle":"","family":"Paolella","given":"Lionel","non-dropping-particle":"","parse-names":false,"suffix":""}],"container-title":"Journal of Management Studies","id":"ITEM-1","issue":"6","issued":{"date-parts":[["2013"]]},"page":"1100-1123","title":"Category stretching: Reorienting research on categories in strategy, entrepreneurship, and organization theory","type":"article-journal","volume":"50"},"uris":["http://www.mendeley.com/documents/?uuid=9fedef3c-58c1-486e-a871-64a741d7c4d4"]},{"id":"ITEM-2","itemData":{"abstract":"Recent theory and research have reconceptualized categories in markets and in other settings as part of the languages developed to characterize roles in a producer-audience interface. An important development in this work is the characterization of memberships in producer categories and in audiences as potentially partial. Producers often are regarded as members in a category to varying degrees, and audience members share to varying degrees in consensus about the applicability and meanings of category labels. Such partiality gives rise to fuzziness in boundaries, which has implications for the emergence and persistence of categories. A fast-developing literature has explored these implications empirically.","author":[{"dropping-particle":"","family":"Hannan","given":"Michael","non-dropping-particle":"","parse-names":false,"suffix":""}],"container-title":"Annual Review of Sociology","id":"ITEM-2","issued":{"date-parts":[["2010"]]},"page":"159-184","title":"Partiality of Memberships in Categories and Audiences","type":"article-journal","volume":"36"},"uris":["http://www.mendeley.com/documents/?uuid=2999615a-8c12-4367-972b-199441b74e6c"]}],"mendeley":{"formattedCitation":"(Durand &amp; Paolella, 2013; M. Hannan, 2010)","manualFormatting":"(Durand &amp; Paolella, 2013; Hannan, 2010)","plainTextFormattedCitation":"(Durand &amp; Paolella, 2013; M. Hannan, 2010)","previouslyFormattedCitation":"(Durand &amp; Paolella, 2013; M. Hannan, 2010)"},"properties":{"noteIndex":0},"schema":"https://github.com/citation-style-language/schema/raw/master/csl-citation.json"}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(Durand &amp; Paolella, 2013; Hannan, 2010)</w:t>
      </w:r>
      <w:r w:rsidRPr="00FF4E93">
        <w:rPr>
          <w:rFonts w:eastAsia="Times New Roman"/>
          <w:sz w:val="26"/>
        </w:rPr>
        <w:fldChar w:fldCharType="end"/>
      </w:r>
      <w:r w:rsidRPr="00FF4E93">
        <w:rPr>
          <w:rFonts w:eastAsia="Times New Roman"/>
          <w:sz w:val="26"/>
        </w:rPr>
        <w:t>. As new technologies emerge and offer new opportunities for business model design, new patterns can co-evolve</w:t>
      </w:r>
      <w:r w:rsidRPr="00FF4E93">
        <w:rPr>
          <w:rFonts w:eastAsia="Times New Roman"/>
          <w:sz w:val="26"/>
          <w:vertAlign w:val="superscript"/>
        </w:rPr>
        <w:footnoteReference w:id="1"/>
      </w:r>
      <w:r w:rsidRPr="00FF4E93">
        <w:rPr>
          <w:rFonts w:eastAsia="Times New Roman"/>
          <w:sz w:val="26"/>
        </w:rPr>
        <w:t xml:space="preserve"> or original meanings transmute </w:t>
      </w:r>
      <w:r w:rsidRPr="00FF4E93">
        <w:rPr>
          <w:rFonts w:eastAsia="Times New Roman"/>
          <w:sz w:val="26"/>
        </w:rPr>
        <w:fldChar w:fldCharType="begin" w:fldLock="1"/>
      </w:r>
      <w:r w:rsidRPr="00FF4E93">
        <w:rPr>
          <w:rFonts w:eastAsia="Times New Roman"/>
          <w:sz w:val="26"/>
        </w:rPr>
        <w:instrText>ADDIN CSL_CITATION {"citationItems":[{"id":"ITEM-1","itemData":{"abstract":"Recent theory and research have reconceptualized categories in markets and in other settings as part of the languages developed to characterize roles in a producer-audience interface. An important development in this work is the characterization of memberships in producer categories and in audiences as potentially partial. Producers often are regarded as members in a category to varying degrees, and audience members share to varying degrees in consensus about the applicability and meanings of category labels. Such partiality gives rise to fuzziness in boundaries, which has implications for the emergence and persistence of categories. A fast-developing literature has explored these implications empirically.","author":[{"dropping-particle":"","family":"Hannan","given":"Michael","non-dropping-particle":"","parse-names":false,"suffix":""}],"container-title":"Annual Review of Sociology","id":"ITEM-1","issued":{"date-parts":[["2010"]]},"page":"159-184","title":"Partiality of Memberships in Categories and Audiences","type":"article-journal","volume":"36"},"uris":["http://www.mendeley.com/documents/?uuid=2999615a-8c12-4367-972b-199441b74e6c"]}],"mendeley":{"formattedCitation":"(M. Hannan, 2010)","manualFormatting":"(cfr. Hannan, 2010)","plainTextFormattedCitation":"(M. Hannan, 2010)","previouslyFormattedCitation":"(M. Hannan, 2010)"},"properties":{"noteIndex":0},"schema":"https://github.com/citation-style-language/schema/raw/master/csl-citation.json"}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(cfr. Hannan, 2010)</w:t>
      </w:r>
      <w:r w:rsidRPr="00FF4E93">
        <w:rPr>
          <w:rFonts w:eastAsia="Times New Roman"/>
          <w:sz w:val="26"/>
        </w:rPr>
        <w:fldChar w:fldCharType="end"/>
      </w:r>
      <w:r w:rsidRPr="00FF4E93">
        <w:rPr>
          <w:rFonts w:eastAsia="Times New Roman"/>
          <w:sz w:val="26"/>
        </w:rPr>
        <w:t xml:space="preserve">. In lack of a systematic way to deal with categorical fuzziness </w:t>
      </w:r>
      <w:r w:rsidRPr="00FF4E93">
        <w:rPr>
          <w:rFonts w:eastAsia="Times New Roman"/>
          <w:sz w:val="26"/>
        </w:rPr>
        <w:fldChar w:fldCharType="begin" w:fldLock="1"/>
      </w:r>
      <w:r w:rsidRPr="00FF4E93">
        <w:rPr>
          <w:rFonts w:eastAsia="Times New Roman"/>
          <w:sz w:val="26"/>
        </w:rPr>
        <w:instrText>ADDIN CSL_CITATION {"citationItems":[{"id":"ITEM-1","itemData":{"abstract":"Recent theory and research have reconceptualized categories in markets and in other settings as part of the languages developed to characterize roles in a producer-audience interface. An important development in this work is the characterization of memberships in producer categories and in audiences as potentially partial. Producers often are regarded as members in a category to varying degrees, and audience members share to varying degrees in consensus about the applicability and meanings of category labels. Such partiality gives rise to fuzziness in boundaries, which has implications for the emergence and persistence of categories. A fast-developing literature has explored these implications empirically.","author":[{"dropping-particle":"","family":"Hannan","given":"Michael","non-dropping-particle":"","parse-names":false,"suffix":""}],"container-title":"Annual Review of Sociology","id":"ITEM-1","issued":{"date-parts":[["2010"]]},"page":"159-184","title":"Partiality of Memberships in Categories and Audiences","type":"article-journal","volume":"36"},"uris":["http://www.mendeley.com/documents/?uuid=2999615a-8c12-4367-972b-199441b74e6c"]}],"mendeley":{"formattedCitation":"(M. Hannan, 2010)","manualFormatting":"(Hannan, 2010)","plainTextFormattedCitation":"(M. Hannan, 2010)","previouslyFormattedCitation":"(M. Hannan, 2010)"},"properties":{"noteIndex":0},"schema":"https://github.com/citation-style-language/schema/raw/master/csl-citation.json"}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(Hannan, 2010)</w:t>
      </w:r>
      <w:r w:rsidRPr="00FF4E93">
        <w:rPr>
          <w:rFonts w:eastAsia="Times New Roman"/>
          <w:sz w:val="26"/>
        </w:rPr>
        <w:fldChar w:fldCharType="end"/>
      </w:r>
      <w:r w:rsidRPr="00FF4E93">
        <w:rPr>
          <w:rFonts w:eastAsia="Times New Roman"/>
          <w:sz w:val="26"/>
        </w:rPr>
        <w:t xml:space="preserve">, scholars define categories, here ‘business model patterns’, through meaningful consensus about membership of an entity shared by an audience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Negro","given":"Giacomo","non-dropping-particle":"","parse-names":false,"suffix":""},{"dropping-particle":"","family":"Koçak","given":"Özgecan","non-dropping-particle":"","parse-names":false,"suffix":""},{"dropping-particle":"","family":"Hsu","given":"Greta","non-dropping-particle":"","parse-names":false,"suffix":""}],"container-title":"Categories in Markets: Origins and Evolution","editor":[{"dropping-particle":"","family":"Hsu","given":"Greta","non-dropping-particle":"","parse-names":false,"suffix":""},{"dropping-particle":"","family":"Negro","given":"Giacomo","non-dropping-particle":"","parse-names":false,"suffix":""},{"dropping-particle":"","family":"Koçak","given":"Özgecan","non-dropping-particle":"","parse-names":false,"suffix":""}],"id":"ITEM-1","issued":{"date-parts":[["2010"]]},"page":"3-35","publisher":"Emerald Group Publishing Limited","title":"Research on categories in the sociology of organizations,","type":"chapter"},"uris":["http://www.mendeley.com/documents/?uuid=888248e9-860a-489f-acc1-c84e2812d0e2"]},{"id":"ITEM-2","itemData":{"abstract":"We advocate for more tolerance in the manner we collectively address categories and categorization in our research. Drawing on the prototype view, organizational scholars have provided a ‘disciplining’ framework to explain how category membership shapes, impacts, and limits organizational success. By stretching the existing straightjacket of scholarship on categories, we point to other useful conceptualizations of categories – i.e. the causal-model and the goal-based approaches of categorization – and propose that depending on situational circumstances, and beyond a disciplining exercise, categories involve a cognitive test of congruence and a goal satisfying calculus. Unsettling the current consensus about categorical imperatives and market discipline, we suggest also that audiences may tolerate more often than previously thought organizations that blend, span, and stretch categories. We derive implications for research about multi-category membership and mediation in markets, and suggest ways in which work on the theme of categories in the strategy, entrepreneurship, and managerial cognition literatures can be enriched.","author":[{"dropping-particle":"","family":"Durand","given":"Rodolphe","non-dropping-particle":"","parse-names":false,"suffix":""},{"dropping-particle":"","family":"Paolella","given":"Lionel","non-dropping-particle":"","parse-names":false,"suffix":""}],"container-title":"Journal of Management Studies","id":"ITEM-2","issue":"6","issued":{"date-parts":[["2013"]]},"page":"1100-1123","title":"Category stretching: Reorienting research on categories in strategy, entrepreneurship, and organization theory","type":"article-journal","volume":"50"},"uris":["http://www.mendeley.com/documents/?uuid=9fedef3c-58c1-486e-a871-64a741d7c4d4"]},{"id":"ITEM-3","itemData":{"author":[{"dropping-particle":"","family":"Hannan","given":"M. T.","non-dropping-particle":"","parse-names":false,"suffix":""},{"dropping-particle":"","family":"Polos","given":"L.","non-dropping-particle":"","parse-names":false,"suffix":""},{"dropping-particle":"","family":"Carroll","given":"G. R.","non-dropping-particle":"","parse-names":false,"suffix":""}],"id":"ITEM-3","issued":{"date-parts":[["2007"]]},"publisher":"Princeton University Press","publisher-place":"Princeton, NJ","title":"Logics of Organization Theory: Audiences, Codes, and Ecologies","type":"book"},"uris":["http://www.mendeley.com/documents/?uuid=3b97e5e6-fc10-4c30-88df-3029ac28557b"]}],"mendeley":{"formattedCitation":"(Durand &amp; Paolella, 2013; M. T. Hannan, Polos, &amp; Carroll, 2007; Negro, Koçak, &amp; Hsu, 2010)","manualFormatting":"(Durand &amp; Paolella, 2013; Hannan, Polos, &amp; Carroll, 2007; Negro, Koçak, &amp; Hsu, 2010)","plainTextFormattedCitation":"(Durand &amp; Paolella, 2013; M. T. Hannan, Polos, &amp; Carroll, 2007; Negro, Koçak, &amp; Hsu, 2010)","previouslyFormattedCitation":"(Durand &amp; Paolella, 2013; M. T. Hannan, Polos, &amp; Carroll, 2007; Negro, Koçak, &amp; Hsu, 2010)"},"properties":{"noteIndex":0},"schema":"https://github.com/citation-style-language/schema/raw/master/csl-citation.json"}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(Durand &amp; Paolella, 2013; Hannan, Polos, &amp; Carroll, 2007; Negro, Koçak, &amp; Hsu, 2010)</w:t>
      </w:r>
      <w:r w:rsidRPr="00FF4E93">
        <w:rPr>
          <w:rFonts w:eastAsia="Times New Roman"/>
          <w:sz w:val="26"/>
        </w:rPr>
        <w:fldChar w:fldCharType="end"/>
      </w:r>
      <w:r w:rsidRPr="00FF4E93">
        <w:rPr>
          <w:rFonts w:eastAsia="Times New Roman"/>
          <w:sz w:val="26"/>
        </w:rPr>
        <w:t>.</w:t>
      </w:r>
      <w:r w:rsidRPr="00FF4E93">
        <w:rPr>
          <w:rFonts w:eastAsia="Times New Roman"/>
          <w:b/>
          <w:color w:val="000000"/>
          <w:sz w:val="26"/>
        </w:rPr>
        <w:t xml:space="preserve"> </w:t>
      </w:r>
      <w:r w:rsidRPr="00FF4E93">
        <w:rPr>
          <w:rFonts w:eastAsia="Times New Roman"/>
          <w:sz w:val="26"/>
        </w:rPr>
        <w:t>Hence, for our study it was important to develop a meaningful and shared understanding among the group of researchers about the interpretation of observable phenomena in our set of ventures. Staying too close to the exact wording of the definition provided by Gassmann and colleagues (2017) would have led to fewer pattern assignments and missed to holistically capture the richness of observed business models. Vice versa, any too broad interpretation would have undermined the meaningfulness of any pattern assignment.</w:t>
      </w:r>
      <w:r w:rsidRPr="00FF4E93">
        <w:rPr>
          <w:rFonts w:eastAsia="Times New Roman"/>
          <w:i/>
          <w:iCs/>
          <w:sz w:val="26"/>
        </w:rPr>
        <w:t xml:space="preserve"> </w:t>
      </w:r>
      <w:r w:rsidRPr="00FF4E93">
        <w:rPr>
          <w:rFonts w:eastAsia="Times New Roman"/>
          <w:sz w:val="26"/>
        </w:rPr>
        <w:t xml:space="preserve">Therefore, we rated each pattern by perceived </w:t>
      </w:r>
      <w:r w:rsidRPr="00FF4E93">
        <w:rPr>
          <w:rFonts w:eastAsia="Times New Roman"/>
          <w:i/>
          <w:sz w:val="26"/>
        </w:rPr>
        <w:t>categorical fuzziness</w:t>
      </w:r>
      <w:r w:rsidRPr="00FF4E93">
        <w:rPr>
          <w:rFonts w:eastAsia="Times New Roman"/>
          <w:sz w:val="26"/>
        </w:rPr>
        <w:t xml:space="preserve">, i.e., its existence is subject to much/little interpretation and </w:t>
      </w:r>
      <w:r w:rsidRPr="00FF4E93">
        <w:rPr>
          <w:rFonts w:eastAsia="Times New Roman"/>
          <w:i/>
          <w:sz w:val="26"/>
        </w:rPr>
        <w:t>observability</w:t>
      </w:r>
      <w:r w:rsidRPr="00FF4E93">
        <w:rPr>
          <w:rFonts w:eastAsia="Times New Roman"/>
          <w:sz w:val="26"/>
        </w:rPr>
        <w:t xml:space="preserve"> ranging from 1 (hardly observable) to 3 (clearly observable). For instance, the </w:t>
      </w:r>
      <w:r w:rsidRPr="00FF4E93">
        <w:rPr>
          <w:rFonts w:eastAsia="Times New Roman"/>
          <w:i/>
          <w:iCs/>
          <w:sz w:val="26"/>
        </w:rPr>
        <w:t>Crowdfunding</w:t>
      </w:r>
      <w:r w:rsidRPr="00FF4E93">
        <w:rPr>
          <w:rFonts w:eastAsia="Times New Roman"/>
          <w:sz w:val="26"/>
        </w:rPr>
        <w:t xml:space="preserve"> pattern</w:t>
      </w:r>
      <w:r w:rsidRPr="00FF4E93">
        <w:rPr>
          <w:rFonts w:eastAsia="Times New Roman"/>
          <w:sz w:val="26"/>
          <w:vertAlign w:val="superscript"/>
        </w:rPr>
        <w:footnoteReference w:id="2"/>
      </w:r>
      <w:r w:rsidRPr="00FF4E93">
        <w:rPr>
          <w:rFonts w:eastAsia="Times New Roman"/>
          <w:sz w:val="26"/>
        </w:rPr>
        <w:t xml:space="preserve"> appears in a relatively homogeneous form (</w:t>
      </w:r>
      <w:r w:rsidRPr="00FF4E93">
        <w:rPr>
          <w:rFonts w:eastAsia="Times New Roman"/>
          <w:i/>
          <w:iCs/>
          <w:sz w:val="26"/>
        </w:rPr>
        <w:t xml:space="preserve">little interpretation), </w:t>
      </w:r>
      <w:r w:rsidRPr="00FF4E93">
        <w:rPr>
          <w:rFonts w:eastAsia="Times New Roman"/>
          <w:sz w:val="26"/>
        </w:rPr>
        <w:t xml:space="preserve">but oftentimes requires deeper investigations using secondary sources </w:t>
      </w:r>
      <w:r w:rsidRPr="00FF4E93">
        <w:rPr>
          <w:rFonts w:eastAsia="Times New Roman"/>
          <w:i/>
          <w:iCs/>
          <w:sz w:val="26"/>
        </w:rPr>
        <w:t>(1/hardly observable)</w:t>
      </w:r>
      <w:r w:rsidRPr="00FF4E93">
        <w:rPr>
          <w:rFonts w:eastAsia="Times New Roman"/>
          <w:sz w:val="26"/>
        </w:rPr>
        <w:t xml:space="preserve">. In contrast, the assignment of the </w:t>
      </w:r>
      <w:r w:rsidRPr="00FF4E93">
        <w:rPr>
          <w:rFonts w:eastAsia="Times New Roman"/>
          <w:i/>
          <w:iCs/>
          <w:sz w:val="26"/>
        </w:rPr>
        <w:t xml:space="preserve">Aikido </w:t>
      </w:r>
      <w:r w:rsidRPr="00FF4E93">
        <w:rPr>
          <w:rFonts w:eastAsia="Times New Roman"/>
          <w:sz w:val="26"/>
        </w:rPr>
        <w:t>pattern</w:t>
      </w:r>
      <w:r w:rsidRPr="00FF4E93">
        <w:rPr>
          <w:rFonts w:eastAsia="Times New Roman"/>
          <w:sz w:val="26"/>
          <w:vertAlign w:val="superscript"/>
        </w:rPr>
        <w:footnoteReference w:id="3"/>
      </w:r>
      <w:r w:rsidRPr="00FF4E93">
        <w:rPr>
          <w:rFonts w:eastAsia="Times New Roman"/>
          <w:sz w:val="26"/>
        </w:rPr>
        <w:t xml:space="preserve"> was found to be relatively difficult</w:t>
      </w:r>
      <w:r w:rsidRPr="00FF4E93">
        <w:rPr>
          <w:rFonts w:eastAsia="Times New Roman"/>
          <w:i/>
          <w:iCs/>
          <w:sz w:val="26"/>
        </w:rPr>
        <w:t xml:space="preserve">, </w:t>
      </w:r>
      <w:r w:rsidRPr="00FF4E93">
        <w:rPr>
          <w:rFonts w:eastAsia="Times New Roman"/>
          <w:sz w:val="26"/>
        </w:rPr>
        <w:t xml:space="preserve">since the definition leaves significant room for interpretation and is also difficult to observe </w:t>
      </w:r>
      <w:r w:rsidRPr="00FF4E93">
        <w:rPr>
          <w:rFonts w:eastAsia="Times New Roman"/>
          <w:i/>
          <w:iCs/>
          <w:sz w:val="26"/>
        </w:rPr>
        <w:t>(1/hardly observable</w:t>
      </w:r>
      <w:r w:rsidRPr="00FF4E93">
        <w:rPr>
          <w:rFonts w:eastAsia="Times New Roman"/>
          <w:sz w:val="26"/>
        </w:rPr>
        <w:t xml:space="preserve">). Additionally, the researchers listed typical indicators for each pattern, useful primary and secondary sources to assess their applicability, and challenges in the assignments. </w:t>
      </w:r>
    </w:p>
    <w:p w14:paraId="494CB587" w14:textId="021D5672" w:rsidR="00151DC1" w:rsidRPr="00FF4E93" w:rsidRDefault="00151DC1" w:rsidP="00151DC1">
      <w:pPr>
        <w:spacing w:after="0"/>
        <w:rPr>
          <w:rFonts w:eastAsia="Times New Roman"/>
          <w:sz w:val="26"/>
        </w:rPr>
      </w:pPr>
      <w:r w:rsidRPr="00FF4E93">
        <w:rPr>
          <w:rFonts w:eastAsia="Times New Roman"/>
          <w:sz w:val="26"/>
        </w:rPr>
        <w:lastRenderedPageBreak/>
        <w:t xml:space="preserve">Overall, the consistent assignment of observable phenomena and business model patterns was crucial to establish a solid foundation for the identification of meaningful configurations. Across our sample we assigned 4.10 patterns per venture on average (ARVR: 4.69; DRON: 4.62; AIML: 3.45). </w:t>
      </w:r>
      <w:r w:rsidRPr="00FF4E93">
        <w:rPr>
          <w:rFonts w:eastAsia="Times New Roman"/>
          <w:i/>
          <w:sz w:val="26"/>
        </w:rPr>
        <w:fldChar w:fldCharType="begin"/>
      </w:r>
      <w:r w:rsidRPr="00FF4E93">
        <w:rPr>
          <w:rFonts w:eastAsia="Times New Roman"/>
          <w:i/>
          <w:sz w:val="26"/>
        </w:rPr>
        <w:instrText xml:space="preserve"> REF _Ref532285461 \h  \* MERGEFORMAT </w:instrText>
      </w:r>
      <w:r w:rsidRPr="00FF4E93">
        <w:rPr>
          <w:rFonts w:eastAsia="Times New Roman"/>
          <w:i/>
          <w:sz w:val="26"/>
        </w:rPr>
      </w:r>
      <w:r w:rsidRPr="00FF4E93">
        <w:rPr>
          <w:rFonts w:eastAsia="Times New Roman"/>
          <w:i/>
          <w:sz w:val="26"/>
        </w:rPr>
        <w:fldChar w:fldCharType="separate"/>
      </w:r>
      <w:r w:rsidR="00D231CD" w:rsidRPr="00FF4E93">
        <w:rPr>
          <w:rFonts w:eastAsia="Times New Roman"/>
          <w:i/>
          <w:sz w:val="26"/>
        </w:rPr>
        <w:t>Table 3</w:t>
      </w:r>
      <w:r w:rsidR="00D231CD" w:rsidRPr="00FF4E93">
        <w:rPr>
          <w:rFonts w:eastAsia="Times New Roman"/>
          <w:i/>
          <w:sz w:val="26"/>
        </w:rPr>
        <w:noBreakHyphen/>
        <w:t>1</w:t>
      </w:r>
      <w:r w:rsidRPr="00FF4E93">
        <w:rPr>
          <w:rFonts w:eastAsia="Times New Roman"/>
          <w:i/>
          <w:sz w:val="26"/>
        </w:rPr>
        <w:fldChar w:fldCharType="end"/>
      </w:r>
      <w:r w:rsidRPr="00FF4E93">
        <w:rPr>
          <w:rFonts w:eastAsia="Times New Roman"/>
          <w:i/>
          <w:sz w:val="26"/>
        </w:rPr>
        <w:t xml:space="preserve"> </w:t>
      </w:r>
      <w:r w:rsidRPr="00FF4E93">
        <w:rPr>
          <w:rFonts w:eastAsia="Times New Roman"/>
          <w:sz w:val="26"/>
        </w:rPr>
        <w:t xml:space="preserve">provides an example of the assignment process. This step resulted in a case database in which we compiled the case metadata and the most relevant raw data, i.e. the qualitative descriptions of the assigned patterns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{"citationItems":[{"id":"ITEM-1","itemData":{"author":[{"dropping-particle":"","family":"Yin","given":"Robert K","non-dropping-particle":"","parse-names":false,"suffix":""}],"edition":"5th","id":"ITEM-1","issued":{"date-parts":[["2014"]]},"publisher":"Sage","publisher-place":"Thousand Oaks, CA","title":"Case Study Research: Design and Methods","type":"book"},"uris":["http://www.mendeley.com/documents/?uuid=a4e200f8-a54b-49a5-828a-21445c0d2b2d"]}],"mendeley":{"formattedCitation":"(Yin, 2014)","plainTextFormattedCitation":"(Yin, 2014)","previouslyFormattedCitation":"(Yin, 2014)"},"properties":{"noteIndex":0},"schema":"https://github.com/citation-style-language/schema/raw/master/csl-citation.json"}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(Yin, 2014)</w:t>
      </w:r>
      <w:r w:rsidRPr="00FF4E93">
        <w:rPr>
          <w:rFonts w:eastAsia="Times New Roman"/>
          <w:sz w:val="26"/>
        </w:rPr>
        <w:fldChar w:fldCharType="end"/>
      </w:r>
      <w:r w:rsidRPr="00FF4E93">
        <w:rPr>
          <w:rFonts w:eastAsia="Times New Roman"/>
          <w:sz w:val="26"/>
        </w:rPr>
        <w:t>.</w:t>
      </w:r>
    </w:p>
    <w:p w14:paraId="1EDCDD01" w14:textId="77777777" w:rsidR="00151DC1" w:rsidRPr="00FF4E93" w:rsidRDefault="00151DC1" w:rsidP="00151DC1">
      <w:pPr>
        <w:spacing w:after="0"/>
        <w:rPr>
          <w:rFonts w:eastAsia="Times New Roman"/>
          <w:sz w:val="26"/>
          <w:lang w:eastAsia="de-AT"/>
        </w:rPr>
        <w:sectPr w:rsidR="00151DC1" w:rsidRPr="00FF4E93" w:rsidSect="00C54569">
          <w:footerReference w:type="even" r:id="rId8"/>
          <w:footerReference w:type="default" r:id="rId9"/>
          <w:pgSz w:w="11906" w:h="16838"/>
          <w:pgMar w:top="1417" w:right="1417" w:bottom="1134" w:left="1417" w:header="708" w:footer="708" w:gutter="0"/>
          <w:cols w:space="708"/>
          <w:titlePg/>
          <w:docGrid w:linePitch="360"/>
        </w:sectPr>
      </w:pPr>
    </w:p>
    <w:p w14:paraId="1A17247D" w14:textId="356D95B3" w:rsidR="00151DC1" w:rsidRPr="00FF4E93" w:rsidRDefault="00151DC1" w:rsidP="00151DC1">
      <w:pPr>
        <w:spacing w:before="240" w:after="240"/>
        <w:ind w:right="521"/>
        <w:rPr>
          <w:rFonts w:eastAsia="Calibri"/>
          <w:iCs/>
          <w:color w:val="000000"/>
          <w:szCs w:val="18"/>
          <w:lang w:eastAsia="de-DE"/>
        </w:rPr>
      </w:pPr>
      <w:bookmarkStart w:id="4" w:name="_Ref532285461"/>
      <w:bookmarkStart w:id="5" w:name="_Toc536101329"/>
      <w:r w:rsidRPr="00FF4E93">
        <w:rPr>
          <w:rFonts w:eastAsia="Calibri"/>
          <w:b/>
          <w:iCs/>
          <w:color w:val="000000"/>
          <w:szCs w:val="18"/>
          <w:lang w:eastAsia="de-DE"/>
        </w:rPr>
        <w:lastRenderedPageBreak/>
        <w:t xml:space="preserve">Table </w:t>
      </w:r>
      <w:r w:rsidRPr="00FF4E93">
        <w:rPr>
          <w:rFonts w:eastAsia="Calibri"/>
          <w:b/>
          <w:iCs/>
          <w:color w:val="000000"/>
          <w:szCs w:val="18"/>
          <w:lang w:eastAsia="de-DE"/>
        </w:rPr>
        <w:fldChar w:fldCharType="begin"/>
      </w:r>
      <w:r w:rsidRPr="00FF4E93">
        <w:rPr>
          <w:rFonts w:eastAsia="Calibri"/>
          <w:b/>
          <w:iCs/>
          <w:color w:val="000000"/>
          <w:szCs w:val="18"/>
          <w:lang w:eastAsia="de-DE"/>
        </w:rPr>
        <w:instrText xml:space="preserve"> STYLEREF 1 \s </w:instrText>
      </w:r>
      <w:r w:rsidRPr="00FF4E93">
        <w:rPr>
          <w:rFonts w:eastAsia="Calibri"/>
          <w:b/>
          <w:iCs/>
          <w:color w:val="000000"/>
          <w:szCs w:val="18"/>
          <w:lang w:eastAsia="de-DE"/>
        </w:rPr>
        <w:fldChar w:fldCharType="separate"/>
      </w:r>
      <w:r w:rsidR="00D231CD" w:rsidRPr="00FF4E93">
        <w:rPr>
          <w:rFonts w:eastAsia="Calibri"/>
          <w:b/>
          <w:iCs/>
          <w:noProof/>
          <w:color w:val="000000"/>
          <w:szCs w:val="18"/>
          <w:lang w:eastAsia="de-DE"/>
        </w:rPr>
        <w:t>3</w:t>
      </w:r>
      <w:r w:rsidRPr="00FF4E93">
        <w:rPr>
          <w:rFonts w:eastAsia="Calibri"/>
          <w:b/>
          <w:iCs/>
          <w:color w:val="000000"/>
          <w:szCs w:val="18"/>
          <w:lang w:eastAsia="de-DE"/>
        </w:rPr>
        <w:fldChar w:fldCharType="end"/>
      </w:r>
      <w:r w:rsidRPr="00FF4E93">
        <w:rPr>
          <w:rFonts w:eastAsia="Calibri"/>
          <w:b/>
          <w:iCs/>
          <w:color w:val="000000"/>
          <w:szCs w:val="18"/>
          <w:lang w:eastAsia="de-DE"/>
        </w:rPr>
        <w:noBreakHyphen/>
      </w:r>
      <w:r w:rsidRPr="00FF4E93">
        <w:rPr>
          <w:rFonts w:eastAsia="Calibri"/>
          <w:b/>
          <w:iCs/>
          <w:color w:val="000000"/>
          <w:szCs w:val="18"/>
          <w:lang w:eastAsia="de-DE"/>
        </w:rPr>
        <w:fldChar w:fldCharType="begin"/>
      </w:r>
      <w:r w:rsidRPr="00FF4E93">
        <w:rPr>
          <w:rFonts w:eastAsia="Calibri"/>
          <w:b/>
          <w:iCs/>
          <w:color w:val="000000"/>
          <w:szCs w:val="18"/>
          <w:lang w:eastAsia="de-DE"/>
        </w:rPr>
        <w:instrText xml:space="preserve"> SEQ Table \* ARABIC \s 1 </w:instrText>
      </w:r>
      <w:r w:rsidRPr="00FF4E93">
        <w:rPr>
          <w:rFonts w:eastAsia="Calibri"/>
          <w:b/>
          <w:iCs/>
          <w:color w:val="000000"/>
          <w:szCs w:val="18"/>
          <w:lang w:eastAsia="de-DE"/>
        </w:rPr>
        <w:fldChar w:fldCharType="separate"/>
      </w:r>
      <w:r w:rsidR="00D231CD" w:rsidRPr="00FF4E93">
        <w:rPr>
          <w:rFonts w:eastAsia="Calibri"/>
          <w:b/>
          <w:iCs/>
          <w:noProof/>
          <w:color w:val="000000"/>
          <w:szCs w:val="18"/>
          <w:lang w:eastAsia="de-DE"/>
        </w:rPr>
        <w:t>1</w:t>
      </w:r>
      <w:r w:rsidRPr="00FF4E93">
        <w:rPr>
          <w:rFonts w:eastAsia="Calibri"/>
          <w:b/>
          <w:iCs/>
          <w:color w:val="000000"/>
          <w:szCs w:val="18"/>
          <w:lang w:eastAsia="de-DE"/>
        </w:rPr>
        <w:fldChar w:fldCharType="end"/>
      </w:r>
      <w:bookmarkEnd w:id="4"/>
      <w:r w:rsidRPr="00FF4E93">
        <w:rPr>
          <w:rFonts w:eastAsia="Calibri"/>
          <w:iCs/>
          <w:color w:val="000000"/>
          <w:szCs w:val="18"/>
          <w:lang w:eastAsia="de-DE"/>
        </w:rPr>
        <w:t xml:space="preserve">: Exemplary excerpt from the pattern assignment for </w:t>
      </w:r>
      <w:proofErr w:type="spellStart"/>
      <w:r w:rsidRPr="00FF4E93">
        <w:rPr>
          <w:rFonts w:eastAsia="Calibri"/>
          <w:iCs/>
          <w:color w:val="000000"/>
          <w:szCs w:val="18"/>
          <w:lang w:eastAsia="de-DE"/>
        </w:rPr>
        <w:t>MindMaze</w:t>
      </w:r>
      <w:proofErr w:type="spellEnd"/>
      <w:r w:rsidRPr="00FF4E93">
        <w:rPr>
          <w:rFonts w:eastAsia="Calibri"/>
          <w:iCs/>
          <w:color w:val="000000"/>
          <w:szCs w:val="18"/>
          <w:vertAlign w:val="superscript"/>
          <w:lang w:eastAsia="de-DE"/>
        </w:rPr>
        <w:footnoteReference w:id="4"/>
      </w:r>
      <w:bookmarkEnd w:id="5"/>
    </w:p>
    <w:tbl>
      <w:tblPr>
        <w:tblStyle w:val="TableGrid1"/>
        <w:tblW w:w="0" w:type="auto"/>
        <w:tblBorders>
          <w:left w:val="none" w:sz="0" w:space="0" w:color="auto"/>
          <w:right w:val="none" w:sz="0" w:space="0" w:color="auto"/>
          <w:insideH w:val="none" w:sz="0" w:space="0" w:color="auto"/>
          <w:insideV w:val="none" w:sz="0" w:space="0" w:color="auto"/>
        </w:tblBorders>
        <w:tblCellMar>
          <w:top w:w="57" w:type="dxa"/>
          <w:left w:w="85" w:type="dxa"/>
          <w:bottom w:w="57" w:type="dxa"/>
          <w:right w:w="85" w:type="dxa"/>
        </w:tblCellMar>
        <w:tblLook w:val="04A0" w:firstRow="1" w:lastRow="0" w:firstColumn="1" w:lastColumn="0" w:noHBand="0" w:noVBand="1"/>
      </w:tblPr>
      <w:tblGrid>
        <w:gridCol w:w="2405"/>
        <w:gridCol w:w="6519"/>
        <w:gridCol w:w="5353"/>
      </w:tblGrid>
      <w:tr w:rsidR="00151DC1" w:rsidRPr="00FF4E93" w14:paraId="3C6EC358" w14:textId="77777777" w:rsidTr="00C54569">
        <w:tc>
          <w:tcPr>
            <w:tcW w:w="2405" w:type="dxa"/>
            <w:tcBorders>
              <w:top w:val="single" w:sz="4" w:space="0" w:color="auto"/>
              <w:bottom w:val="single" w:sz="4" w:space="0" w:color="auto"/>
            </w:tcBorders>
          </w:tcPr>
          <w:p w14:paraId="04DFA0F0" w14:textId="77777777" w:rsidR="00151DC1" w:rsidRPr="00FF4E93" w:rsidRDefault="00151DC1" w:rsidP="00151DC1">
            <w:pPr>
              <w:spacing w:before="0" w:after="0"/>
              <w:rPr>
                <w:bCs/>
                <w:color w:val="000000"/>
                <w:sz w:val="20"/>
                <w:szCs w:val="20"/>
              </w:rPr>
            </w:pPr>
            <w:proofErr w:type="spellStart"/>
            <w:r w:rsidRPr="00FF4E93">
              <w:rPr>
                <w:bCs/>
                <w:color w:val="000000"/>
                <w:sz w:val="20"/>
                <w:szCs w:val="20"/>
              </w:rPr>
              <w:t>Assigned</w:t>
            </w:r>
            <w:proofErr w:type="spellEnd"/>
            <w:r w:rsidRPr="00FF4E93">
              <w:rPr>
                <w:bCs/>
                <w:color w:val="000000"/>
                <w:sz w:val="20"/>
                <w:szCs w:val="20"/>
              </w:rPr>
              <w:t xml:space="preserve"> </w:t>
            </w:r>
            <w:proofErr w:type="spellStart"/>
            <w:r w:rsidRPr="00FF4E93">
              <w:rPr>
                <w:bCs/>
                <w:color w:val="000000"/>
                <w:sz w:val="20"/>
                <w:szCs w:val="20"/>
              </w:rPr>
              <w:t>pattern</w:t>
            </w:r>
            <w:proofErr w:type="spellEnd"/>
            <w:r w:rsidRPr="00FF4E93">
              <w:rPr>
                <w:bCs/>
                <w:color w:val="000000"/>
                <w:sz w:val="20"/>
                <w:szCs w:val="20"/>
              </w:rPr>
              <w:t xml:space="preserve"> </w:t>
            </w:r>
            <w:proofErr w:type="spellStart"/>
            <w:r w:rsidRPr="00FF4E93">
              <w:rPr>
                <w:bCs/>
                <w:color w:val="000000"/>
                <w:sz w:val="20"/>
                <w:szCs w:val="20"/>
              </w:rPr>
              <w:t>and</w:t>
            </w:r>
            <w:proofErr w:type="spellEnd"/>
            <w:r w:rsidRPr="00FF4E93">
              <w:rPr>
                <w:bCs/>
                <w:color w:val="000000"/>
                <w:sz w:val="20"/>
                <w:szCs w:val="20"/>
              </w:rPr>
              <w:t xml:space="preserve"> </w:t>
            </w:r>
            <w:proofErr w:type="spellStart"/>
            <w:r w:rsidRPr="00FF4E93">
              <w:rPr>
                <w:bCs/>
                <w:color w:val="000000"/>
                <w:sz w:val="20"/>
                <w:szCs w:val="20"/>
              </w:rPr>
              <w:t>iconic</w:t>
            </w:r>
            <w:proofErr w:type="spellEnd"/>
            <w:r w:rsidRPr="00FF4E93">
              <w:rPr>
                <w:bCs/>
                <w:color w:val="000000"/>
                <w:sz w:val="20"/>
                <w:szCs w:val="20"/>
              </w:rPr>
              <w:t xml:space="preserve"> </w:t>
            </w:r>
            <w:proofErr w:type="spellStart"/>
            <w:r w:rsidRPr="00FF4E93">
              <w:rPr>
                <w:bCs/>
                <w:color w:val="000000"/>
                <w:sz w:val="20"/>
                <w:szCs w:val="20"/>
              </w:rPr>
              <w:t>business</w:t>
            </w:r>
            <w:proofErr w:type="spellEnd"/>
            <w:r w:rsidRPr="00FF4E93">
              <w:rPr>
                <w:bCs/>
                <w:color w:val="000000"/>
                <w:sz w:val="20"/>
                <w:szCs w:val="20"/>
              </w:rPr>
              <w:t xml:space="preserve"> </w:t>
            </w:r>
            <w:proofErr w:type="spellStart"/>
            <w:r w:rsidRPr="00FF4E93">
              <w:rPr>
                <w:bCs/>
                <w:color w:val="000000"/>
                <w:sz w:val="20"/>
                <w:szCs w:val="20"/>
              </w:rPr>
              <w:t>model</w:t>
            </w:r>
            <w:proofErr w:type="spellEnd"/>
          </w:p>
        </w:tc>
        <w:tc>
          <w:tcPr>
            <w:tcW w:w="6519" w:type="dxa"/>
            <w:tcBorders>
              <w:top w:val="single" w:sz="4" w:space="0" w:color="auto"/>
              <w:bottom w:val="single" w:sz="4" w:space="0" w:color="auto"/>
            </w:tcBorders>
          </w:tcPr>
          <w:p w14:paraId="122DBC48" w14:textId="77777777" w:rsidR="00151DC1" w:rsidRPr="00FF4E93" w:rsidRDefault="00151DC1" w:rsidP="00151DC1">
            <w:pPr>
              <w:spacing w:before="0" w:after="0"/>
              <w:rPr>
                <w:bCs/>
                <w:color w:val="000000"/>
                <w:sz w:val="20"/>
                <w:szCs w:val="20"/>
              </w:rPr>
            </w:pPr>
            <w:r w:rsidRPr="00FF4E93">
              <w:rPr>
                <w:bCs/>
                <w:color w:val="000000"/>
                <w:sz w:val="20"/>
                <w:szCs w:val="20"/>
              </w:rPr>
              <w:t xml:space="preserve">Definition </w:t>
            </w:r>
            <w:proofErr w:type="spellStart"/>
            <w:r w:rsidRPr="00FF4E93">
              <w:rPr>
                <w:bCs/>
                <w:color w:val="000000"/>
                <w:sz w:val="20"/>
                <w:szCs w:val="20"/>
              </w:rPr>
              <w:t>by</w:t>
            </w:r>
            <w:proofErr w:type="spellEnd"/>
            <w:r w:rsidRPr="00FF4E93">
              <w:rPr>
                <w:bCs/>
                <w:color w:val="000000"/>
                <w:sz w:val="20"/>
                <w:szCs w:val="20"/>
              </w:rPr>
              <w:t xml:space="preserve"> Gassmann et al. (2017)</w:t>
            </w:r>
          </w:p>
        </w:tc>
        <w:tc>
          <w:tcPr>
            <w:tcW w:w="5353" w:type="dxa"/>
            <w:tcBorders>
              <w:top w:val="single" w:sz="4" w:space="0" w:color="auto"/>
              <w:bottom w:val="single" w:sz="4" w:space="0" w:color="auto"/>
            </w:tcBorders>
          </w:tcPr>
          <w:p w14:paraId="7F9CC642" w14:textId="77777777" w:rsidR="00151DC1" w:rsidRPr="00FF4E93" w:rsidRDefault="00151DC1" w:rsidP="00151DC1">
            <w:pPr>
              <w:spacing w:before="0" w:after="0"/>
              <w:rPr>
                <w:bCs/>
                <w:color w:val="000000"/>
                <w:sz w:val="20"/>
                <w:szCs w:val="20"/>
              </w:rPr>
            </w:pPr>
            <w:r w:rsidRPr="00FF4E93">
              <w:rPr>
                <w:bCs/>
                <w:color w:val="000000"/>
                <w:sz w:val="20"/>
                <w:szCs w:val="20"/>
              </w:rPr>
              <w:t xml:space="preserve">Data </w:t>
            </w:r>
            <w:proofErr w:type="spellStart"/>
            <w:r w:rsidRPr="00FF4E93">
              <w:rPr>
                <w:bCs/>
                <w:color w:val="000000"/>
                <w:sz w:val="20"/>
                <w:szCs w:val="20"/>
              </w:rPr>
              <w:t>supporting</w:t>
            </w:r>
            <w:proofErr w:type="spellEnd"/>
            <w:r w:rsidRPr="00FF4E93">
              <w:rPr>
                <w:bCs/>
                <w:color w:val="000000"/>
                <w:sz w:val="20"/>
                <w:szCs w:val="20"/>
              </w:rPr>
              <w:t xml:space="preserve"> </w:t>
            </w:r>
            <w:proofErr w:type="spellStart"/>
            <w:r w:rsidRPr="00FF4E93">
              <w:rPr>
                <w:bCs/>
                <w:color w:val="000000"/>
                <w:sz w:val="20"/>
                <w:szCs w:val="20"/>
              </w:rPr>
              <w:t>pattern</w:t>
            </w:r>
            <w:proofErr w:type="spellEnd"/>
            <w:r w:rsidRPr="00FF4E93">
              <w:rPr>
                <w:bCs/>
                <w:color w:val="000000"/>
                <w:sz w:val="20"/>
                <w:szCs w:val="20"/>
              </w:rPr>
              <w:t xml:space="preserve"> </w:t>
            </w:r>
            <w:proofErr w:type="spellStart"/>
            <w:r w:rsidRPr="00FF4E93">
              <w:rPr>
                <w:bCs/>
                <w:color w:val="000000"/>
                <w:sz w:val="20"/>
                <w:szCs w:val="20"/>
              </w:rPr>
              <w:t>assignment</w:t>
            </w:r>
            <w:proofErr w:type="spellEnd"/>
          </w:p>
        </w:tc>
      </w:tr>
      <w:tr w:rsidR="00151DC1" w:rsidRPr="00FF4E93" w14:paraId="4542C6B6" w14:textId="77777777" w:rsidTr="00C54569">
        <w:tc>
          <w:tcPr>
            <w:tcW w:w="2405" w:type="dxa"/>
          </w:tcPr>
          <w:p w14:paraId="0048DA12" w14:textId="77777777" w:rsidR="00151DC1" w:rsidRPr="00FF4E93" w:rsidRDefault="00151DC1" w:rsidP="00151DC1">
            <w:pPr>
              <w:spacing w:before="0" w:after="0"/>
              <w:rPr>
                <w:bCs/>
                <w:color w:val="000000"/>
                <w:sz w:val="20"/>
                <w:szCs w:val="20"/>
              </w:rPr>
            </w:pPr>
            <w:r w:rsidRPr="00FF4E93">
              <w:rPr>
                <w:bCs/>
                <w:color w:val="000000"/>
                <w:sz w:val="20"/>
                <w:szCs w:val="20"/>
              </w:rPr>
              <w:t>Layer Player</w:t>
            </w:r>
          </w:p>
          <w:p w14:paraId="05E28284" w14:textId="77777777" w:rsidR="00151DC1" w:rsidRPr="00FF4E93" w:rsidRDefault="00151DC1" w:rsidP="00151DC1">
            <w:pPr>
              <w:widowControl w:val="0"/>
              <w:autoSpaceDE w:val="0"/>
              <w:autoSpaceDN w:val="0"/>
              <w:adjustRightInd w:val="0"/>
              <w:spacing w:before="0" w:after="0" w:line="200" w:lineRule="atLeast"/>
              <w:jc w:val="left"/>
              <w:rPr>
                <w:color w:val="000000"/>
                <w:sz w:val="20"/>
                <w:szCs w:val="20"/>
                <w:lang w:eastAsia="en-US"/>
              </w:rPr>
            </w:pPr>
            <w:r w:rsidRPr="00FF4E93">
              <w:rPr>
                <w:i/>
                <w:iCs/>
                <w:color w:val="000000"/>
                <w:sz w:val="20"/>
                <w:szCs w:val="20"/>
                <w:lang w:eastAsia="en-US"/>
              </w:rPr>
              <w:t>TRUSTe, PayPal, Amazon Web Services</w:t>
            </w:r>
          </w:p>
        </w:tc>
        <w:tc>
          <w:tcPr>
            <w:tcW w:w="6519" w:type="dxa"/>
          </w:tcPr>
          <w:p w14:paraId="5DB5A83E" w14:textId="77777777" w:rsidR="00151DC1" w:rsidRPr="00FF4E93" w:rsidRDefault="00151DC1" w:rsidP="00151DC1">
            <w:pPr>
              <w:widowControl w:val="0"/>
              <w:autoSpaceDE w:val="0"/>
              <w:autoSpaceDN w:val="0"/>
              <w:adjustRightInd w:val="0"/>
              <w:spacing w:before="0" w:after="0" w:line="200" w:lineRule="atLeast"/>
              <w:rPr>
                <w:color w:val="000000"/>
                <w:sz w:val="20"/>
                <w:szCs w:val="20"/>
                <w:lang w:eastAsia="en-US"/>
              </w:rPr>
            </w:pPr>
            <w:r w:rsidRPr="00FF4E93">
              <w:rPr>
                <w:color w:val="000000"/>
                <w:sz w:val="20"/>
                <w:szCs w:val="20"/>
                <w:lang w:eastAsia="en-US"/>
              </w:rPr>
              <w:t xml:space="preserve">A </w:t>
            </w:r>
            <w:proofErr w:type="spellStart"/>
            <w:r w:rsidRPr="00FF4E93">
              <w:rPr>
                <w:color w:val="000000"/>
                <w:sz w:val="20"/>
                <w:szCs w:val="20"/>
                <w:lang w:eastAsia="en-US"/>
              </w:rPr>
              <w:t>layer</w:t>
            </w:r>
            <w:proofErr w:type="spellEnd"/>
            <w:r w:rsidRPr="00FF4E93">
              <w:rPr>
                <w:color w:val="000000"/>
                <w:sz w:val="20"/>
                <w:szCs w:val="20"/>
                <w:lang w:eastAsia="en-US"/>
              </w:rPr>
              <w:t xml:space="preserve"> </w:t>
            </w:r>
            <w:proofErr w:type="spellStart"/>
            <w:r w:rsidRPr="00FF4E93">
              <w:rPr>
                <w:color w:val="000000"/>
                <w:sz w:val="20"/>
                <w:szCs w:val="20"/>
                <w:lang w:eastAsia="en-US"/>
              </w:rPr>
              <w:t>player</w:t>
            </w:r>
            <w:proofErr w:type="spellEnd"/>
            <w:r w:rsidRPr="00FF4E93">
              <w:rPr>
                <w:color w:val="000000"/>
                <w:sz w:val="20"/>
                <w:szCs w:val="20"/>
                <w:lang w:eastAsia="en-US"/>
              </w:rPr>
              <w:t xml:space="preserve"> </w:t>
            </w:r>
            <w:proofErr w:type="spellStart"/>
            <w:r w:rsidRPr="00FF4E93">
              <w:rPr>
                <w:color w:val="000000"/>
                <w:sz w:val="20"/>
                <w:szCs w:val="20"/>
                <w:lang w:eastAsia="en-US"/>
              </w:rPr>
              <w:t>is</w:t>
            </w:r>
            <w:proofErr w:type="spellEnd"/>
            <w:r w:rsidRPr="00FF4E93">
              <w:rPr>
                <w:color w:val="000000"/>
                <w:sz w:val="20"/>
                <w:szCs w:val="20"/>
                <w:lang w:eastAsia="en-US"/>
              </w:rPr>
              <w:t xml:space="preserve"> a </w:t>
            </w:r>
            <w:proofErr w:type="spellStart"/>
            <w:r w:rsidRPr="00FF4E93">
              <w:rPr>
                <w:color w:val="000000"/>
                <w:sz w:val="20"/>
                <w:szCs w:val="20"/>
                <w:lang w:eastAsia="en-US"/>
              </w:rPr>
              <w:t>specialized</w:t>
            </w:r>
            <w:proofErr w:type="spellEnd"/>
            <w:r w:rsidRPr="00FF4E93">
              <w:rPr>
                <w:color w:val="000000"/>
                <w:sz w:val="20"/>
                <w:szCs w:val="20"/>
                <w:lang w:eastAsia="en-US"/>
              </w:rPr>
              <w:t xml:space="preserve"> </w:t>
            </w:r>
            <w:proofErr w:type="spellStart"/>
            <w:r w:rsidRPr="00FF4E93">
              <w:rPr>
                <w:color w:val="000000"/>
                <w:sz w:val="20"/>
                <w:szCs w:val="20"/>
                <w:lang w:eastAsia="en-US"/>
              </w:rPr>
              <w:t>company</w:t>
            </w:r>
            <w:proofErr w:type="spellEnd"/>
            <w:r w:rsidRPr="00FF4E93">
              <w:rPr>
                <w:color w:val="000000"/>
                <w:sz w:val="20"/>
                <w:szCs w:val="20"/>
                <w:lang w:eastAsia="en-US"/>
              </w:rPr>
              <w:t xml:space="preserve"> limited </w:t>
            </w:r>
            <w:proofErr w:type="spellStart"/>
            <w:r w:rsidRPr="00FF4E93">
              <w:rPr>
                <w:color w:val="000000"/>
                <w:sz w:val="20"/>
                <w:szCs w:val="20"/>
                <w:lang w:eastAsia="en-US"/>
              </w:rPr>
              <w:t>to</w:t>
            </w:r>
            <w:proofErr w:type="spellEnd"/>
            <w:r w:rsidRPr="00FF4E93">
              <w:rPr>
                <w:color w:val="000000"/>
                <w:sz w:val="20"/>
                <w:szCs w:val="20"/>
                <w:lang w:eastAsia="en-US"/>
              </w:rPr>
              <w:t xml:space="preserve"> </w:t>
            </w:r>
            <w:proofErr w:type="spellStart"/>
            <w:r w:rsidRPr="00FF4E93">
              <w:rPr>
                <w:color w:val="000000"/>
                <w:sz w:val="20"/>
                <w:szCs w:val="20"/>
                <w:lang w:eastAsia="en-US"/>
              </w:rPr>
              <w:t>the</w:t>
            </w:r>
            <w:proofErr w:type="spellEnd"/>
            <w:r w:rsidRPr="00FF4E93">
              <w:rPr>
                <w:color w:val="000000"/>
                <w:sz w:val="20"/>
                <w:szCs w:val="20"/>
                <w:lang w:eastAsia="en-US"/>
              </w:rPr>
              <w:t xml:space="preserve"> </w:t>
            </w:r>
            <w:proofErr w:type="spellStart"/>
            <w:r w:rsidRPr="00FF4E93">
              <w:rPr>
                <w:color w:val="000000"/>
                <w:sz w:val="20"/>
                <w:szCs w:val="20"/>
                <w:lang w:eastAsia="en-US"/>
              </w:rPr>
              <w:t>provision</w:t>
            </w:r>
            <w:proofErr w:type="spellEnd"/>
            <w:r w:rsidRPr="00FF4E93">
              <w:rPr>
                <w:color w:val="000000"/>
                <w:sz w:val="20"/>
                <w:szCs w:val="20"/>
                <w:lang w:eastAsia="en-US"/>
              </w:rPr>
              <w:t xml:space="preserve"> </w:t>
            </w:r>
            <w:proofErr w:type="spellStart"/>
            <w:r w:rsidRPr="00FF4E93">
              <w:rPr>
                <w:color w:val="000000"/>
                <w:sz w:val="20"/>
                <w:szCs w:val="20"/>
                <w:lang w:eastAsia="en-US"/>
              </w:rPr>
              <w:t>of</w:t>
            </w:r>
            <w:proofErr w:type="spellEnd"/>
            <w:r w:rsidRPr="00FF4E93">
              <w:rPr>
                <w:color w:val="000000"/>
                <w:sz w:val="20"/>
                <w:szCs w:val="20"/>
                <w:lang w:eastAsia="en-US"/>
              </w:rPr>
              <w:t xml:space="preserve"> </w:t>
            </w:r>
            <w:proofErr w:type="spellStart"/>
            <w:r w:rsidRPr="00FF4E93">
              <w:rPr>
                <w:color w:val="000000"/>
                <w:sz w:val="20"/>
                <w:szCs w:val="20"/>
                <w:lang w:eastAsia="en-US"/>
              </w:rPr>
              <w:t>one</w:t>
            </w:r>
            <w:proofErr w:type="spellEnd"/>
            <w:r w:rsidRPr="00FF4E93">
              <w:rPr>
                <w:color w:val="000000"/>
                <w:sz w:val="20"/>
                <w:szCs w:val="20"/>
                <w:lang w:eastAsia="en-US"/>
              </w:rPr>
              <w:t xml:space="preserve"> </w:t>
            </w:r>
            <w:proofErr w:type="spellStart"/>
            <w:r w:rsidRPr="00FF4E93">
              <w:rPr>
                <w:color w:val="000000"/>
                <w:sz w:val="20"/>
                <w:szCs w:val="20"/>
                <w:lang w:eastAsia="en-US"/>
              </w:rPr>
              <w:t>value-adding</w:t>
            </w:r>
            <w:proofErr w:type="spellEnd"/>
            <w:r w:rsidRPr="00FF4E93">
              <w:rPr>
                <w:color w:val="000000"/>
                <w:sz w:val="20"/>
                <w:szCs w:val="20"/>
                <w:lang w:eastAsia="en-US"/>
              </w:rPr>
              <w:t xml:space="preserve"> </w:t>
            </w:r>
            <w:proofErr w:type="spellStart"/>
            <w:r w:rsidRPr="00FF4E93">
              <w:rPr>
                <w:color w:val="000000"/>
                <w:sz w:val="20"/>
                <w:szCs w:val="20"/>
                <w:lang w:eastAsia="en-US"/>
              </w:rPr>
              <w:t>step</w:t>
            </w:r>
            <w:proofErr w:type="spellEnd"/>
            <w:r w:rsidRPr="00FF4E93">
              <w:rPr>
                <w:color w:val="000000"/>
                <w:sz w:val="20"/>
                <w:szCs w:val="20"/>
                <w:lang w:eastAsia="en-US"/>
              </w:rPr>
              <w:t xml:space="preserve"> </w:t>
            </w:r>
            <w:proofErr w:type="spellStart"/>
            <w:r w:rsidRPr="00FF4E93">
              <w:rPr>
                <w:color w:val="000000"/>
                <w:sz w:val="20"/>
                <w:szCs w:val="20"/>
                <w:lang w:eastAsia="en-US"/>
              </w:rPr>
              <w:t>for</w:t>
            </w:r>
            <w:proofErr w:type="spellEnd"/>
            <w:r w:rsidRPr="00FF4E93">
              <w:rPr>
                <w:color w:val="000000"/>
                <w:sz w:val="20"/>
                <w:szCs w:val="20"/>
                <w:lang w:eastAsia="en-US"/>
              </w:rPr>
              <w:t xml:space="preserve"> different </w:t>
            </w:r>
            <w:proofErr w:type="spellStart"/>
            <w:r w:rsidRPr="00FF4E93">
              <w:rPr>
                <w:color w:val="000000"/>
                <w:sz w:val="20"/>
                <w:szCs w:val="20"/>
                <w:lang w:eastAsia="en-US"/>
              </w:rPr>
              <w:t>value</w:t>
            </w:r>
            <w:proofErr w:type="spellEnd"/>
            <w:r w:rsidRPr="00FF4E93">
              <w:rPr>
                <w:color w:val="000000"/>
                <w:sz w:val="20"/>
                <w:szCs w:val="20"/>
                <w:lang w:eastAsia="en-US"/>
              </w:rPr>
              <w:t xml:space="preserve"> </w:t>
            </w:r>
            <w:proofErr w:type="spellStart"/>
            <w:r w:rsidRPr="00FF4E93">
              <w:rPr>
                <w:color w:val="000000"/>
                <w:sz w:val="20"/>
                <w:szCs w:val="20"/>
                <w:lang w:eastAsia="en-US"/>
              </w:rPr>
              <w:t>chains</w:t>
            </w:r>
            <w:proofErr w:type="spellEnd"/>
            <w:r w:rsidRPr="00FF4E93">
              <w:rPr>
                <w:color w:val="000000"/>
                <w:sz w:val="20"/>
                <w:szCs w:val="20"/>
                <w:lang w:eastAsia="en-US"/>
              </w:rPr>
              <w:t xml:space="preserve">. This </w:t>
            </w:r>
            <w:proofErr w:type="spellStart"/>
            <w:r w:rsidRPr="00FF4E93">
              <w:rPr>
                <w:color w:val="000000"/>
                <w:sz w:val="20"/>
                <w:szCs w:val="20"/>
                <w:lang w:eastAsia="en-US"/>
              </w:rPr>
              <w:t>step</w:t>
            </w:r>
            <w:proofErr w:type="spellEnd"/>
            <w:r w:rsidRPr="00FF4E93">
              <w:rPr>
                <w:color w:val="000000"/>
                <w:sz w:val="20"/>
                <w:szCs w:val="20"/>
                <w:lang w:eastAsia="en-US"/>
              </w:rPr>
              <w:t xml:space="preserve"> </w:t>
            </w:r>
            <w:proofErr w:type="spellStart"/>
            <w:r w:rsidRPr="00FF4E93">
              <w:rPr>
                <w:color w:val="000000"/>
                <w:sz w:val="20"/>
                <w:szCs w:val="20"/>
                <w:lang w:eastAsia="en-US"/>
              </w:rPr>
              <w:t>is</w:t>
            </w:r>
            <w:proofErr w:type="spellEnd"/>
            <w:r w:rsidRPr="00FF4E93">
              <w:rPr>
                <w:color w:val="000000"/>
                <w:sz w:val="20"/>
                <w:szCs w:val="20"/>
                <w:lang w:eastAsia="en-US"/>
              </w:rPr>
              <w:t xml:space="preserve"> </w:t>
            </w:r>
            <w:proofErr w:type="spellStart"/>
            <w:r w:rsidRPr="00FF4E93">
              <w:rPr>
                <w:color w:val="000000"/>
                <w:sz w:val="20"/>
                <w:szCs w:val="20"/>
                <w:lang w:eastAsia="en-US"/>
              </w:rPr>
              <w:t>typically</w:t>
            </w:r>
            <w:proofErr w:type="spellEnd"/>
            <w:r w:rsidRPr="00FF4E93">
              <w:rPr>
                <w:color w:val="000000"/>
                <w:sz w:val="20"/>
                <w:szCs w:val="20"/>
                <w:lang w:eastAsia="en-US"/>
              </w:rPr>
              <w:t xml:space="preserve"> </w:t>
            </w:r>
            <w:proofErr w:type="spellStart"/>
            <w:r w:rsidRPr="00FF4E93">
              <w:rPr>
                <w:color w:val="000000"/>
                <w:sz w:val="20"/>
                <w:szCs w:val="20"/>
                <w:lang w:eastAsia="en-US"/>
              </w:rPr>
              <w:t>offered</w:t>
            </w:r>
            <w:proofErr w:type="spellEnd"/>
            <w:r w:rsidRPr="00FF4E93">
              <w:rPr>
                <w:color w:val="000000"/>
                <w:sz w:val="20"/>
                <w:szCs w:val="20"/>
                <w:lang w:eastAsia="en-US"/>
              </w:rPr>
              <w:t xml:space="preserve"> </w:t>
            </w:r>
            <w:proofErr w:type="spellStart"/>
            <w:r w:rsidRPr="00FF4E93">
              <w:rPr>
                <w:color w:val="000000"/>
                <w:sz w:val="20"/>
                <w:szCs w:val="20"/>
                <w:lang w:eastAsia="en-US"/>
              </w:rPr>
              <w:t>within</w:t>
            </w:r>
            <w:proofErr w:type="spellEnd"/>
            <w:r w:rsidRPr="00FF4E93">
              <w:rPr>
                <w:color w:val="000000"/>
                <w:sz w:val="20"/>
                <w:szCs w:val="20"/>
                <w:lang w:eastAsia="en-US"/>
              </w:rPr>
              <w:t xml:space="preserve"> a </w:t>
            </w:r>
            <w:proofErr w:type="spellStart"/>
            <w:r w:rsidRPr="00FF4E93">
              <w:rPr>
                <w:color w:val="000000"/>
                <w:sz w:val="20"/>
                <w:szCs w:val="20"/>
                <w:lang w:eastAsia="en-US"/>
              </w:rPr>
              <w:t>variety</w:t>
            </w:r>
            <w:proofErr w:type="spellEnd"/>
            <w:r w:rsidRPr="00FF4E93">
              <w:rPr>
                <w:color w:val="000000"/>
                <w:sz w:val="20"/>
                <w:szCs w:val="20"/>
                <w:lang w:eastAsia="en-US"/>
              </w:rPr>
              <w:t xml:space="preserve"> </w:t>
            </w:r>
            <w:proofErr w:type="spellStart"/>
            <w:r w:rsidRPr="00FF4E93">
              <w:rPr>
                <w:color w:val="000000"/>
                <w:sz w:val="20"/>
                <w:szCs w:val="20"/>
                <w:lang w:eastAsia="en-US"/>
              </w:rPr>
              <w:t>of</w:t>
            </w:r>
            <w:proofErr w:type="spellEnd"/>
            <w:r w:rsidRPr="00FF4E93">
              <w:rPr>
                <w:color w:val="000000"/>
                <w:sz w:val="20"/>
                <w:szCs w:val="20"/>
                <w:lang w:eastAsia="en-US"/>
              </w:rPr>
              <w:t xml:space="preserve"> </w:t>
            </w:r>
            <w:proofErr w:type="spellStart"/>
            <w:r w:rsidRPr="00FF4E93">
              <w:rPr>
                <w:color w:val="000000"/>
                <w:sz w:val="20"/>
                <w:szCs w:val="20"/>
                <w:lang w:eastAsia="en-US"/>
              </w:rPr>
              <w:t>independent</w:t>
            </w:r>
            <w:proofErr w:type="spellEnd"/>
            <w:r w:rsidRPr="00FF4E93">
              <w:rPr>
                <w:color w:val="000000"/>
                <w:sz w:val="20"/>
                <w:szCs w:val="20"/>
                <w:lang w:eastAsia="en-US"/>
              </w:rPr>
              <w:t xml:space="preserve"> </w:t>
            </w:r>
            <w:proofErr w:type="spellStart"/>
            <w:r w:rsidRPr="00FF4E93">
              <w:rPr>
                <w:color w:val="000000"/>
                <w:sz w:val="20"/>
                <w:szCs w:val="20"/>
                <w:lang w:eastAsia="en-US"/>
              </w:rPr>
              <w:t>markets</w:t>
            </w:r>
            <w:proofErr w:type="spellEnd"/>
            <w:r w:rsidRPr="00FF4E93">
              <w:rPr>
                <w:color w:val="000000"/>
                <w:sz w:val="20"/>
                <w:szCs w:val="20"/>
                <w:lang w:eastAsia="en-US"/>
              </w:rPr>
              <w:t xml:space="preserve"> </w:t>
            </w:r>
            <w:proofErr w:type="spellStart"/>
            <w:r w:rsidRPr="00FF4E93">
              <w:rPr>
                <w:color w:val="000000"/>
                <w:sz w:val="20"/>
                <w:szCs w:val="20"/>
                <w:lang w:eastAsia="en-US"/>
              </w:rPr>
              <w:t>and</w:t>
            </w:r>
            <w:proofErr w:type="spellEnd"/>
            <w:r w:rsidRPr="00FF4E93">
              <w:rPr>
                <w:color w:val="000000"/>
                <w:sz w:val="20"/>
                <w:szCs w:val="20"/>
                <w:lang w:eastAsia="en-US"/>
              </w:rPr>
              <w:t xml:space="preserve"> </w:t>
            </w:r>
            <w:proofErr w:type="spellStart"/>
            <w:r w:rsidRPr="00FF4E93">
              <w:rPr>
                <w:color w:val="000000"/>
                <w:sz w:val="20"/>
                <w:szCs w:val="20"/>
                <w:lang w:eastAsia="en-US"/>
              </w:rPr>
              <w:t>branches</w:t>
            </w:r>
            <w:proofErr w:type="spellEnd"/>
            <w:r w:rsidRPr="00FF4E93">
              <w:rPr>
                <w:color w:val="000000"/>
                <w:sz w:val="20"/>
                <w:szCs w:val="20"/>
                <w:lang w:eastAsia="en-US"/>
              </w:rPr>
              <w:t xml:space="preserve">. The </w:t>
            </w:r>
            <w:proofErr w:type="spellStart"/>
            <w:r w:rsidRPr="00FF4E93">
              <w:rPr>
                <w:color w:val="000000"/>
                <w:sz w:val="20"/>
                <w:szCs w:val="20"/>
                <w:lang w:eastAsia="en-US"/>
              </w:rPr>
              <w:t>company</w:t>
            </w:r>
            <w:proofErr w:type="spellEnd"/>
            <w:r w:rsidRPr="00FF4E93">
              <w:rPr>
                <w:color w:val="000000"/>
                <w:sz w:val="20"/>
                <w:szCs w:val="20"/>
                <w:lang w:eastAsia="en-US"/>
              </w:rPr>
              <w:t xml:space="preserve"> </w:t>
            </w:r>
            <w:proofErr w:type="spellStart"/>
            <w:r w:rsidRPr="00FF4E93">
              <w:rPr>
                <w:color w:val="000000"/>
                <w:sz w:val="20"/>
                <w:szCs w:val="20"/>
                <w:lang w:eastAsia="en-US"/>
              </w:rPr>
              <w:t>benefits</w:t>
            </w:r>
            <w:proofErr w:type="spellEnd"/>
            <w:r w:rsidRPr="00FF4E93">
              <w:rPr>
                <w:color w:val="000000"/>
                <w:sz w:val="20"/>
                <w:szCs w:val="20"/>
                <w:lang w:eastAsia="en-US"/>
              </w:rPr>
              <w:t xml:space="preserve"> </w:t>
            </w:r>
            <w:proofErr w:type="spellStart"/>
            <w:r w:rsidRPr="00FF4E93">
              <w:rPr>
                <w:color w:val="000000"/>
                <w:sz w:val="20"/>
                <w:szCs w:val="20"/>
                <w:lang w:eastAsia="en-US"/>
              </w:rPr>
              <w:t>from</w:t>
            </w:r>
            <w:proofErr w:type="spellEnd"/>
            <w:r w:rsidRPr="00FF4E93">
              <w:rPr>
                <w:color w:val="000000"/>
                <w:sz w:val="20"/>
                <w:szCs w:val="20"/>
                <w:lang w:eastAsia="en-US"/>
              </w:rPr>
              <w:t xml:space="preserve"> </w:t>
            </w:r>
            <w:proofErr w:type="spellStart"/>
            <w:r w:rsidRPr="00FF4E93">
              <w:rPr>
                <w:color w:val="000000"/>
                <w:sz w:val="20"/>
                <w:szCs w:val="20"/>
                <w:lang w:eastAsia="en-US"/>
              </w:rPr>
              <w:t>economies</w:t>
            </w:r>
            <w:proofErr w:type="spellEnd"/>
            <w:r w:rsidRPr="00FF4E93">
              <w:rPr>
                <w:color w:val="000000"/>
                <w:sz w:val="20"/>
                <w:szCs w:val="20"/>
                <w:lang w:eastAsia="en-US"/>
              </w:rPr>
              <w:t xml:space="preserve"> </w:t>
            </w:r>
            <w:proofErr w:type="spellStart"/>
            <w:r w:rsidRPr="00FF4E93">
              <w:rPr>
                <w:color w:val="000000"/>
                <w:sz w:val="20"/>
                <w:szCs w:val="20"/>
                <w:lang w:eastAsia="en-US"/>
              </w:rPr>
              <w:t>of</w:t>
            </w:r>
            <w:proofErr w:type="spellEnd"/>
            <w:r w:rsidRPr="00FF4E93">
              <w:rPr>
                <w:color w:val="000000"/>
                <w:sz w:val="20"/>
                <w:szCs w:val="20"/>
                <w:lang w:eastAsia="en-US"/>
              </w:rPr>
              <w:t xml:space="preserve"> </w:t>
            </w:r>
            <w:proofErr w:type="spellStart"/>
            <w:r w:rsidRPr="00FF4E93">
              <w:rPr>
                <w:color w:val="000000"/>
                <w:sz w:val="20"/>
                <w:szCs w:val="20"/>
                <w:lang w:eastAsia="en-US"/>
              </w:rPr>
              <w:t>scale</w:t>
            </w:r>
            <w:proofErr w:type="spellEnd"/>
            <w:r w:rsidRPr="00FF4E93">
              <w:rPr>
                <w:color w:val="000000"/>
                <w:sz w:val="20"/>
                <w:szCs w:val="20"/>
                <w:lang w:eastAsia="en-US"/>
              </w:rPr>
              <w:t xml:space="preserve"> </w:t>
            </w:r>
            <w:proofErr w:type="spellStart"/>
            <w:r w:rsidRPr="00FF4E93">
              <w:rPr>
                <w:color w:val="000000"/>
                <w:sz w:val="20"/>
                <w:szCs w:val="20"/>
                <w:lang w:eastAsia="en-US"/>
              </w:rPr>
              <w:t>and</w:t>
            </w:r>
            <w:proofErr w:type="spellEnd"/>
            <w:r w:rsidRPr="00FF4E93">
              <w:rPr>
                <w:color w:val="000000"/>
                <w:sz w:val="20"/>
                <w:szCs w:val="20"/>
                <w:lang w:eastAsia="en-US"/>
              </w:rPr>
              <w:t xml:space="preserve"> </w:t>
            </w:r>
            <w:proofErr w:type="spellStart"/>
            <w:r w:rsidRPr="00FF4E93">
              <w:rPr>
                <w:color w:val="000000"/>
                <w:sz w:val="20"/>
                <w:szCs w:val="20"/>
                <w:lang w:eastAsia="en-US"/>
              </w:rPr>
              <w:t>often</w:t>
            </w:r>
            <w:proofErr w:type="spellEnd"/>
            <w:r w:rsidRPr="00FF4E93">
              <w:rPr>
                <w:color w:val="000000"/>
                <w:sz w:val="20"/>
                <w:szCs w:val="20"/>
                <w:lang w:eastAsia="en-US"/>
              </w:rPr>
              <w:t xml:space="preserve"> </w:t>
            </w:r>
            <w:proofErr w:type="spellStart"/>
            <w:r w:rsidRPr="00FF4E93">
              <w:rPr>
                <w:color w:val="000000"/>
                <w:sz w:val="20"/>
                <w:szCs w:val="20"/>
                <w:lang w:eastAsia="en-US"/>
              </w:rPr>
              <w:t>produces</w:t>
            </w:r>
            <w:proofErr w:type="spellEnd"/>
            <w:r w:rsidRPr="00FF4E93">
              <w:rPr>
                <w:color w:val="000000"/>
                <w:sz w:val="20"/>
                <w:szCs w:val="20"/>
                <w:lang w:eastAsia="en-US"/>
              </w:rPr>
              <w:t xml:space="preserve"> </w:t>
            </w:r>
            <w:proofErr w:type="spellStart"/>
            <w:r w:rsidRPr="00FF4E93">
              <w:rPr>
                <w:color w:val="000000"/>
                <w:sz w:val="20"/>
                <w:szCs w:val="20"/>
                <w:lang w:eastAsia="en-US"/>
              </w:rPr>
              <w:t>more</w:t>
            </w:r>
            <w:proofErr w:type="spellEnd"/>
            <w:r w:rsidRPr="00FF4E93">
              <w:rPr>
                <w:color w:val="000000"/>
                <w:sz w:val="20"/>
                <w:szCs w:val="20"/>
                <w:lang w:eastAsia="en-US"/>
              </w:rPr>
              <w:t xml:space="preserve"> </w:t>
            </w:r>
            <w:proofErr w:type="spellStart"/>
            <w:r w:rsidRPr="00FF4E93">
              <w:rPr>
                <w:color w:val="000000"/>
                <w:sz w:val="20"/>
                <w:szCs w:val="20"/>
                <w:lang w:eastAsia="en-US"/>
              </w:rPr>
              <w:t>efficiently</w:t>
            </w:r>
            <w:proofErr w:type="spellEnd"/>
            <w:r w:rsidRPr="00FF4E93">
              <w:rPr>
                <w:color w:val="000000"/>
                <w:sz w:val="20"/>
                <w:szCs w:val="20"/>
                <w:lang w:eastAsia="en-US"/>
              </w:rPr>
              <w:t xml:space="preserve">. Further, </w:t>
            </w:r>
            <w:proofErr w:type="spellStart"/>
            <w:r w:rsidRPr="00FF4E93">
              <w:rPr>
                <w:color w:val="000000"/>
                <w:sz w:val="20"/>
                <w:szCs w:val="20"/>
                <w:lang w:eastAsia="en-US"/>
              </w:rPr>
              <w:t>the</w:t>
            </w:r>
            <w:proofErr w:type="spellEnd"/>
            <w:r w:rsidRPr="00FF4E93">
              <w:rPr>
                <w:color w:val="000000"/>
                <w:sz w:val="20"/>
                <w:szCs w:val="20"/>
                <w:lang w:eastAsia="en-US"/>
              </w:rPr>
              <w:t xml:space="preserve"> </w:t>
            </w:r>
            <w:proofErr w:type="spellStart"/>
            <w:r w:rsidRPr="00FF4E93">
              <w:rPr>
                <w:color w:val="000000"/>
                <w:sz w:val="20"/>
                <w:szCs w:val="20"/>
                <w:lang w:eastAsia="en-US"/>
              </w:rPr>
              <w:t>established</w:t>
            </w:r>
            <w:proofErr w:type="spellEnd"/>
            <w:r w:rsidRPr="00FF4E93">
              <w:rPr>
                <w:color w:val="000000"/>
                <w:sz w:val="20"/>
                <w:szCs w:val="20"/>
                <w:lang w:eastAsia="en-US"/>
              </w:rPr>
              <w:t xml:space="preserve"> </w:t>
            </w:r>
            <w:proofErr w:type="spellStart"/>
            <w:r w:rsidRPr="00FF4E93">
              <w:rPr>
                <w:color w:val="000000"/>
                <w:sz w:val="20"/>
                <w:szCs w:val="20"/>
                <w:lang w:eastAsia="en-US"/>
              </w:rPr>
              <w:t>special</w:t>
            </w:r>
            <w:proofErr w:type="spellEnd"/>
            <w:r w:rsidRPr="00FF4E93">
              <w:rPr>
                <w:color w:val="000000"/>
                <w:sz w:val="20"/>
                <w:szCs w:val="20"/>
                <w:lang w:eastAsia="en-US"/>
              </w:rPr>
              <w:t xml:space="preserve"> </w:t>
            </w:r>
            <w:proofErr w:type="spellStart"/>
            <w:r w:rsidRPr="00FF4E93">
              <w:rPr>
                <w:color w:val="000000"/>
                <w:sz w:val="20"/>
                <w:szCs w:val="20"/>
                <w:lang w:eastAsia="en-US"/>
              </w:rPr>
              <w:t>expertise</w:t>
            </w:r>
            <w:proofErr w:type="spellEnd"/>
            <w:r w:rsidRPr="00FF4E93">
              <w:rPr>
                <w:color w:val="000000"/>
                <w:sz w:val="20"/>
                <w:szCs w:val="20"/>
                <w:lang w:eastAsia="en-US"/>
              </w:rPr>
              <w:t xml:space="preserve"> </w:t>
            </w:r>
            <w:proofErr w:type="spellStart"/>
            <w:r w:rsidRPr="00FF4E93">
              <w:rPr>
                <w:color w:val="000000"/>
                <w:sz w:val="20"/>
                <w:szCs w:val="20"/>
                <w:lang w:eastAsia="en-US"/>
              </w:rPr>
              <w:t>can</w:t>
            </w:r>
            <w:proofErr w:type="spellEnd"/>
            <w:r w:rsidRPr="00FF4E93">
              <w:rPr>
                <w:color w:val="000000"/>
                <w:sz w:val="20"/>
                <w:szCs w:val="20"/>
                <w:lang w:eastAsia="en-US"/>
              </w:rPr>
              <w:t xml:space="preserve"> </w:t>
            </w:r>
            <w:proofErr w:type="spellStart"/>
            <w:r w:rsidRPr="00FF4E93">
              <w:rPr>
                <w:color w:val="000000"/>
                <w:sz w:val="20"/>
                <w:szCs w:val="20"/>
                <w:lang w:eastAsia="en-US"/>
              </w:rPr>
              <w:t>result</w:t>
            </w:r>
            <w:proofErr w:type="spellEnd"/>
            <w:r w:rsidRPr="00FF4E93">
              <w:rPr>
                <w:color w:val="000000"/>
                <w:sz w:val="20"/>
                <w:szCs w:val="20"/>
                <w:lang w:eastAsia="en-US"/>
              </w:rPr>
              <w:t xml:space="preserve"> in a </w:t>
            </w:r>
            <w:proofErr w:type="spellStart"/>
            <w:r w:rsidRPr="00FF4E93">
              <w:rPr>
                <w:color w:val="000000"/>
                <w:sz w:val="20"/>
                <w:szCs w:val="20"/>
                <w:lang w:eastAsia="en-US"/>
              </w:rPr>
              <w:t>higher</w:t>
            </w:r>
            <w:proofErr w:type="spellEnd"/>
            <w:r w:rsidRPr="00FF4E93">
              <w:rPr>
                <w:color w:val="000000"/>
                <w:sz w:val="20"/>
                <w:szCs w:val="20"/>
                <w:lang w:eastAsia="en-US"/>
              </w:rPr>
              <w:t xml:space="preserve"> </w:t>
            </w:r>
            <w:proofErr w:type="spellStart"/>
            <w:r w:rsidRPr="00FF4E93">
              <w:rPr>
                <w:color w:val="000000"/>
                <w:sz w:val="20"/>
                <w:szCs w:val="20"/>
                <w:lang w:eastAsia="en-US"/>
              </w:rPr>
              <w:t>quality</w:t>
            </w:r>
            <w:proofErr w:type="spellEnd"/>
            <w:r w:rsidRPr="00FF4E93">
              <w:rPr>
                <w:color w:val="000000"/>
                <w:sz w:val="20"/>
                <w:szCs w:val="20"/>
                <w:lang w:eastAsia="en-US"/>
              </w:rPr>
              <w:t xml:space="preserve"> </w:t>
            </w:r>
            <w:proofErr w:type="spellStart"/>
            <w:r w:rsidRPr="00FF4E93">
              <w:rPr>
                <w:color w:val="000000"/>
                <w:sz w:val="20"/>
                <w:szCs w:val="20"/>
                <w:lang w:eastAsia="en-US"/>
              </w:rPr>
              <w:t>process</w:t>
            </w:r>
            <w:proofErr w:type="spellEnd"/>
            <w:r w:rsidRPr="00FF4E93">
              <w:rPr>
                <w:color w:val="000000"/>
                <w:sz w:val="20"/>
                <w:szCs w:val="20"/>
                <w:lang w:eastAsia="en-US"/>
              </w:rPr>
              <w:t>.</w:t>
            </w:r>
          </w:p>
        </w:tc>
        <w:tc>
          <w:tcPr>
            <w:tcW w:w="5353" w:type="dxa"/>
          </w:tcPr>
          <w:p w14:paraId="1D0433C5" w14:textId="77777777" w:rsidR="00151DC1" w:rsidRPr="00FF4E93" w:rsidRDefault="00151DC1" w:rsidP="00151DC1">
            <w:pPr>
              <w:widowControl w:val="0"/>
              <w:autoSpaceDE w:val="0"/>
              <w:autoSpaceDN w:val="0"/>
              <w:adjustRightInd w:val="0"/>
              <w:spacing w:before="0" w:after="0" w:line="200" w:lineRule="atLeast"/>
              <w:rPr>
                <w:i/>
                <w:color w:val="000000"/>
                <w:sz w:val="20"/>
                <w:szCs w:val="20"/>
                <w:lang w:eastAsia="en-US"/>
              </w:rPr>
            </w:pPr>
            <w:proofErr w:type="spellStart"/>
            <w:r w:rsidRPr="00FF4E93">
              <w:rPr>
                <w:i/>
                <w:color w:val="000000"/>
                <w:sz w:val="20"/>
                <w:szCs w:val="20"/>
                <w:lang w:eastAsia="en-US"/>
              </w:rPr>
              <w:t>MindMaze</w:t>
            </w:r>
            <w:proofErr w:type="spellEnd"/>
            <w:r w:rsidRPr="00FF4E93">
              <w:rPr>
                <w:i/>
                <w:color w:val="000000"/>
                <w:sz w:val="20"/>
                <w:szCs w:val="20"/>
                <w:lang w:eastAsia="en-US"/>
              </w:rPr>
              <w:t xml:space="preserve"> </w:t>
            </w:r>
            <w:proofErr w:type="spellStart"/>
            <w:r w:rsidRPr="00FF4E93">
              <w:rPr>
                <w:i/>
                <w:color w:val="000000"/>
                <w:sz w:val="20"/>
                <w:szCs w:val="20"/>
                <w:lang w:eastAsia="en-US"/>
              </w:rPr>
              <w:t>builds</w:t>
            </w:r>
            <w:proofErr w:type="spellEnd"/>
            <w:r w:rsidRPr="00FF4E93">
              <w:rPr>
                <w:i/>
                <w:color w:val="000000"/>
                <w:sz w:val="20"/>
                <w:szCs w:val="20"/>
                <w:lang w:eastAsia="en-US"/>
              </w:rPr>
              <w:t xml:space="preserve"> </w:t>
            </w:r>
            <w:r w:rsidRPr="00FF4E93">
              <w:rPr>
                <w:b/>
                <w:bCs/>
                <w:i/>
                <w:color w:val="000000"/>
                <w:sz w:val="20"/>
                <w:szCs w:val="20"/>
                <w:lang w:eastAsia="en-US"/>
              </w:rPr>
              <w:t xml:space="preserve">intuitive human </w:t>
            </w:r>
            <w:proofErr w:type="spellStart"/>
            <w:r w:rsidRPr="00FF4E93">
              <w:rPr>
                <w:b/>
                <w:bCs/>
                <w:i/>
                <w:color w:val="000000"/>
                <w:sz w:val="20"/>
                <w:szCs w:val="20"/>
                <w:lang w:eastAsia="en-US"/>
              </w:rPr>
              <w:t>machine</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interfaces</w:t>
            </w:r>
            <w:proofErr w:type="spellEnd"/>
            <w:r w:rsidRPr="00FF4E93">
              <w:rPr>
                <w:i/>
                <w:color w:val="000000"/>
                <w:sz w:val="20"/>
                <w:szCs w:val="20"/>
                <w:lang w:eastAsia="en-US"/>
              </w:rPr>
              <w:t xml:space="preserve"> </w:t>
            </w:r>
            <w:proofErr w:type="spellStart"/>
            <w:r w:rsidRPr="00FF4E93">
              <w:rPr>
                <w:i/>
                <w:color w:val="000000"/>
                <w:sz w:val="20"/>
                <w:szCs w:val="20"/>
                <w:lang w:eastAsia="en-US"/>
              </w:rPr>
              <w:t>through</w:t>
            </w:r>
            <w:proofErr w:type="spellEnd"/>
            <w:r w:rsidRPr="00FF4E93">
              <w:rPr>
                <w:i/>
                <w:color w:val="000000"/>
                <w:sz w:val="20"/>
                <w:szCs w:val="20"/>
                <w:lang w:eastAsia="en-US"/>
              </w:rPr>
              <w:t xml:space="preserve"> </w:t>
            </w:r>
            <w:proofErr w:type="spellStart"/>
            <w:r w:rsidRPr="00FF4E93">
              <w:rPr>
                <w:i/>
                <w:color w:val="000000"/>
                <w:sz w:val="20"/>
                <w:szCs w:val="20"/>
                <w:lang w:eastAsia="en-US"/>
              </w:rPr>
              <w:t>its</w:t>
            </w:r>
            <w:proofErr w:type="spellEnd"/>
            <w:r w:rsidRPr="00FF4E93">
              <w:rPr>
                <w:i/>
                <w:color w:val="000000"/>
                <w:sz w:val="20"/>
                <w:szCs w:val="20"/>
                <w:lang w:eastAsia="en-US"/>
              </w:rPr>
              <w:t xml:space="preserve"> </w:t>
            </w:r>
            <w:proofErr w:type="spellStart"/>
            <w:r w:rsidRPr="00FF4E93">
              <w:rPr>
                <w:i/>
                <w:color w:val="000000"/>
                <w:sz w:val="20"/>
                <w:szCs w:val="20"/>
                <w:lang w:eastAsia="en-US"/>
              </w:rPr>
              <w:t>breakthrough</w:t>
            </w:r>
            <w:proofErr w:type="spellEnd"/>
            <w:r w:rsidRPr="00FF4E93">
              <w:rPr>
                <w:i/>
                <w:color w:val="000000"/>
                <w:sz w:val="20"/>
                <w:szCs w:val="20"/>
                <w:lang w:eastAsia="en-US"/>
              </w:rPr>
              <w:t xml:space="preserve"> neuro-</w:t>
            </w:r>
            <w:proofErr w:type="spellStart"/>
            <w:r w:rsidRPr="00FF4E93">
              <w:rPr>
                <w:i/>
                <w:color w:val="000000"/>
                <w:sz w:val="20"/>
                <w:szCs w:val="20"/>
                <w:lang w:eastAsia="en-US"/>
              </w:rPr>
              <w:t>inspired</w:t>
            </w:r>
            <w:proofErr w:type="spellEnd"/>
            <w:r w:rsidRPr="00FF4E93">
              <w:rPr>
                <w:i/>
                <w:color w:val="000000"/>
                <w:sz w:val="20"/>
                <w:szCs w:val="20"/>
                <w:lang w:eastAsia="en-US"/>
              </w:rPr>
              <w:t xml:space="preserve"> </w:t>
            </w:r>
            <w:proofErr w:type="spellStart"/>
            <w:r w:rsidRPr="00FF4E93">
              <w:rPr>
                <w:i/>
                <w:color w:val="000000"/>
                <w:sz w:val="20"/>
                <w:szCs w:val="20"/>
                <w:lang w:eastAsia="en-US"/>
              </w:rPr>
              <w:t>computing</w:t>
            </w:r>
            <w:proofErr w:type="spellEnd"/>
            <w:r w:rsidRPr="00FF4E93">
              <w:rPr>
                <w:i/>
                <w:color w:val="000000"/>
                <w:sz w:val="20"/>
                <w:szCs w:val="20"/>
                <w:lang w:eastAsia="en-US"/>
              </w:rPr>
              <w:t xml:space="preserve"> </w:t>
            </w:r>
            <w:proofErr w:type="spellStart"/>
            <w:r w:rsidRPr="00FF4E93">
              <w:rPr>
                <w:i/>
                <w:color w:val="000000"/>
                <w:sz w:val="20"/>
                <w:szCs w:val="20"/>
                <w:lang w:eastAsia="en-US"/>
              </w:rPr>
              <w:t>platform</w:t>
            </w:r>
            <w:proofErr w:type="spellEnd"/>
            <w:r w:rsidRPr="00FF4E93">
              <w:rPr>
                <w:i/>
                <w:color w:val="000000"/>
                <w:sz w:val="20"/>
                <w:szCs w:val="20"/>
                <w:lang w:eastAsia="en-US"/>
              </w:rPr>
              <w:t xml:space="preserve">. </w:t>
            </w:r>
            <w:proofErr w:type="spellStart"/>
            <w:r w:rsidRPr="00FF4E93">
              <w:rPr>
                <w:b/>
                <w:bCs/>
                <w:i/>
                <w:color w:val="000000"/>
                <w:sz w:val="20"/>
                <w:szCs w:val="20"/>
                <w:lang w:eastAsia="en-US"/>
              </w:rPr>
              <w:t>Our</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innovations</w:t>
            </w:r>
            <w:proofErr w:type="spellEnd"/>
            <w:r w:rsidRPr="00FF4E93">
              <w:rPr>
                <w:i/>
                <w:color w:val="000000"/>
                <w:sz w:val="20"/>
                <w:szCs w:val="20"/>
                <w:lang w:eastAsia="en-US"/>
              </w:rPr>
              <w:t xml:space="preserve"> at </w:t>
            </w:r>
            <w:proofErr w:type="spellStart"/>
            <w:r w:rsidRPr="00FF4E93">
              <w:rPr>
                <w:i/>
                <w:color w:val="000000"/>
                <w:sz w:val="20"/>
                <w:szCs w:val="20"/>
                <w:lang w:eastAsia="en-US"/>
              </w:rPr>
              <w:t>the</w:t>
            </w:r>
            <w:proofErr w:type="spellEnd"/>
            <w:r w:rsidRPr="00FF4E93">
              <w:rPr>
                <w:i/>
                <w:color w:val="000000"/>
                <w:sz w:val="20"/>
                <w:szCs w:val="20"/>
                <w:lang w:eastAsia="en-US"/>
              </w:rPr>
              <w:t xml:space="preserve"> </w:t>
            </w:r>
            <w:proofErr w:type="spellStart"/>
            <w:r w:rsidRPr="00FF4E93">
              <w:rPr>
                <w:i/>
                <w:color w:val="000000"/>
                <w:sz w:val="20"/>
                <w:szCs w:val="20"/>
                <w:lang w:eastAsia="en-US"/>
              </w:rPr>
              <w:t>intersection</w:t>
            </w:r>
            <w:proofErr w:type="spellEnd"/>
            <w:r w:rsidRPr="00FF4E93">
              <w:rPr>
                <w:i/>
                <w:color w:val="000000"/>
                <w:sz w:val="20"/>
                <w:szCs w:val="20"/>
                <w:lang w:eastAsia="en-US"/>
              </w:rPr>
              <w:t xml:space="preserve"> </w:t>
            </w:r>
            <w:proofErr w:type="spellStart"/>
            <w:r w:rsidRPr="00FF4E93">
              <w:rPr>
                <w:i/>
                <w:color w:val="000000"/>
                <w:sz w:val="20"/>
                <w:szCs w:val="20"/>
                <w:lang w:eastAsia="en-US"/>
              </w:rPr>
              <w:t>of</w:t>
            </w:r>
            <w:proofErr w:type="spellEnd"/>
            <w:r w:rsidRPr="00FF4E93">
              <w:rPr>
                <w:i/>
                <w:color w:val="000000"/>
                <w:sz w:val="20"/>
                <w:szCs w:val="20"/>
                <w:lang w:eastAsia="en-US"/>
              </w:rPr>
              <w:t xml:space="preserve"> </w:t>
            </w:r>
            <w:proofErr w:type="spellStart"/>
            <w:r w:rsidRPr="00FF4E93">
              <w:rPr>
                <w:i/>
                <w:color w:val="000000"/>
                <w:sz w:val="20"/>
                <w:szCs w:val="20"/>
                <w:lang w:eastAsia="en-US"/>
              </w:rPr>
              <w:t>neuroscience</w:t>
            </w:r>
            <w:proofErr w:type="spellEnd"/>
            <w:r w:rsidRPr="00FF4E93">
              <w:rPr>
                <w:i/>
                <w:color w:val="000000"/>
                <w:sz w:val="20"/>
                <w:szCs w:val="20"/>
                <w:lang w:eastAsia="en-US"/>
              </w:rPr>
              <w:t xml:space="preserve">, </w:t>
            </w:r>
            <w:proofErr w:type="spellStart"/>
            <w:r w:rsidRPr="00FF4E93">
              <w:rPr>
                <w:i/>
                <w:color w:val="000000"/>
                <w:sz w:val="20"/>
                <w:szCs w:val="20"/>
                <w:lang w:eastAsia="en-US"/>
              </w:rPr>
              <w:t>mixed</w:t>
            </w:r>
            <w:proofErr w:type="spellEnd"/>
            <w:r w:rsidRPr="00FF4E93">
              <w:rPr>
                <w:i/>
                <w:color w:val="000000"/>
                <w:sz w:val="20"/>
                <w:szCs w:val="20"/>
                <w:lang w:eastAsia="en-US"/>
              </w:rPr>
              <w:t xml:space="preserve"> </w:t>
            </w:r>
            <w:proofErr w:type="spellStart"/>
            <w:r w:rsidRPr="00FF4E93">
              <w:rPr>
                <w:i/>
                <w:color w:val="000000"/>
                <w:sz w:val="20"/>
                <w:szCs w:val="20"/>
                <w:lang w:eastAsia="en-US"/>
              </w:rPr>
              <w:t>reality</w:t>
            </w:r>
            <w:proofErr w:type="spellEnd"/>
            <w:r w:rsidRPr="00FF4E93">
              <w:rPr>
                <w:i/>
                <w:color w:val="000000"/>
                <w:sz w:val="20"/>
                <w:szCs w:val="20"/>
                <w:lang w:eastAsia="en-US"/>
              </w:rPr>
              <w:t xml:space="preserve"> </w:t>
            </w:r>
            <w:proofErr w:type="spellStart"/>
            <w:r w:rsidRPr="00FF4E93">
              <w:rPr>
                <w:i/>
                <w:color w:val="000000"/>
                <w:sz w:val="20"/>
                <w:szCs w:val="20"/>
                <w:lang w:eastAsia="en-US"/>
              </w:rPr>
              <w:t>and</w:t>
            </w:r>
            <w:proofErr w:type="spellEnd"/>
            <w:r w:rsidRPr="00FF4E93">
              <w:rPr>
                <w:i/>
                <w:color w:val="000000"/>
                <w:sz w:val="20"/>
                <w:szCs w:val="20"/>
                <w:lang w:eastAsia="en-US"/>
              </w:rPr>
              <w:t xml:space="preserve"> </w:t>
            </w:r>
            <w:proofErr w:type="spellStart"/>
            <w:r w:rsidRPr="00FF4E93">
              <w:rPr>
                <w:i/>
                <w:color w:val="000000"/>
                <w:sz w:val="20"/>
                <w:szCs w:val="20"/>
                <w:lang w:eastAsia="en-US"/>
              </w:rPr>
              <w:t>artificial</w:t>
            </w:r>
            <w:proofErr w:type="spellEnd"/>
            <w:r w:rsidRPr="00FF4E93">
              <w:rPr>
                <w:i/>
                <w:color w:val="000000"/>
                <w:sz w:val="20"/>
                <w:szCs w:val="20"/>
                <w:lang w:eastAsia="en-US"/>
              </w:rPr>
              <w:t xml:space="preserve"> </w:t>
            </w:r>
            <w:proofErr w:type="spellStart"/>
            <w:r w:rsidRPr="00FF4E93">
              <w:rPr>
                <w:i/>
                <w:color w:val="000000"/>
                <w:sz w:val="20"/>
                <w:szCs w:val="20"/>
                <w:lang w:eastAsia="en-US"/>
              </w:rPr>
              <w:t>intelligence</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are</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poised</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to</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transform</w:t>
            </w:r>
            <w:proofErr w:type="spellEnd"/>
            <w:r w:rsidRPr="00FF4E93">
              <w:rPr>
                <w:b/>
                <w:bCs/>
                <w:i/>
                <w:color w:val="000000"/>
                <w:sz w:val="20"/>
                <w:szCs w:val="20"/>
                <w:lang w:eastAsia="en-US"/>
              </w:rPr>
              <w:t xml:space="preserve"> multiple </w:t>
            </w:r>
            <w:proofErr w:type="spellStart"/>
            <w:r w:rsidRPr="00FF4E93">
              <w:rPr>
                <w:b/>
                <w:bCs/>
                <w:i/>
                <w:color w:val="000000"/>
                <w:sz w:val="20"/>
                <w:szCs w:val="20"/>
                <w:lang w:eastAsia="en-US"/>
              </w:rPr>
              <w:t>industries</w:t>
            </w:r>
            <w:proofErr w:type="spellEnd"/>
            <w:r w:rsidRPr="00FF4E93">
              <w:rPr>
                <w:b/>
                <w:bCs/>
                <w:i/>
                <w:color w:val="000000"/>
                <w:sz w:val="20"/>
                <w:szCs w:val="20"/>
                <w:lang w:eastAsia="en-US"/>
              </w:rPr>
              <w:t>.</w:t>
            </w:r>
          </w:p>
        </w:tc>
      </w:tr>
      <w:tr w:rsidR="00151DC1" w:rsidRPr="00FF4E93" w14:paraId="7F4E8710" w14:textId="77777777" w:rsidTr="00C54569">
        <w:tc>
          <w:tcPr>
            <w:tcW w:w="2405" w:type="dxa"/>
          </w:tcPr>
          <w:p w14:paraId="2DCE0C29" w14:textId="77777777" w:rsidR="00151DC1" w:rsidRPr="00FF4E93" w:rsidRDefault="00151DC1" w:rsidP="00151DC1">
            <w:pPr>
              <w:spacing w:before="0" w:after="0"/>
              <w:rPr>
                <w:bCs/>
                <w:color w:val="000000"/>
                <w:sz w:val="20"/>
                <w:szCs w:val="20"/>
              </w:rPr>
            </w:pPr>
            <w:r w:rsidRPr="00FF4E93">
              <w:rPr>
                <w:bCs/>
                <w:color w:val="000000"/>
                <w:sz w:val="20"/>
                <w:szCs w:val="20"/>
              </w:rPr>
              <w:t>Open Business Model</w:t>
            </w:r>
          </w:p>
          <w:p w14:paraId="54B544C7" w14:textId="77777777" w:rsidR="00151DC1" w:rsidRPr="00FF4E93" w:rsidRDefault="00151DC1" w:rsidP="00151DC1">
            <w:pPr>
              <w:widowControl w:val="0"/>
              <w:autoSpaceDE w:val="0"/>
              <w:autoSpaceDN w:val="0"/>
              <w:adjustRightInd w:val="0"/>
              <w:spacing w:before="0" w:after="0" w:line="200" w:lineRule="atLeast"/>
              <w:jc w:val="left"/>
              <w:rPr>
                <w:color w:val="000000"/>
                <w:sz w:val="20"/>
                <w:szCs w:val="20"/>
                <w:lang w:eastAsia="en-US"/>
              </w:rPr>
            </w:pPr>
            <w:proofErr w:type="spellStart"/>
            <w:r w:rsidRPr="00FF4E93">
              <w:rPr>
                <w:i/>
                <w:iCs/>
                <w:color w:val="000000"/>
                <w:sz w:val="20"/>
                <w:szCs w:val="20"/>
                <w:lang w:eastAsia="en-US"/>
              </w:rPr>
              <w:t>Valve</w:t>
            </w:r>
            <w:proofErr w:type="spellEnd"/>
            <w:r w:rsidRPr="00FF4E93">
              <w:rPr>
                <w:i/>
                <w:iCs/>
                <w:color w:val="000000"/>
                <w:sz w:val="20"/>
                <w:szCs w:val="20"/>
                <w:lang w:eastAsia="en-US"/>
              </w:rPr>
              <w:t xml:space="preserve"> Corporation, </w:t>
            </w:r>
            <w:proofErr w:type="spellStart"/>
            <w:r w:rsidRPr="00FF4E93">
              <w:rPr>
                <w:i/>
                <w:iCs/>
                <w:color w:val="000000"/>
                <w:sz w:val="20"/>
                <w:szCs w:val="20"/>
                <w:lang w:eastAsia="en-US"/>
              </w:rPr>
              <w:t>Abril</w:t>
            </w:r>
            <w:proofErr w:type="spellEnd"/>
            <w:r w:rsidRPr="00FF4E93">
              <w:rPr>
                <w:i/>
                <w:iCs/>
                <w:color w:val="000000"/>
                <w:sz w:val="20"/>
                <w:szCs w:val="20"/>
                <w:lang w:eastAsia="en-US"/>
              </w:rPr>
              <w:t xml:space="preserve">, Procter &amp; </w:t>
            </w:r>
            <w:proofErr w:type="spellStart"/>
            <w:r w:rsidRPr="00FF4E93">
              <w:rPr>
                <w:i/>
                <w:iCs/>
                <w:color w:val="000000"/>
                <w:sz w:val="20"/>
                <w:szCs w:val="20"/>
                <w:lang w:eastAsia="en-US"/>
              </w:rPr>
              <w:t>Gamble</w:t>
            </w:r>
            <w:proofErr w:type="spellEnd"/>
          </w:p>
        </w:tc>
        <w:tc>
          <w:tcPr>
            <w:tcW w:w="6519" w:type="dxa"/>
          </w:tcPr>
          <w:p w14:paraId="491C75DC" w14:textId="77777777" w:rsidR="00151DC1" w:rsidRPr="00FF4E93" w:rsidRDefault="00151DC1" w:rsidP="00151DC1">
            <w:pPr>
              <w:widowControl w:val="0"/>
              <w:autoSpaceDE w:val="0"/>
              <w:autoSpaceDN w:val="0"/>
              <w:adjustRightInd w:val="0"/>
              <w:spacing w:before="0" w:after="0" w:line="200" w:lineRule="atLeast"/>
              <w:rPr>
                <w:color w:val="000000"/>
                <w:sz w:val="20"/>
                <w:szCs w:val="20"/>
                <w:lang w:eastAsia="en-US"/>
              </w:rPr>
            </w:pPr>
            <w:r w:rsidRPr="00FF4E93">
              <w:rPr>
                <w:color w:val="000000"/>
                <w:sz w:val="20"/>
                <w:szCs w:val="20"/>
                <w:lang w:eastAsia="en-US"/>
              </w:rPr>
              <w:t xml:space="preserve">In open </w:t>
            </w:r>
            <w:proofErr w:type="spellStart"/>
            <w:r w:rsidRPr="00FF4E93">
              <w:rPr>
                <w:color w:val="000000"/>
                <w:sz w:val="20"/>
                <w:szCs w:val="20"/>
                <w:lang w:eastAsia="en-US"/>
              </w:rPr>
              <w:t>business</w:t>
            </w:r>
            <w:proofErr w:type="spellEnd"/>
            <w:r w:rsidRPr="00FF4E93">
              <w:rPr>
                <w:color w:val="000000"/>
                <w:sz w:val="20"/>
                <w:szCs w:val="20"/>
                <w:lang w:eastAsia="en-US"/>
              </w:rPr>
              <w:t xml:space="preserve"> </w:t>
            </w:r>
            <w:proofErr w:type="spellStart"/>
            <w:r w:rsidRPr="00FF4E93">
              <w:rPr>
                <w:color w:val="000000"/>
                <w:sz w:val="20"/>
                <w:szCs w:val="20"/>
                <w:lang w:eastAsia="en-US"/>
              </w:rPr>
              <w:t>models</w:t>
            </w:r>
            <w:proofErr w:type="spellEnd"/>
            <w:r w:rsidRPr="00FF4E93">
              <w:rPr>
                <w:color w:val="000000"/>
                <w:sz w:val="20"/>
                <w:szCs w:val="20"/>
                <w:lang w:eastAsia="en-US"/>
              </w:rPr>
              <w:t xml:space="preserve">, </w:t>
            </w:r>
            <w:proofErr w:type="spellStart"/>
            <w:r w:rsidRPr="00FF4E93">
              <w:rPr>
                <w:color w:val="000000"/>
                <w:sz w:val="20"/>
                <w:szCs w:val="20"/>
                <w:lang w:eastAsia="en-US"/>
              </w:rPr>
              <w:t>collaboration</w:t>
            </w:r>
            <w:proofErr w:type="spellEnd"/>
            <w:r w:rsidRPr="00FF4E93">
              <w:rPr>
                <w:color w:val="000000"/>
                <w:sz w:val="20"/>
                <w:szCs w:val="20"/>
                <w:lang w:eastAsia="en-US"/>
              </w:rPr>
              <w:t xml:space="preserve"> </w:t>
            </w:r>
            <w:proofErr w:type="spellStart"/>
            <w:r w:rsidRPr="00FF4E93">
              <w:rPr>
                <w:color w:val="000000"/>
                <w:sz w:val="20"/>
                <w:szCs w:val="20"/>
                <w:lang w:eastAsia="en-US"/>
              </w:rPr>
              <w:t>with</w:t>
            </w:r>
            <w:proofErr w:type="spellEnd"/>
            <w:r w:rsidRPr="00FF4E93">
              <w:rPr>
                <w:color w:val="000000"/>
                <w:sz w:val="20"/>
                <w:szCs w:val="20"/>
                <w:lang w:eastAsia="en-US"/>
              </w:rPr>
              <w:t xml:space="preserve"> </w:t>
            </w:r>
            <w:proofErr w:type="spellStart"/>
            <w:r w:rsidRPr="00FF4E93">
              <w:rPr>
                <w:color w:val="000000"/>
                <w:sz w:val="20"/>
                <w:szCs w:val="20"/>
                <w:lang w:eastAsia="en-US"/>
              </w:rPr>
              <w:t>partners</w:t>
            </w:r>
            <w:proofErr w:type="spellEnd"/>
            <w:r w:rsidRPr="00FF4E93">
              <w:rPr>
                <w:color w:val="000000"/>
                <w:sz w:val="20"/>
                <w:szCs w:val="20"/>
                <w:lang w:eastAsia="en-US"/>
              </w:rPr>
              <w:t xml:space="preserve"> in </w:t>
            </w:r>
            <w:proofErr w:type="spellStart"/>
            <w:r w:rsidRPr="00FF4E93">
              <w:rPr>
                <w:color w:val="000000"/>
                <w:sz w:val="20"/>
                <w:szCs w:val="20"/>
                <w:lang w:eastAsia="en-US"/>
              </w:rPr>
              <w:t>the</w:t>
            </w:r>
            <w:proofErr w:type="spellEnd"/>
            <w:r w:rsidRPr="00FF4E93">
              <w:rPr>
                <w:color w:val="000000"/>
                <w:sz w:val="20"/>
                <w:szCs w:val="20"/>
                <w:lang w:eastAsia="en-US"/>
              </w:rPr>
              <w:t xml:space="preserve"> </w:t>
            </w:r>
            <w:proofErr w:type="spellStart"/>
            <w:r w:rsidRPr="00FF4E93">
              <w:rPr>
                <w:color w:val="000000"/>
                <w:sz w:val="20"/>
                <w:szCs w:val="20"/>
                <w:lang w:eastAsia="en-US"/>
              </w:rPr>
              <w:t>ecosystem</w:t>
            </w:r>
            <w:proofErr w:type="spellEnd"/>
            <w:r w:rsidRPr="00FF4E93">
              <w:rPr>
                <w:color w:val="000000"/>
                <w:sz w:val="20"/>
                <w:szCs w:val="20"/>
                <w:lang w:eastAsia="en-US"/>
              </w:rPr>
              <w:t xml:space="preserve"> </w:t>
            </w:r>
            <w:proofErr w:type="spellStart"/>
            <w:r w:rsidRPr="00FF4E93">
              <w:rPr>
                <w:color w:val="000000"/>
                <w:sz w:val="20"/>
                <w:szCs w:val="20"/>
                <w:lang w:eastAsia="en-US"/>
              </w:rPr>
              <w:t>becomes</w:t>
            </w:r>
            <w:proofErr w:type="spellEnd"/>
            <w:r w:rsidRPr="00FF4E93">
              <w:rPr>
                <w:color w:val="000000"/>
                <w:sz w:val="20"/>
                <w:szCs w:val="20"/>
                <w:lang w:eastAsia="en-US"/>
              </w:rPr>
              <w:t xml:space="preserve"> a </w:t>
            </w:r>
            <w:proofErr w:type="spellStart"/>
            <w:r w:rsidRPr="00FF4E93">
              <w:rPr>
                <w:color w:val="000000"/>
                <w:sz w:val="20"/>
                <w:szCs w:val="20"/>
                <w:lang w:eastAsia="en-US"/>
              </w:rPr>
              <w:t>central</w:t>
            </w:r>
            <w:proofErr w:type="spellEnd"/>
            <w:r w:rsidRPr="00FF4E93">
              <w:rPr>
                <w:color w:val="000000"/>
                <w:sz w:val="20"/>
                <w:szCs w:val="20"/>
                <w:lang w:eastAsia="en-US"/>
              </w:rPr>
              <w:t xml:space="preserve"> </w:t>
            </w:r>
            <w:proofErr w:type="spellStart"/>
            <w:r w:rsidRPr="00FF4E93">
              <w:rPr>
                <w:color w:val="000000"/>
                <w:sz w:val="20"/>
                <w:szCs w:val="20"/>
                <w:lang w:eastAsia="en-US"/>
              </w:rPr>
              <w:t>source</w:t>
            </w:r>
            <w:proofErr w:type="spellEnd"/>
            <w:r w:rsidRPr="00FF4E93">
              <w:rPr>
                <w:color w:val="000000"/>
                <w:sz w:val="20"/>
                <w:szCs w:val="20"/>
                <w:lang w:eastAsia="en-US"/>
              </w:rPr>
              <w:t xml:space="preserve"> </w:t>
            </w:r>
            <w:proofErr w:type="spellStart"/>
            <w:r w:rsidRPr="00FF4E93">
              <w:rPr>
                <w:color w:val="000000"/>
                <w:sz w:val="20"/>
                <w:szCs w:val="20"/>
                <w:lang w:eastAsia="en-US"/>
              </w:rPr>
              <w:t>of</w:t>
            </w:r>
            <w:proofErr w:type="spellEnd"/>
            <w:r w:rsidRPr="00FF4E93">
              <w:rPr>
                <w:color w:val="000000"/>
                <w:sz w:val="20"/>
                <w:szCs w:val="20"/>
                <w:lang w:eastAsia="en-US"/>
              </w:rPr>
              <w:t xml:space="preserve"> </w:t>
            </w:r>
            <w:proofErr w:type="spellStart"/>
            <w:r w:rsidRPr="00FF4E93">
              <w:rPr>
                <w:color w:val="000000"/>
                <w:sz w:val="20"/>
                <w:szCs w:val="20"/>
                <w:lang w:eastAsia="en-US"/>
              </w:rPr>
              <w:t>value</w:t>
            </w:r>
            <w:proofErr w:type="spellEnd"/>
            <w:r w:rsidRPr="00FF4E93">
              <w:rPr>
                <w:color w:val="000000"/>
                <w:sz w:val="20"/>
                <w:szCs w:val="20"/>
                <w:lang w:eastAsia="en-US"/>
              </w:rPr>
              <w:t xml:space="preserve"> </w:t>
            </w:r>
            <w:proofErr w:type="spellStart"/>
            <w:r w:rsidRPr="00FF4E93">
              <w:rPr>
                <w:color w:val="000000"/>
                <w:sz w:val="20"/>
                <w:szCs w:val="20"/>
                <w:lang w:eastAsia="en-US"/>
              </w:rPr>
              <w:t>creation</w:t>
            </w:r>
            <w:proofErr w:type="spellEnd"/>
            <w:r w:rsidRPr="00FF4E93">
              <w:rPr>
                <w:color w:val="000000"/>
                <w:sz w:val="20"/>
                <w:szCs w:val="20"/>
                <w:lang w:eastAsia="en-US"/>
              </w:rPr>
              <w:t xml:space="preserve">. Companies </w:t>
            </w:r>
            <w:proofErr w:type="spellStart"/>
            <w:r w:rsidRPr="00FF4E93">
              <w:rPr>
                <w:color w:val="000000"/>
                <w:sz w:val="20"/>
                <w:szCs w:val="20"/>
                <w:lang w:eastAsia="en-US"/>
              </w:rPr>
              <w:t>pursuing</w:t>
            </w:r>
            <w:proofErr w:type="spellEnd"/>
            <w:r w:rsidRPr="00FF4E93">
              <w:rPr>
                <w:color w:val="000000"/>
                <w:sz w:val="20"/>
                <w:szCs w:val="20"/>
                <w:lang w:eastAsia="en-US"/>
              </w:rPr>
              <w:t xml:space="preserve"> an open </w:t>
            </w:r>
            <w:proofErr w:type="spellStart"/>
            <w:r w:rsidRPr="00FF4E93">
              <w:rPr>
                <w:color w:val="000000"/>
                <w:sz w:val="20"/>
                <w:szCs w:val="20"/>
                <w:lang w:eastAsia="en-US"/>
              </w:rPr>
              <w:t>business</w:t>
            </w:r>
            <w:proofErr w:type="spellEnd"/>
            <w:r w:rsidRPr="00FF4E93">
              <w:rPr>
                <w:color w:val="000000"/>
                <w:sz w:val="20"/>
                <w:szCs w:val="20"/>
                <w:lang w:eastAsia="en-US"/>
              </w:rPr>
              <w:t xml:space="preserve"> </w:t>
            </w:r>
            <w:proofErr w:type="spellStart"/>
            <w:r w:rsidRPr="00FF4E93">
              <w:rPr>
                <w:color w:val="000000"/>
                <w:sz w:val="20"/>
                <w:szCs w:val="20"/>
                <w:lang w:eastAsia="en-US"/>
              </w:rPr>
              <w:t>model</w:t>
            </w:r>
            <w:proofErr w:type="spellEnd"/>
            <w:r w:rsidRPr="00FF4E93">
              <w:rPr>
                <w:color w:val="000000"/>
                <w:sz w:val="20"/>
                <w:szCs w:val="20"/>
                <w:lang w:eastAsia="en-US"/>
              </w:rPr>
              <w:t xml:space="preserve"> </w:t>
            </w:r>
            <w:proofErr w:type="spellStart"/>
            <w:r w:rsidRPr="00FF4E93">
              <w:rPr>
                <w:color w:val="000000"/>
                <w:sz w:val="20"/>
                <w:szCs w:val="20"/>
                <w:lang w:eastAsia="en-US"/>
              </w:rPr>
              <w:t>actively</w:t>
            </w:r>
            <w:proofErr w:type="spellEnd"/>
            <w:r w:rsidRPr="00FF4E93">
              <w:rPr>
                <w:color w:val="000000"/>
                <w:sz w:val="20"/>
                <w:szCs w:val="20"/>
                <w:lang w:eastAsia="en-US"/>
              </w:rPr>
              <w:t xml:space="preserve"> </w:t>
            </w:r>
            <w:proofErr w:type="spellStart"/>
            <w:r w:rsidRPr="00FF4E93">
              <w:rPr>
                <w:color w:val="000000"/>
                <w:sz w:val="20"/>
                <w:szCs w:val="20"/>
                <w:lang w:eastAsia="en-US"/>
              </w:rPr>
              <w:t>search</w:t>
            </w:r>
            <w:proofErr w:type="spellEnd"/>
            <w:r w:rsidRPr="00FF4E93">
              <w:rPr>
                <w:color w:val="000000"/>
                <w:sz w:val="20"/>
                <w:szCs w:val="20"/>
                <w:lang w:eastAsia="en-US"/>
              </w:rPr>
              <w:t xml:space="preserve"> </w:t>
            </w:r>
            <w:proofErr w:type="spellStart"/>
            <w:r w:rsidRPr="00FF4E93">
              <w:rPr>
                <w:color w:val="000000"/>
                <w:sz w:val="20"/>
                <w:szCs w:val="20"/>
                <w:lang w:eastAsia="en-US"/>
              </w:rPr>
              <w:t>for</w:t>
            </w:r>
            <w:proofErr w:type="spellEnd"/>
            <w:r w:rsidRPr="00FF4E93">
              <w:rPr>
                <w:color w:val="000000"/>
                <w:sz w:val="20"/>
                <w:szCs w:val="20"/>
                <w:lang w:eastAsia="en-US"/>
              </w:rPr>
              <w:t xml:space="preserve"> </w:t>
            </w:r>
            <w:proofErr w:type="spellStart"/>
            <w:r w:rsidRPr="00FF4E93">
              <w:rPr>
                <w:color w:val="000000"/>
                <w:sz w:val="20"/>
                <w:szCs w:val="20"/>
                <w:lang w:eastAsia="en-US"/>
              </w:rPr>
              <w:t>novel</w:t>
            </w:r>
            <w:proofErr w:type="spellEnd"/>
            <w:r w:rsidRPr="00FF4E93">
              <w:rPr>
                <w:color w:val="000000"/>
                <w:sz w:val="20"/>
                <w:szCs w:val="20"/>
                <w:lang w:eastAsia="en-US"/>
              </w:rPr>
              <w:t xml:space="preserve"> </w:t>
            </w:r>
            <w:proofErr w:type="spellStart"/>
            <w:r w:rsidRPr="00FF4E93">
              <w:rPr>
                <w:color w:val="000000"/>
                <w:sz w:val="20"/>
                <w:szCs w:val="20"/>
                <w:lang w:eastAsia="en-US"/>
              </w:rPr>
              <w:t>ways</w:t>
            </w:r>
            <w:proofErr w:type="spellEnd"/>
            <w:r w:rsidRPr="00FF4E93">
              <w:rPr>
                <w:color w:val="000000"/>
                <w:sz w:val="20"/>
                <w:szCs w:val="20"/>
                <w:lang w:eastAsia="en-US"/>
              </w:rPr>
              <w:t xml:space="preserve"> </w:t>
            </w:r>
            <w:proofErr w:type="spellStart"/>
            <w:r w:rsidRPr="00FF4E93">
              <w:rPr>
                <w:color w:val="000000"/>
                <w:sz w:val="20"/>
                <w:szCs w:val="20"/>
                <w:lang w:eastAsia="en-US"/>
              </w:rPr>
              <w:t>of</w:t>
            </w:r>
            <w:proofErr w:type="spellEnd"/>
            <w:r w:rsidRPr="00FF4E93">
              <w:rPr>
                <w:color w:val="000000"/>
                <w:sz w:val="20"/>
                <w:szCs w:val="20"/>
                <w:lang w:eastAsia="en-US"/>
              </w:rPr>
              <w:t xml:space="preserve"> </w:t>
            </w:r>
            <w:proofErr w:type="spellStart"/>
            <w:r w:rsidRPr="00FF4E93">
              <w:rPr>
                <w:color w:val="000000"/>
                <w:sz w:val="20"/>
                <w:szCs w:val="20"/>
                <w:lang w:eastAsia="en-US"/>
              </w:rPr>
              <w:t>working</w:t>
            </w:r>
            <w:proofErr w:type="spellEnd"/>
            <w:r w:rsidRPr="00FF4E93">
              <w:rPr>
                <w:color w:val="000000"/>
                <w:sz w:val="20"/>
                <w:szCs w:val="20"/>
                <w:lang w:eastAsia="en-US"/>
              </w:rPr>
              <w:t xml:space="preserve"> </w:t>
            </w:r>
            <w:proofErr w:type="spellStart"/>
            <w:r w:rsidRPr="00FF4E93">
              <w:rPr>
                <w:color w:val="000000"/>
                <w:sz w:val="20"/>
                <w:szCs w:val="20"/>
                <w:lang w:eastAsia="en-US"/>
              </w:rPr>
              <w:t>together</w:t>
            </w:r>
            <w:proofErr w:type="spellEnd"/>
            <w:r w:rsidRPr="00FF4E93">
              <w:rPr>
                <w:color w:val="000000"/>
                <w:sz w:val="20"/>
                <w:szCs w:val="20"/>
                <w:lang w:eastAsia="en-US"/>
              </w:rPr>
              <w:t xml:space="preserve"> </w:t>
            </w:r>
            <w:proofErr w:type="spellStart"/>
            <w:r w:rsidRPr="00FF4E93">
              <w:rPr>
                <w:color w:val="000000"/>
                <w:sz w:val="20"/>
                <w:szCs w:val="20"/>
                <w:lang w:eastAsia="en-US"/>
              </w:rPr>
              <w:t>with</w:t>
            </w:r>
            <w:proofErr w:type="spellEnd"/>
            <w:r w:rsidRPr="00FF4E93">
              <w:rPr>
                <w:color w:val="000000"/>
                <w:sz w:val="20"/>
                <w:szCs w:val="20"/>
                <w:lang w:eastAsia="en-US"/>
              </w:rPr>
              <w:t xml:space="preserve"> </w:t>
            </w:r>
            <w:proofErr w:type="spellStart"/>
            <w:r w:rsidRPr="00FF4E93">
              <w:rPr>
                <w:color w:val="000000"/>
                <w:sz w:val="20"/>
                <w:szCs w:val="20"/>
                <w:lang w:eastAsia="en-US"/>
              </w:rPr>
              <w:t>suppliers</w:t>
            </w:r>
            <w:proofErr w:type="spellEnd"/>
            <w:r w:rsidRPr="00FF4E93">
              <w:rPr>
                <w:color w:val="000000"/>
                <w:sz w:val="20"/>
                <w:szCs w:val="20"/>
                <w:lang w:eastAsia="en-US"/>
              </w:rPr>
              <w:t xml:space="preserve">, </w:t>
            </w:r>
            <w:proofErr w:type="spellStart"/>
            <w:r w:rsidRPr="00FF4E93">
              <w:rPr>
                <w:color w:val="000000"/>
                <w:sz w:val="20"/>
                <w:szCs w:val="20"/>
                <w:lang w:eastAsia="en-US"/>
              </w:rPr>
              <w:t>customers</w:t>
            </w:r>
            <w:proofErr w:type="spellEnd"/>
            <w:r w:rsidRPr="00FF4E93">
              <w:rPr>
                <w:color w:val="000000"/>
                <w:sz w:val="20"/>
                <w:szCs w:val="20"/>
                <w:lang w:eastAsia="en-US"/>
              </w:rPr>
              <w:t xml:space="preserve">, </w:t>
            </w:r>
            <w:proofErr w:type="spellStart"/>
            <w:r w:rsidRPr="00FF4E93">
              <w:rPr>
                <w:color w:val="000000"/>
                <w:sz w:val="20"/>
                <w:szCs w:val="20"/>
                <w:lang w:eastAsia="en-US"/>
              </w:rPr>
              <w:t>or</w:t>
            </w:r>
            <w:proofErr w:type="spellEnd"/>
            <w:r w:rsidRPr="00FF4E93">
              <w:rPr>
                <w:color w:val="000000"/>
                <w:sz w:val="20"/>
                <w:szCs w:val="20"/>
                <w:lang w:eastAsia="en-US"/>
              </w:rPr>
              <w:t xml:space="preserve"> </w:t>
            </w:r>
            <w:proofErr w:type="spellStart"/>
            <w:r w:rsidRPr="00FF4E93">
              <w:rPr>
                <w:color w:val="000000"/>
                <w:sz w:val="20"/>
                <w:szCs w:val="20"/>
                <w:lang w:eastAsia="en-US"/>
              </w:rPr>
              <w:t>complementors</w:t>
            </w:r>
            <w:proofErr w:type="spellEnd"/>
            <w:r w:rsidRPr="00FF4E93">
              <w:rPr>
                <w:color w:val="000000"/>
                <w:sz w:val="20"/>
                <w:szCs w:val="20"/>
                <w:lang w:eastAsia="en-US"/>
              </w:rPr>
              <w:t xml:space="preserve"> </w:t>
            </w:r>
            <w:proofErr w:type="spellStart"/>
            <w:r w:rsidRPr="00FF4E93">
              <w:rPr>
                <w:color w:val="000000"/>
                <w:sz w:val="20"/>
                <w:szCs w:val="20"/>
                <w:lang w:eastAsia="en-US"/>
              </w:rPr>
              <w:t>to</w:t>
            </w:r>
            <w:proofErr w:type="spellEnd"/>
            <w:r w:rsidRPr="00FF4E93">
              <w:rPr>
                <w:color w:val="000000"/>
                <w:sz w:val="20"/>
                <w:szCs w:val="20"/>
                <w:lang w:eastAsia="en-US"/>
              </w:rPr>
              <w:t xml:space="preserve"> open </w:t>
            </w:r>
            <w:proofErr w:type="spellStart"/>
            <w:r w:rsidRPr="00FF4E93">
              <w:rPr>
                <w:color w:val="000000"/>
                <w:sz w:val="20"/>
                <w:szCs w:val="20"/>
                <w:lang w:eastAsia="en-US"/>
              </w:rPr>
              <w:t>and</w:t>
            </w:r>
            <w:proofErr w:type="spellEnd"/>
            <w:r w:rsidRPr="00FF4E93">
              <w:rPr>
                <w:color w:val="000000"/>
                <w:sz w:val="20"/>
                <w:szCs w:val="20"/>
                <w:lang w:eastAsia="en-US"/>
              </w:rPr>
              <w:t xml:space="preserve"> </w:t>
            </w:r>
            <w:proofErr w:type="spellStart"/>
            <w:r w:rsidRPr="00FF4E93">
              <w:rPr>
                <w:color w:val="000000"/>
                <w:sz w:val="20"/>
                <w:szCs w:val="20"/>
                <w:lang w:eastAsia="en-US"/>
              </w:rPr>
              <w:t>extend</w:t>
            </w:r>
            <w:proofErr w:type="spellEnd"/>
            <w:r w:rsidRPr="00FF4E93">
              <w:rPr>
                <w:color w:val="000000"/>
                <w:sz w:val="20"/>
                <w:szCs w:val="20"/>
                <w:lang w:eastAsia="en-US"/>
              </w:rPr>
              <w:t xml:space="preserve"> </w:t>
            </w:r>
            <w:proofErr w:type="spellStart"/>
            <w:r w:rsidRPr="00FF4E93">
              <w:rPr>
                <w:color w:val="000000"/>
                <w:sz w:val="20"/>
                <w:szCs w:val="20"/>
                <w:lang w:eastAsia="en-US"/>
              </w:rPr>
              <w:t>their</w:t>
            </w:r>
            <w:proofErr w:type="spellEnd"/>
            <w:r w:rsidRPr="00FF4E93">
              <w:rPr>
                <w:color w:val="000000"/>
                <w:sz w:val="20"/>
                <w:szCs w:val="20"/>
                <w:lang w:eastAsia="en-US"/>
              </w:rPr>
              <w:t xml:space="preserve"> </w:t>
            </w:r>
            <w:proofErr w:type="spellStart"/>
            <w:r w:rsidRPr="00FF4E93">
              <w:rPr>
                <w:color w:val="000000"/>
                <w:sz w:val="20"/>
                <w:szCs w:val="20"/>
                <w:lang w:eastAsia="en-US"/>
              </w:rPr>
              <w:t>business</w:t>
            </w:r>
            <w:proofErr w:type="spellEnd"/>
            <w:r w:rsidRPr="00FF4E93">
              <w:rPr>
                <w:color w:val="000000"/>
                <w:sz w:val="20"/>
                <w:szCs w:val="20"/>
                <w:lang w:eastAsia="en-US"/>
              </w:rPr>
              <w:t>.</w:t>
            </w:r>
          </w:p>
        </w:tc>
        <w:tc>
          <w:tcPr>
            <w:tcW w:w="5353" w:type="dxa"/>
          </w:tcPr>
          <w:p w14:paraId="63E26484" w14:textId="77777777" w:rsidR="00151DC1" w:rsidRPr="00FF4E93" w:rsidRDefault="00151DC1" w:rsidP="00151DC1">
            <w:pPr>
              <w:widowControl w:val="0"/>
              <w:autoSpaceDE w:val="0"/>
              <w:autoSpaceDN w:val="0"/>
              <w:adjustRightInd w:val="0"/>
              <w:spacing w:before="0" w:after="0" w:line="200" w:lineRule="atLeast"/>
              <w:rPr>
                <w:i/>
                <w:color w:val="000000"/>
                <w:sz w:val="20"/>
                <w:szCs w:val="20"/>
                <w:lang w:eastAsia="en-US"/>
              </w:rPr>
            </w:pPr>
            <w:r w:rsidRPr="00FF4E93">
              <w:rPr>
                <w:i/>
                <w:color w:val="000000"/>
                <w:sz w:val="20"/>
                <w:szCs w:val="20"/>
                <w:lang w:eastAsia="en-US"/>
              </w:rPr>
              <w:t xml:space="preserve">After </w:t>
            </w:r>
            <w:proofErr w:type="spellStart"/>
            <w:r w:rsidRPr="00FF4E93">
              <w:rPr>
                <w:b/>
                <w:bCs/>
                <w:i/>
                <w:color w:val="000000"/>
                <w:sz w:val="20"/>
                <w:szCs w:val="20"/>
                <w:lang w:eastAsia="en-US"/>
              </w:rPr>
              <w:t>testing</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the</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technology</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with</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amputees</w:t>
            </w:r>
            <w:proofErr w:type="spellEnd"/>
            <w:r w:rsidRPr="00FF4E93">
              <w:rPr>
                <w:b/>
                <w:bCs/>
                <w:i/>
                <w:color w:val="000000"/>
                <w:sz w:val="20"/>
                <w:szCs w:val="20"/>
                <w:lang w:eastAsia="en-US"/>
              </w:rPr>
              <w:t xml:space="preserve"> at Lausanne University Hospital</w:t>
            </w:r>
            <w:r w:rsidRPr="00FF4E93">
              <w:rPr>
                <w:i/>
                <w:color w:val="000000"/>
                <w:sz w:val="20"/>
                <w:szCs w:val="20"/>
                <w:lang w:eastAsia="en-US"/>
              </w:rPr>
              <w:t xml:space="preserve">, </w:t>
            </w:r>
            <w:proofErr w:type="spellStart"/>
            <w:r w:rsidRPr="00FF4E93">
              <w:rPr>
                <w:i/>
                <w:color w:val="000000"/>
                <w:sz w:val="20"/>
                <w:szCs w:val="20"/>
                <w:lang w:eastAsia="en-US"/>
              </w:rPr>
              <w:t>Mind-Maze</w:t>
            </w:r>
            <w:proofErr w:type="spellEnd"/>
            <w:r w:rsidRPr="00FF4E93">
              <w:rPr>
                <w:i/>
                <w:color w:val="000000"/>
                <w:sz w:val="20"/>
                <w:szCs w:val="20"/>
                <w:lang w:eastAsia="en-US"/>
              </w:rPr>
              <w:t xml:space="preserve"> </w:t>
            </w:r>
            <w:proofErr w:type="spellStart"/>
            <w:r w:rsidRPr="00FF4E93">
              <w:rPr>
                <w:i/>
                <w:color w:val="000000"/>
                <w:sz w:val="20"/>
                <w:szCs w:val="20"/>
                <w:lang w:eastAsia="en-US"/>
              </w:rPr>
              <w:t>is</w:t>
            </w:r>
            <w:proofErr w:type="spellEnd"/>
            <w:r w:rsidRPr="00FF4E93">
              <w:rPr>
                <w:i/>
                <w:color w:val="000000"/>
                <w:sz w:val="20"/>
                <w:szCs w:val="20"/>
                <w:lang w:eastAsia="en-US"/>
              </w:rPr>
              <w:t xml:space="preserve"> </w:t>
            </w:r>
            <w:proofErr w:type="spellStart"/>
            <w:r w:rsidRPr="00FF4E93">
              <w:rPr>
                <w:i/>
                <w:color w:val="000000"/>
                <w:sz w:val="20"/>
                <w:szCs w:val="20"/>
                <w:lang w:eastAsia="en-US"/>
              </w:rPr>
              <w:t>going</w:t>
            </w:r>
            <w:proofErr w:type="spellEnd"/>
            <w:r w:rsidRPr="00FF4E93">
              <w:rPr>
                <w:i/>
                <w:color w:val="000000"/>
                <w:sz w:val="20"/>
                <w:szCs w:val="20"/>
                <w:lang w:eastAsia="en-US"/>
              </w:rPr>
              <w:t xml:space="preserve"> </w:t>
            </w:r>
            <w:proofErr w:type="spellStart"/>
            <w:r w:rsidRPr="00FF4E93">
              <w:rPr>
                <w:i/>
                <w:color w:val="000000"/>
                <w:sz w:val="20"/>
                <w:szCs w:val="20"/>
                <w:lang w:eastAsia="en-US"/>
              </w:rPr>
              <w:t>to</w:t>
            </w:r>
            <w:proofErr w:type="spellEnd"/>
            <w:r w:rsidRPr="00FF4E93">
              <w:rPr>
                <w:i/>
                <w:color w:val="000000"/>
                <w:sz w:val="20"/>
                <w:szCs w:val="20"/>
                <w:lang w:eastAsia="en-US"/>
              </w:rPr>
              <w:t xml:space="preserve"> </w:t>
            </w:r>
            <w:proofErr w:type="spellStart"/>
            <w:r w:rsidRPr="00FF4E93">
              <w:rPr>
                <w:b/>
                <w:bCs/>
                <w:i/>
                <w:color w:val="000000"/>
                <w:sz w:val="20"/>
                <w:szCs w:val="20"/>
                <w:lang w:eastAsia="en-US"/>
              </w:rPr>
              <w:t>work</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with</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patients</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from</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the</w:t>
            </w:r>
            <w:proofErr w:type="spellEnd"/>
            <w:r w:rsidRPr="00FF4E93">
              <w:rPr>
                <w:b/>
                <w:bCs/>
                <w:i/>
                <w:color w:val="000000"/>
                <w:sz w:val="20"/>
                <w:szCs w:val="20"/>
                <w:lang w:eastAsia="en-US"/>
              </w:rPr>
              <w:t xml:space="preserve"> U.S. Department </w:t>
            </w:r>
            <w:proofErr w:type="spellStart"/>
            <w:r w:rsidRPr="00FF4E93">
              <w:rPr>
                <w:b/>
                <w:bCs/>
                <w:i/>
                <w:color w:val="000000"/>
                <w:sz w:val="20"/>
                <w:szCs w:val="20"/>
                <w:lang w:eastAsia="en-US"/>
              </w:rPr>
              <w:t>of</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Veterans</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Affairs</w:t>
            </w:r>
            <w:proofErr w:type="spellEnd"/>
            <w:r w:rsidRPr="00FF4E93">
              <w:rPr>
                <w:i/>
                <w:color w:val="000000"/>
                <w:sz w:val="20"/>
                <w:szCs w:val="20"/>
                <w:lang w:eastAsia="en-US"/>
              </w:rPr>
              <w:t xml:space="preserve">. In </w:t>
            </w:r>
            <w:proofErr w:type="spellStart"/>
            <w:r w:rsidRPr="00FF4E93">
              <w:rPr>
                <w:i/>
                <w:color w:val="000000"/>
                <w:sz w:val="20"/>
                <w:szCs w:val="20"/>
                <w:lang w:eastAsia="en-US"/>
              </w:rPr>
              <w:t>about</w:t>
            </w:r>
            <w:proofErr w:type="spellEnd"/>
            <w:r w:rsidRPr="00FF4E93">
              <w:rPr>
                <w:i/>
                <w:color w:val="000000"/>
                <w:sz w:val="20"/>
                <w:szCs w:val="20"/>
                <w:lang w:eastAsia="en-US"/>
              </w:rPr>
              <w:t xml:space="preserve"> </w:t>
            </w:r>
            <w:proofErr w:type="spellStart"/>
            <w:r w:rsidRPr="00FF4E93">
              <w:rPr>
                <w:i/>
                <w:color w:val="000000"/>
                <w:sz w:val="20"/>
                <w:szCs w:val="20"/>
                <w:lang w:eastAsia="en-US"/>
              </w:rPr>
              <w:t>six</w:t>
            </w:r>
            <w:proofErr w:type="spellEnd"/>
            <w:r w:rsidRPr="00FF4E93">
              <w:rPr>
                <w:i/>
                <w:color w:val="000000"/>
                <w:sz w:val="20"/>
                <w:szCs w:val="20"/>
                <w:lang w:eastAsia="en-US"/>
              </w:rPr>
              <w:t xml:space="preserve"> </w:t>
            </w:r>
            <w:proofErr w:type="spellStart"/>
            <w:r w:rsidRPr="00FF4E93">
              <w:rPr>
                <w:i/>
                <w:color w:val="000000"/>
                <w:sz w:val="20"/>
                <w:szCs w:val="20"/>
                <w:lang w:eastAsia="en-US"/>
              </w:rPr>
              <w:t>months</w:t>
            </w:r>
            <w:proofErr w:type="spellEnd"/>
            <w:r w:rsidRPr="00FF4E93">
              <w:rPr>
                <w:i/>
                <w:color w:val="000000"/>
                <w:sz w:val="20"/>
                <w:szCs w:val="20"/>
                <w:lang w:eastAsia="en-US"/>
              </w:rPr>
              <w:t xml:space="preserve">, </w:t>
            </w:r>
            <w:proofErr w:type="spellStart"/>
            <w:r w:rsidRPr="00FF4E93">
              <w:rPr>
                <w:i/>
                <w:color w:val="000000"/>
                <w:sz w:val="20"/>
                <w:szCs w:val="20"/>
                <w:lang w:eastAsia="en-US"/>
              </w:rPr>
              <w:t>they</w:t>
            </w:r>
            <w:proofErr w:type="spellEnd"/>
            <w:r w:rsidRPr="00FF4E93">
              <w:rPr>
                <w:i/>
                <w:color w:val="000000"/>
                <w:sz w:val="20"/>
                <w:szCs w:val="20"/>
                <w:lang w:eastAsia="en-US"/>
              </w:rPr>
              <w:t xml:space="preserve"> will </w:t>
            </w:r>
            <w:proofErr w:type="spellStart"/>
            <w:r w:rsidRPr="00FF4E93">
              <w:rPr>
                <w:i/>
                <w:color w:val="000000"/>
                <w:sz w:val="20"/>
                <w:szCs w:val="20"/>
                <w:lang w:eastAsia="en-US"/>
              </w:rPr>
              <w:t>have</w:t>
            </w:r>
            <w:proofErr w:type="spellEnd"/>
            <w:r w:rsidRPr="00FF4E93">
              <w:rPr>
                <w:i/>
                <w:color w:val="000000"/>
                <w:sz w:val="20"/>
                <w:szCs w:val="20"/>
                <w:lang w:eastAsia="en-US"/>
              </w:rPr>
              <w:t xml:space="preserve"> </w:t>
            </w:r>
            <w:proofErr w:type="spellStart"/>
            <w:r w:rsidRPr="00FF4E93">
              <w:rPr>
                <w:i/>
                <w:color w:val="000000"/>
                <w:sz w:val="20"/>
                <w:szCs w:val="20"/>
                <w:lang w:eastAsia="en-US"/>
              </w:rPr>
              <w:t>data</w:t>
            </w:r>
            <w:proofErr w:type="spellEnd"/>
            <w:r w:rsidRPr="00FF4E93">
              <w:rPr>
                <w:i/>
                <w:color w:val="000000"/>
                <w:sz w:val="20"/>
                <w:szCs w:val="20"/>
                <w:lang w:eastAsia="en-US"/>
              </w:rPr>
              <w:t xml:space="preserve"> […], </w:t>
            </w:r>
            <w:proofErr w:type="spellStart"/>
            <w:r w:rsidRPr="00FF4E93">
              <w:rPr>
                <w:i/>
                <w:color w:val="000000"/>
                <w:sz w:val="20"/>
                <w:szCs w:val="20"/>
                <w:lang w:eastAsia="en-US"/>
              </w:rPr>
              <w:t>which</w:t>
            </w:r>
            <w:proofErr w:type="spellEnd"/>
            <w:r w:rsidRPr="00FF4E93">
              <w:rPr>
                <w:i/>
                <w:color w:val="000000"/>
                <w:sz w:val="20"/>
                <w:szCs w:val="20"/>
                <w:lang w:eastAsia="en-US"/>
              </w:rPr>
              <w:t xml:space="preserve"> </w:t>
            </w:r>
            <w:proofErr w:type="spellStart"/>
            <w:r w:rsidRPr="00FF4E93">
              <w:rPr>
                <w:i/>
                <w:color w:val="000000"/>
                <w:sz w:val="20"/>
                <w:szCs w:val="20"/>
                <w:lang w:eastAsia="en-US"/>
              </w:rPr>
              <w:t>could</w:t>
            </w:r>
            <w:proofErr w:type="spellEnd"/>
            <w:r w:rsidRPr="00FF4E93">
              <w:rPr>
                <w:i/>
                <w:color w:val="000000"/>
                <w:sz w:val="20"/>
                <w:szCs w:val="20"/>
                <w:lang w:eastAsia="en-US"/>
              </w:rPr>
              <w:t xml:space="preserve"> open </w:t>
            </w:r>
            <w:proofErr w:type="spellStart"/>
            <w:r w:rsidRPr="00FF4E93">
              <w:rPr>
                <w:i/>
                <w:color w:val="000000"/>
                <w:sz w:val="20"/>
                <w:szCs w:val="20"/>
                <w:lang w:eastAsia="en-US"/>
              </w:rPr>
              <w:t>the</w:t>
            </w:r>
            <w:proofErr w:type="spellEnd"/>
            <w:r w:rsidRPr="00FF4E93">
              <w:rPr>
                <w:i/>
                <w:color w:val="000000"/>
                <w:sz w:val="20"/>
                <w:szCs w:val="20"/>
                <w:lang w:eastAsia="en-US"/>
              </w:rPr>
              <w:t xml:space="preserve"> </w:t>
            </w:r>
            <w:proofErr w:type="spellStart"/>
            <w:r w:rsidRPr="00FF4E93">
              <w:rPr>
                <w:i/>
                <w:color w:val="000000"/>
                <w:sz w:val="20"/>
                <w:szCs w:val="20"/>
                <w:lang w:eastAsia="en-US"/>
              </w:rPr>
              <w:t>door</w:t>
            </w:r>
            <w:proofErr w:type="spellEnd"/>
            <w:r w:rsidRPr="00FF4E93">
              <w:rPr>
                <w:i/>
                <w:color w:val="000000"/>
                <w:sz w:val="20"/>
                <w:szCs w:val="20"/>
                <w:lang w:eastAsia="en-US"/>
              </w:rPr>
              <w:t xml:space="preserve"> </w:t>
            </w:r>
            <w:proofErr w:type="spellStart"/>
            <w:r w:rsidRPr="00FF4E93">
              <w:rPr>
                <w:i/>
                <w:color w:val="000000"/>
                <w:sz w:val="20"/>
                <w:szCs w:val="20"/>
                <w:lang w:eastAsia="en-US"/>
              </w:rPr>
              <w:t>for</w:t>
            </w:r>
            <w:proofErr w:type="spellEnd"/>
            <w:r w:rsidRPr="00FF4E93">
              <w:rPr>
                <w:i/>
                <w:color w:val="000000"/>
                <w:sz w:val="20"/>
                <w:szCs w:val="20"/>
                <w:lang w:eastAsia="en-US"/>
              </w:rPr>
              <w:t xml:space="preserve"> </w:t>
            </w:r>
            <w:proofErr w:type="spellStart"/>
            <w:r w:rsidRPr="00FF4E93">
              <w:rPr>
                <w:i/>
                <w:color w:val="000000"/>
                <w:sz w:val="20"/>
                <w:szCs w:val="20"/>
                <w:lang w:eastAsia="en-US"/>
              </w:rPr>
              <w:t>this</w:t>
            </w:r>
            <w:proofErr w:type="spellEnd"/>
            <w:r w:rsidRPr="00FF4E93">
              <w:rPr>
                <w:i/>
                <w:color w:val="000000"/>
                <w:sz w:val="20"/>
                <w:szCs w:val="20"/>
                <w:lang w:eastAsia="en-US"/>
              </w:rPr>
              <w:t xml:space="preserve"> </w:t>
            </w:r>
            <w:proofErr w:type="spellStart"/>
            <w:r w:rsidRPr="00FF4E93">
              <w:rPr>
                <w:i/>
                <w:color w:val="000000"/>
                <w:sz w:val="20"/>
                <w:szCs w:val="20"/>
                <w:lang w:eastAsia="en-US"/>
              </w:rPr>
              <w:t>treatment</w:t>
            </w:r>
            <w:proofErr w:type="spellEnd"/>
            <w:r w:rsidRPr="00FF4E93">
              <w:rPr>
                <w:i/>
                <w:color w:val="000000"/>
                <w:sz w:val="20"/>
                <w:szCs w:val="20"/>
                <w:lang w:eastAsia="en-US"/>
              </w:rPr>
              <w:t xml:space="preserve"> </w:t>
            </w:r>
            <w:proofErr w:type="spellStart"/>
            <w:r w:rsidRPr="00FF4E93">
              <w:rPr>
                <w:i/>
                <w:color w:val="000000"/>
                <w:sz w:val="20"/>
                <w:szCs w:val="20"/>
                <w:lang w:eastAsia="en-US"/>
              </w:rPr>
              <w:t>to</w:t>
            </w:r>
            <w:proofErr w:type="spellEnd"/>
            <w:r w:rsidRPr="00FF4E93">
              <w:rPr>
                <w:i/>
                <w:color w:val="000000"/>
                <w:sz w:val="20"/>
                <w:szCs w:val="20"/>
                <w:lang w:eastAsia="en-US"/>
              </w:rPr>
              <w:t xml:space="preserve"> </w:t>
            </w:r>
            <w:proofErr w:type="spellStart"/>
            <w:r w:rsidRPr="00FF4E93">
              <w:rPr>
                <w:i/>
                <w:color w:val="000000"/>
                <w:sz w:val="20"/>
                <w:szCs w:val="20"/>
                <w:lang w:eastAsia="en-US"/>
              </w:rPr>
              <w:t>be</w:t>
            </w:r>
            <w:proofErr w:type="spellEnd"/>
            <w:r w:rsidRPr="00FF4E93">
              <w:rPr>
                <w:i/>
                <w:color w:val="000000"/>
                <w:sz w:val="20"/>
                <w:szCs w:val="20"/>
                <w:lang w:eastAsia="en-US"/>
              </w:rPr>
              <w:t xml:space="preserve"> </w:t>
            </w:r>
            <w:proofErr w:type="spellStart"/>
            <w:r w:rsidRPr="00FF4E93">
              <w:rPr>
                <w:i/>
                <w:color w:val="000000"/>
                <w:sz w:val="20"/>
                <w:szCs w:val="20"/>
                <w:lang w:eastAsia="en-US"/>
              </w:rPr>
              <w:t>used</w:t>
            </w:r>
            <w:proofErr w:type="spellEnd"/>
            <w:r w:rsidRPr="00FF4E93">
              <w:rPr>
                <w:i/>
                <w:color w:val="000000"/>
                <w:sz w:val="20"/>
                <w:szCs w:val="20"/>
                <w:lang w:eastAsia="en-US"/>
              </w:rPr>
              <w:t xml:space="preserve"> </w:t>
            </w:r>
            <w:proofErr w:type="spellStart"/>
            <w:r w:rsidRPr="00FF4E93">
              <w:rPr>
                <w:i/>
                <w:color w:val="000000"/>
                <w:sz w:val="20"/>
                <w:szCs w:val="20"/>
                <w:lang w:eastAsia="en-US"/>
              </w:rPr>
              <w:t>by</w:t>
            </w:r>
            <w:proofErr w:type="spellEnd"/>
            <w:r w:rsidRPr="00FF4E93">
              <w:rPr>
                <w:i/>
                <w:color w:val="000000"/>
                <w:sz w:val="20"/>
                <w:szCs w:val="20"/>
                <w:lang w:eastAsia="en-US"/>
              </w:rPr>
              <w:t xml:space="preserve"> </w:t>
            </w:r>
            <w:proofErr w:type="spellStart"/>
            <w:r w:rsidRPr="00FF4E93">
              <w:rPr>
                <w:i/>
                <w:color w:val="000000"/>
                <w:sz w:val="20"/>
                <w:szCs w:val="20"/>
                <w:lang w:eastAsia="en-US"/>
              </w:rPr>
              <w:t>soldiers</w:t>
            </w:r>
            <w:proofErr w:type="spellEnd"/>
            <w:r w:rsidRPr="00FF4E93">
              <w:rPr>
                <w:i/>
                <w:color w:val="000000"/>
                <w:sz w:val="20"/>
                <w:szCs w:val="20"/>
                <w:lang w:eastAsia="en-US"/>
              </w:rPr>
              <w:t>.</w:t>
            </w:r>
          </w:p>
          <w:p w14:paraId="7F3715DC" w14:textId="77777777" w:rsidR="00151DC1" w:rsidRPr="00FF4E93" w:rsidRDefault="00151DC1" w:rsidP="00151DC1">
            <w:pPr>
              <w:widowControl w:val="0"/>
              <w:autoSpaceDE w:val="0"/>
              <w:autoSpaceDN w:val="0"/>
              <w:adjustRightInd w:val="0"/>
              <w:spacing w:before="0" w:after="0" w:line="200" w:lineRule="atLeast"/>
              <w:rPr>
                <w:i/>
                <w:color w:val="000000"/>
                <w:sz w:val="20"/>
                <w:szCs w:val="20"/>
                <w:lang w:eastAsia="en-US"/>
              </w:rPr>
            </w:pPr>
            <w:proofErr w:type="spellStart"/>
            <w:r w:rsidRPr="00FF4E93">
              <w:rPr>
                <w:i/>
                <w:color w:val="000000"/>
                <w:sz w:val="20"/>
                <w:szCs w:val="20"/>
                <w:lang w:eastAsia="en-US"/>
              </w:rPr>
              <w:t>MindMaze</w:t>
            </w:r>
            <w:proofErr w:type="spellEnd"/>
            <w:r w:rsidRPr="00FF4E93">
              <w:rPr>
                <w:i/>
                <w:color w:val="000000"/>
                <w:sz w:val="20"/>
                <w:szCs w:val="20"/>
                <w:lang w:eastAsia="en-US"/>
              </w:rPr>
              <w:t xml:space="preserve"> </w:t>
            </w:r>
            <w:proofErr w:type="spellStart"/>
            <w:r w:rsidRPr="00FF4E93">
              <w:rPr>
                <w:i/>
                <w:color w:val="000000"/>
                <w:sz w:val="20"/>
                <w:szCs w:val="20"/>
                <w:lang w:eastAsia="en-US"/>
              </w:rPr>
              <w:t>is</w:t>
            </w:r>
            <w:proofErr w:type="spellEnd"/>
            <w:r w:rsidRPr="00FF4E93">
              <w:rPr>
                <w:i/>
                <w:color w:val="000000"/>
                <w:sz w:val="20"/>
                <w:szCs w:val="20"/>
                <w:lang w:eastAsia="en-US"/>
              </w:rPr>
              <w:t xml:space="preserve"> </w:t>
            </w:r>
            <w:proofErr w:type="spellStart"/>
            <w:r w:rsidRPr="00FF4E93">
              <w:rPr>
                <w:i/>
                <w:color w:val="000000"/>
                <w:sz w:val="20"/>
                <w:szCs w:val="20"/>
                <w:lang w:eastAsia="en-US"/>
              </w:rPr>
              <w:t>unveiling</w:t>
            </w:r>
            <w:proofErr w:type="spellEnd"/>
            <w:r w:rsidRPr="00FF4E93">
              <w:rPr>
                <w:i/>
                <w:color w:val="000000"/>
                <w:sz w:val="20"/>
                <w:szCs w:val="20"/>
                <w:lang w:eastAsia="en-US"/>
              </w:rPr>
              <w:t xml:space="preserve"> a </w:t>
            </w:r>
            <w:proofErr w:type="spellStart"/>
            <w:r w:rsidRPr="00FF4E93">
              <w:rPr>
                <w:b/>
                <w:bCs/>
                <w:i/>
                <w:color w:val="000000"/>
                <w:sz w:val="20"/>
                <w:szCs w:val="20"/>
                <w:lang w:eastAsia="en-US"/>
              </w:rPr>
              <w:t>partnership</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with</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Dacuda</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to</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launch</w:t>
            </w:r>
            <w:proofErr w:type="spellEnd"/>
            <w:r w:rsidRPr="00FF4E93">
              <w:rPr>
                <w:b/>
                <w:bCs/>
                <w:i/>
                <w:color w:val="000000"/>
                <w:sz w:val="20"/>
                <w:szCs w:val="20"/>
                <w:lang w:eastAsia="en-US"/>
              </w:rPr>
              <w:t xml:space="preserve"> "MMI"</w:t>
            </w:r>
            <w:r w:rsidRPr="00FF4E93">
              <w:rPr>
                <w:i/>
                <w:color w:val="000000"/>
                <w:sz w:val="20"/>
                <w:szCs w:val="20"/>
                <w:lang w:eastAsia="en-US"/>
              </w:rPr>
              <w:t xml:space="preserve">, </w:t>
            </w:r>
            <w:proofErr w:type="spellStart"/>
            <w:r w:rsidRPr="00FF4E93">
              <w:rPr>
                <w:i/>
                <w:color w:val="000000"/>
                <w:sz w:val="20"/>
                <w:szCs w:val="20"/>
                <w:lang w:eastAsia="en-US"/>
              </w:rPr>
              <w:t>the</w:t>
            </w:r>
            <w:proofErr w:type="spellEnd"/>
            <w:r w:rsidRPr="00FF4E93">
              <w:rPr>
                <w:i/>
                <w:color w:val="000000"/>
                <w:sz w:val="20"/>
                <w:szCs w:val="20"/>
                <w:lang w:eastAsia="en-US"/>
              </w:rPr>
              <w:t xml:space="preserve"> </w:t>
            </w:r>
            <w:proofErr w:type="spellStart"/>
            <w:r w:rsidRPr="00FF4E93">
              <w:rPr>
                <w:i/>
                <w:color w:val="000000"/>
                <w:sz w:val="20"/>
                <w:szCs w:val="20"/>
                <w:lang w:eastAsia="en-US"/>
              </w:rPr>
              <w:t>world’s</w:t>
            </w:r>
            <w:proofErr w:type="spellEnd"/>
            <w:r w:rsidRPr="00FF4E93">
              <w:rPr>
                <w:i/>
                <w:color w:val="000000"/>
                <w:sz w:val="20"/>
                <w:szCs w:val="20"/>
                <w:lang w:eastAsia="en-US"/>
              </w:rPr>
              <w:t xml:space="preserve"> 1</w:t>
            </w:r>
            <w:r w:rsidRPr="00FF4E93">
              <w:rPr>
                <w:i/>
                <w:color w:val="000000"/>
                <w:sz w:val="20"/>
                <w:szCs w:val="20"/>
                <w:vertAlign w:val="superscript"/>
                <w:lang w:eastAsia="en-US"/>
              </w:rPr>
              <w:t>st</w:t>
            </w:r>
            <w:r w:rsidRPr="00FF4E93">
              <w:rPr>
                <w:i/>
                <w:color w:val="000000"/>
                <w:sz w:val="20"/>
                <w:szCs w:val="20"/>
                <w:lang w:eastAsia="en-US"/>
              </w:rPr>
              <w:t xml:space="preserve"> </w:t>
            </w:r>
            <w:proofErr w:type="spellStart"/>
            <w:r w:rsidRPr="00FF4E93">
              <w:rPr>
                <w:i/>
                <w:color w:val="000000"/>
                <w:sz w:val="20"/>
                <w:szCs w:val="20"/>
                <w:lang w:eastAsia="en-US"/>
              </w:rPr>
              <w:t>multisensory</w:t>
            </w:r>
            <w:proofErr w:type="spellEnd"/>
            <w:r w:rsidRPr="00FF4E93">
              <w:rPr>
                <w:i/>
                <w:color w:val="000000"/>
                <w:sz w:val="20"/>
                <w:szCs w:val="20"/>
                <w:lang w:eastAsia="en-US"/>
              </w:rPr>
              <w:t xml:space="preserve"> </w:t>
            </w:r>
            <w:proofErr w:type="spellStart"/>
            <w:r w:rsidRPr="00FF4E93">
              <w:rPr>
                <w:i/>
                <w:color w:val="000000"/>
                <w:sz w:val="20"/>
                <w:szCs w:val="20"/>
                <w:lang w:eastAsia="en-US"/>
              </w:rPr>
              <w:t>computing</w:t>
            </w:r>
            <w:proofErr w:type="spellEnd"/>
            <w:r w:rsidRPr="00FF4E93">
              <w:rPr>
                <w:i/>
                <w:color w:val="000000"/>
                <w:sz w:val="20"/>
                <w:szCs w:val="20"/>
                <w:lang w:eastAsia="en-US"/>
              </w:rPr>
              <w:t xml:space="preserve"> </w:t>
            </w:r>
            <w:proofErr w:type="spellStart"/>
            <w:r w:rsidRPr="00FF4E93">
              <w:rPr>
                <w:i/>
                <w:color w:val="000000"/>
                <w:sz w:val="20"/>
                <w:szCs w:val="20"/>
                <w:lang w:eastAsia="en-US"/>
              </w:rPr>
              <w:t>platform</w:t>
            </w:r>
            <w:proofErr w:type="spellEnd"/>
            <w:r w:rsidRPr="00FF4E93">
              <w:rPr>
                <w:i/>
                <w:color w:val="000000"/>
                <w:sz w:val="20"/>
                <w:szCs w:val="20"/>
                <w:lang w:eastAsia="en-US"/>
              </w:rPr>
              <w:t xml:space="preserve"> </w:t>
            </w:r>
            <w:proofErr w:type="spellStart"/>
            <w:r w:rsidRPr="00FF4E93">
              <w:rPr>
                <w:i/>
                <w:color w:val="000000"/>
                <w:sz w:val="20"/>
                <w:szCs w:val="20"/>
                <w:lang w:eastAsia="en-US"/>
              </w:rPr>
              <w:t>for</w:t>
            </w:r>
            <w:proofErr w:type="spellEnd"/>
            <w:r w:rsidRPr="00FF4E93">
              <w:rPr>
                <w:i/>
                <w:color w:val="000000"/>
                <w:sz w:val="20"/>
                <w:szCs w:val="20"/>
                <w:lang w:eastAsia="en-US"/>
              </w:rPr>
              <w:t xml:space="preserve"> mobile-</w:t>
            </w:r>
            <w:proofErr w:type="spellStart"/>
            <w:r w:rsidRPr="00FF4E93">
              <w:rPr>
                <w:i/>
                <w:color w:val="000000"/>
                <w:sz w:val="20"/>
                <w:szCs w:val="20"/>
                <w:lang w:eastAsia="en-US"/>
              </w:rPr>
              <w:t>based</w:t>
            </w:r>
            <w:proofErr w:type="spellEnd"/>
            <w:r w:rsidRPr="00FF4E93">
              <w:rPr>
                <w:i/>
                <w:color w:val="000000"/>
                <w:sz w:val="20"/>
                <w:szCs w:val="20"/>
                <w:lang w:eastAsia="en-US"/>
              </w:rPr>
              <w:t xml:space="preserve">, </w:t>
            </w:r>
            <w:proofErr w:type="spellStart"/>
            <w:r w:rsidRPr="00FF4E93">
              <w:rPr>
                <w:i/>
                <w:color w:val="000000"/>
                <w:sz w:val="20"/>
                <w:szCs w:val="20"/>
                <w:lang w:eastAsia="en-US"/>
              </w:rPr>
              <w:t>immersive</w:t>
            </w:r>
            <w:proofErr w:type="spellEnd"/>
            <w:r w:rsidRPr="00FF4E93">
              <w:rPr>
                <w:i/>
                <w:color w:val="000000"/>
                <w:sz w:val="20"/>
                <w:szCs w:val="20"/>
                <w:lang w:eastAsia="en-US"/>
              </w:rPr>
              <w:t xml:space="preserve"> </w:t>
            </w:r>
            <w:proofErr w:type="spellStart"/>
            <w:r w:rsidRPr="00FF4E93">
              <w:rPr>
                <w:i/>
                <w:color w:val="000000"/>
                <w:sz w:val="20"/>
                <w:szCs w:val="20"/>
                <w:lang w:eastAsia="en-US"/>
              </w:rPr>
              <w:t>social</w:t>
            </w:r>
            <w:proofErr w:type="spellEnd"/>
            <w:r w:rsidRPr="00FF4E93">
              <w:rPr>
                <w:i/>
                <w:color w:val="000000"/>
                <w:sz w:val="20"/>
                <w:szCs w:val="20"/>
                <w:lang w:eastAsia="en-US"/>
              </w:rPr>
              <w:t xml:space="preserve"> VR </w:t>
            </w:r>
            <w:proofErr w:type="spellStart"/>
            <w:r w:rsidRPr="00FF4E93">
              <w:rPr>
                <w:i/>
                <w:color w:val="000000"/>
                <w:sz w:val="20"/>
                <w:szCs w:val="20"/>
                <w:lang w:eastAsia="en-US"/>
              </w:rPr>
              <w:t>apps</w:t>
            </w:r>
            <w:proofErr w:type="spellEnd"/>
            <w:r w:rsidRPr="00FF4E93">
              <w:rPr>
                <w:i/>
                <w:color w:val="000000"/>
                <w:sz w:val="20"/>
                <w:szCs w:val="20"/>
                <w:lang w:eastAsia="en-US"/>
              </w:rPr>
              <w:t>.</w:t>
            </w:r>
          </w:p>
        </w:tc>
      </w:tr>
      <w:tr w:rsidR="00151DC1" w:rsidRPr="00FF4E93" w14:paraId="45F5C407" w14:textId="77777777" w:rsidTr="00C54569">
        <w:tc>
          <w:tcPr>
            <w:tcW w:w="2405" w:type="dxa"/>
          </w:tcPr>
          <w:p w14:paraId="02A0719E" w14:textId="77777777" w:rsidR="00151DC1" w:rsidRPr="00FF4E93" w:rsidRDefault="00151DC1" w:rsidP="00151DC1">
            <w:pPr>
              <w:spacing w:before="0" w:after="0"/>
              <w:rPr>
                <w:bCs/>
                <w:color w:val="000000"/>
                <w:sz w:val="20"/>
                <w:szCs w:val="20"/>
              </w:rPr>
            </w:pPr>
            <w:proofErr w:type="spellStart"/>
            <w:r w:rsidRPr="00FF4E93">
              <w:rPr>
                <w:bCs/>
                <w:color w:val="000000"/>
                <w:sz w:val="20"/>
                <w:szCs w:val="20"/>
              </w:rPr>
              <w:t>Rent</w:t>
            </w:r>
            <w:proofErr w:type="spellEnd"/>
            <w:r w:rsidRPr="00FF4E93">
              <w:rPr>
                <w:bCs/>
                <w:color w:val="000000"/>
                <w:sz w:val="20"/>
                <w:szCs w:val="20"/>
              </w:rPr>
              <w:t xml:space="preserve"> </w:t>
            </w:r>
            <w:proofErr w:type="spellStart"/>
            <w:r w:rsidRPr="00FF4E93">
              <w:rPr>
                <w:bCs/>
                <w:color w:val="000000"/>
                <w:sz w:val="20"/>
                <w:szCs w:val="20"/>
              </w:rPr>
              <w:t>instead</w:t>
            </w:r>
            <w:proofErr w:type="spellEnd"/>
            <w:r w:rsidRPr="00FF4E93">
              <w:rPr>
                <w:bCs/>
                <w:color w:val="000000"/>
                <w:sz w:val="20"/>
                <w:szCs w:val="20"/>
              </w:rPr>
              <w:t xml:space="preserve"> </w:t>
            </w:r>
            <w:proofErr w:type="spellStart"/>
            <w:r w:rsidRPr="00FF4E93">
              <w:rPr>
                <w:bCs/>
                <w:color w:val="000000"/>
                <w:sz w:val="20"/>
                <w:szCs w:val="20"/>
              </w:rPr>
              <w:t>of</w:t>
            </w:r>
            <w:proofErr w:type="spellEnd"/>
            <w:r w:rsidRPr="00FF4E93">
              <w:rPr>
                <w:bCs/>
                <w:color w:val="000000"/>
                <w:sz w:val="20"/>
                <w:szCs w:val="20"/>
              </w:rPr>
              <w:t xml:space="preserve"> </w:t>
            </w:r>
            <w:proofErr w:type="spellStart"/>
            <w:r w:rsidRPr="00FF4E93">
              <w:rPr>
                <w:bCs/>
                <w:color w:val="000000"/>
                <w:sz w:val="20"/>
                <w:szCs w:val="20"/>
              </w:rPr>
              <w:t>buy</w:t>
            </w:r>
            <w:proofErr w:type="spellEnd"/>
          </w:p>
          <w:p w14:paraId="6033772A" w14:textId="77777777" w:rsidR="00151DC1" w:rsidRPr="00FF4E93" w:rsidRDefault="00151DC1" w:rsidP="00151DC1">
            <w:pPr>
              <w:widowControl w:val="0"/>
              <w:autoSpaceDE w:val="0"/>
              <w:autoSpaceDN w:val="0"/>
              <w:adjustRightInd w:val="0"/>
              <w:spacing w:before="0" w:after="0" w:line="200" w:lineRule="atLeast"/>
              <w:jc w:val="left"/>
              <w:rPr>
                <w:color w:val="000000"/>
                <w:sz w:val="20"/>
                <w:szCs w:val="20"/>
                <w:lang w:eastAsia="en-US"/>
              </w:rPr>
            </w:pPr>
            <w:r w:rsidRPr="00FF4E93">
              <w:rPr>
                <w:i/>
                <w:iCs/>
                <w:color w:val="000000"/>
                <w:sz w:val="20"/>
                <w:szCs w:val="20"/>
                <w:lang w:eastAsia="en-US"/>
              </w:rPr>
              <w:t xml:space="preserve">Liebherr, Xerox, </w:t>
            </w:r>
            <w:proofErr w:type="spellStart"/>
            <w:r w:rsidRPr="00FF4E93">
              <w:rPr>
                <w:i/>
                <w:iCs/>
                <w:color w:val="000000"/>
                <w:sz w:val="20"/>
                <w:szCs w:val="20"/>
                <w:lang w:eastAsia="en-US"/>
              </w:rPr>
              <w:t>Rent</w:t>
            </w:r>
            <w:proofErr w:type="spellEnd"/>
            <w:r w:rsidRPr="00FF4E93">
              <w:rPr>
                <w:i/>
                <w:iCs/>
                <w:color w:val="000000"/>
                <w:sz w:val="20"/>
                <w:szCs w:val="20"/>
                <w:lang w:eastAsia="en-US"/>
              </w:rPr>
              <w:t xml:space="preserve"> a Bike, </w:t>
            </w:r>
            <w:proofErr w:type="spellStart"/>
            <w:r w:rsidRPr="00FF4E93">
              <w:rPr>
                <w:i/>
                <w:iCs/>
                <w:color w:val="000000"/>
                <w:sz w:val="20"/>
                <w:szCs w:val="20"/>
                <w:lang w:eastAsia="en-US"/>
              </w:rPr>
              <w:t>Luxusbabe</w:t>
            </w:r>
            <w:proofErr w:type="spellEnd"/>
            <w:r w:rsidRPr="00FF4E93">
              <w:rPr>
                <w:i/>
                <w:iCs/>
                <w:color w:val="000000"/>
                <w:sz w:val="20"/>
                <w:szCs w:val="20"/>
                <w:lang w:eastAsia="en-US"/>
              </w:rPr>
              <w:t>, Car2Go</w:t>
            </w:r>
          </w:p>
        </w:tc>
        <w:tc>
          <w:tcPr>
            <w:tcW w:w="6519" w:type="dxa"/>
          </w:tcPr>
          <w:p w14:paraId="316F6C04" w14:textId="77777777" w:rsidR="00151DC1" w:rsidRPr="00FF4E93" w:rsidRDefault="00151DC1" w:rsidP="00151DC1">
            <w:pPr>
              <w:widowControl w:val="0"/>
              <w:autoSpaceDE w:val="0"/>
              <w:autoSpaceDN w:val="0"/>
              <w:adjustRightInd w:val="0"/>
              <w:spacing w:before="0" w:after="0" w:line="200" w:lineRule="atLeast"/>
              <w:rPr>
                <w:color w:val="000000"/>
                <w:sz w:val="20"/>
                <w:szCs w:val="20"/>
                <w:lang w:eastAsia="en-US"/>
              </w:rPr>
            </w:pPr>
            <w:r w:rsidRPr="00FF4E93">
              <w:rPr>
                <w:color w:val="000000"/>
                <w:sz w:val="20"/>
                <w:szCs w:val="20"/>
                <w:lang w:eastAsia="en-US"/>
              </w:rPr>
              <w:t xml:space="preserve">The </w:t>
            </w:r>
            <w:proofErr w:type="spellStart"/>
            <w:r w:rsidRPr="00FF4E93">
              <w:rPr>
                <w:color w:val="000000"/>
                <w:sz w:val="20"/>
                <w:szCs w:val="20"/>
                <w:lang w:eastAsia="en-US"/>
              </w:rPr>
              <w:t>customer</w:t>
            </w:r>
            <w:proofErr w:type="spellEnd"/>
            <w:r w:rsidRPr="00FF4E93">
              <w:rPr>
                <w:color w:val="000000"/>
                <w:sz w:val="20"/>
                <w:szCs w:val="20"/>
                <w:lang w:eastAsia="en-US"/>
              </w:rPr>
              <w:t xml:space="preserve"> </w:t>
            </w:r>
            <w:proofErr w:type="spellStart"/>
            <w:r w:rsidRPr="00FF4E93">
              <w:rPr>
                <w:color w:val="000000"/>
                <w:sz w:val="20"/>
                <w:szCs w:val="20"/>
                <w:lang w:eastAsia="en-US"/>
              </w:rPr>
              <w:t>does</w:t>
            </w:r>
            <w:proofErr w:type="spellEnd"/>
            <w:r w:rsidRPr="00FF4E93">
              <w:rPr>
                <w:color w:val="000000"/>
                <w:sz w:val="20"/>
                <w:szCs w:val="20"/>
                <w:lang w:eastAsia="en-US"/>
              </w:rPr>
              <w:t xml:space="preserve"> not </w:t>
            </w:r>
            <w:proofErr w:type="spellStart"/>
            <w:r w:rsidRPr="00FF4E93">
              <w:rPr>
                <w:color w:val="000000"/>
                <w:sz w:val="20"/>
                <w:szCs w:val="20"/>
                <w:lang w:eastAsia="en-US"/>
              </w:rPr>
              <w:t>buy</w:t>
            </w:r>
            <w:proofErr w:type="spellEnd"/>
            <w:r w:rsidRPr="00FF4E93">
              <w:rPr>
                <w:color w:val="000000"/>
                <w:sz w:val="20"/>
                <w:szCs w:val="20"/>
                <w:lang w:eastAsia="en-US"/>
              </w:rPr>
              <w:t xml:space="preserve"> a </w:t>
            </w:r>
            <w:proofErr w:type="spellStart"/>
            <w:r w:rsidRPr="00FF4E93">
              <w:rPr>
                <w:color w:val="000000"/>
                <w:sz w:val="20"/>
                <w:szCs w:val="20"/>
                <w:lang w:eastAsia="en-US"/>
              </w:rPr>
              <w:t>product</w:t>
            </w:r>
            <w:proofErr w:type="spellEnd"/>
            <w:r w:rsidRPr="00FF4E93">
              <w:rPr>
                <w:color w:val="000000"/>
                <w:sz w:val="20"/>
                <w:szCs w:val="20"/>
                <w:lang w:eastAsia="en-US"/>
              </w:rPr>
              <w:t xml:space="preserve">, but </w:t>
            </w:r>
            <w:proofErr w:type="spellStart"/>
            <w:r w:rsidRPr="00FF4E93">
              <w:rPr>
                <w:color w:val="000000"/>
                <w:sz w:val="20"/>
                <w:szCs w:val="20"/>
                <w:lang w:eastAsia="en-US"/>
              </w:rPr>
              <w:t>instead</w:t>
            </w:r>
            <w:proofErr w:type="spellEnd"/>
            <w:r w:rsidRPr="00FF4E93">
              <w:rPr>
                <w:color w:val="000000"/>
                <w:sz w:val="20"/>
                <w:szCs w:val="20"/>
                <w:lang w:eastAsia="en-US"/>
              </w:rPr>
              <w:t xml:space="preserve"> </w:t>
            </w:r>
            <w:proofErr w:type="spellStart"/>
            <w:r w:rsidRPr="00FF4E93">
              <w:rPr>
                <w:color w:val="000000"/>
                <w:sz w:val="20"/>
                <w:szCs w:val="20"/>
                <w:lang w:eastAsia="en-US"/>
              </w:rPr>
              <w:t>rents</w:t>
            </w:r>
            <w:proofErr w:type="spellEnd"/>
            <w:r w:rsidRPr="00FF4E93">
              <w:rPr>
                <w:color w:val="000000"/>
                <w:sz w:val="20"/>
                <w:szCs w:val="20"/>
                <w:lang w:eastAsia="en-US"/>
              </w:rPr>
              <w:t xml:space="preserve"> it. This </w:t>
            </w:r>
            <w:proofErr w:type="spellStart"/>
            <w:r w:rsidRPr="00FF4E93">
              <w:rPr>
                <w:color w:val="000000"/>
                <w:sz w:val="20"/>
                <w:szCs w:val="20"/>
                <w:lang w:eastAsia="en-US"/>
              </w:rPr>
              <w:t>lowers</w:t>
            </w:r>
            <w:proofErr w:type="spellEnd"/>
            <w:r w:rsidRPr="00FF4E93">
              <w:rPr>
                <w:color w:val="000000"/>
                <w:sz w:val="20"/>
                <w:szCs w:val="20"/>
                <w:lang w:eastAsia="en-US"/>
              </w:rPr>
              <w:t xml:space="preserve"> </w:t>
            </w:r>
            <w:proofErr w:type="spellStart"/>
            <w:r w:rsidRPr="00FF4E93">
              <w:rPr>
                <w:color w:val="000000"/>
                <w:sz w:val="20"/>
                <w:szCs w:val="20"/>
                <w:lang w:eastAsia="en-US"/>
              </w:rPr>
              <w:t>the</w:t>
            </w:r>
            <w:proofErr w:type="spellEnd"/>
            <w:r w:rsidRPr="00FF4E93">
              <w:rPr>
                <w:color w:val="000000"/>
                <w:sz w:val="20"/>
                <w:szCs w:val="20"/>
                <w:lang w:eastAsia="en-US"/>
              </w:rPr>
              <w:t xml:space="preserve"> </w:t>
            </w:r>
            <w:proofErr w:type="spellStart"/>
            <w:r w:rsidRPr="00FF4E93">
              <w:rPr>
                <w:color w:val="000000"/>
                <w:sz w:val="20"/>
                <w:szCs w:val="20"/>
                <w:lang w:eastAsia="en-US"/>
              </w:rPr>
              <w:t>capital</w:t>
            </w:r>
            <w:proofErr w:type="spellEnd"/>
            <w:r w:rsidRPr="00FF4E93">
              <w:rPr>
                <w:color w:val="000000"/>
                <w:sz w:val="20"/>
                <w:szCs w:val="20"/>
                <w:lang w:eastAsia="en-US"/>
              </w:rPr>
              <w:t xml:space="preserve"> </w:t>
            </w:r>
            <w:proofErr w:type="spellStart"/>
            <w:r w:rsidRPr="00FF4E93">
              <w:rPr>
                <w:color w:val="000000"/>
                <w:sz w:val="20"/>
                <w:szCs w:val="20"/>
                <w:lang w:eastAsia="en-US"/>
              </w:rPr>
              <w:t>typically</w:t>
            </w:r>
            <w:proofErr w:type="spellEnd"/>
            <w:r w:rsidRPr="00FF4E93">
              <w:rPr>
                <w:color w:val="000000"/>
                <w:sz w:val="20"/>
                <w:szCs w:val="20"/>
                <w:lang w:eastAsia="en-US"/>
              </w:rPr>
              <w:t xml:space="preserve"> </w:t>
            </w:r>
            <w:proofErr w:type="spellStart"/>
            <w:r w:rsidRPr="00FF4E93">
              <w:rPr>
                <w:color w:val="000000"/>
                <w:sz w:val="20"/>
                <w:szCs w:val="20"/>
                <w:lang w:eastAsia="en-US"/>
              </w:rPr>
              <w:t>needed</w:t>
            </w:r>
            <w:proofErr w:type="spellEnd"/>
            <w:r w:rsidRPr="00FF4E93">
              <w:rPr>
                <w:color w:val="000000"/>
                <w:sz w:val="20"/>
                <w:szCs w:val="20"/>
                <w:lang w:eastAsia="en-US"/>
              </w:rPr>
              <w:t xml:space="preserve"> </w:t>
            </w:r>
            <w:proofErr w:type="spellStart"/>
            <w:r w:rsidRPr="00FF4E93">
              <w:rPr>
                <w:color w:val="000000"/>
                <w:sz w:val="20"/>
                <w:szCs w:val="20"/>
                <w:lang w:eastAsia="en-US"/>
              </w:rPr>
              <w:t>to</w:t>
            </w:r>
            <w:proofErr w:type="spellEnd"/>
            <w:r w:rsidRPr="00FF4E93">
              <w:rPr>
                <w:color w:val="000000"/>
                <w:sz w:val="20"/>
                <w:szCs w:val="20"/>
                <w:lang w:eastAsia="en-US"/>
              </w:rPr>
              <w:t xml:space="preserve"> </w:t>
            </w:r>
            <w:proofErr w:type="spellStart"/>
            <w:r w:rsidRPr="00FF4E93">
              <w:rPr>
                <w:color w:val="000000"/>
                <w:sz w:val="20"/>
                <w:szCs w:val="20"/>
                <w:lang w:eastAsia="en-US"/>
              </w:rPr>
              <w:t>gain</w:t>
            </w:r>
            <w:proofErr w:type="spellEnd"/>
            <w:r w:rsidRPr="00FF4E93">
              <w:rPr>
                <w:color w:val="000000"/>
                <w:sz w:val="20"/>
                <w:szCs w:val="20"/>
                <w:lang w:eastAsia="en-US"/>
              </w:rPr>
              <w:t xml:space="preserve"> </w:t>
            </w:r>
            <w:proofErr w:type="spellStart"/>
            <w:r w:rsidRPr="00FF4E93">
              <w:rPr>
                <w:color w:val="000000"/>
                <w:sz w:val="20"/>
                <w:szCs w:val="20"/>
                <w:lang w:eastAsia="en-US"/>
              </w:rPr>
              <w:t>access</w:t>
            </w:r>
            <w:proofErr w:type="spellEnd"/>
            <w:r w:rsidRPr="00FF4E93">
              <w:rPr>
                <w:color w:val="000000"/>
                <w:sz w:val="20"/>
                <w:szCs w:val="20"/>
                <w:lang w:eastAsia="en-US"/>
              </w:rPr>
              <w:t xml:space="preserve"> </w:t>
            </w:r>
            <w:proofErr w:type="spellStart"/>
            <w:r w:rsidRPr="00FF4E93">
              <w:rPr>
                <w:color w:val="000000"/>
                <w:sz w:val="20"/>
                <w:szCs w:val="20"/>
                <w:lang w:eastAsia="en-US"/>
              </w:rPr>
              <w:t>to</w:t>
            </w:r>
            <w:proofErr w:type="spellEnd"/>
            <w:r w:rsidRPr="00FF4E93">
              <w:rPr>
                <w:color w:val="000000"/>
                <w:sz w:val="20"/>
                <w:szCs w:val="20"/>
                <w:lang w:eastAsia="en-US"/>
              </w:rPr>
              <w:t xml:space="preserve"> </w:t>
            </w:r>
            <w:proofErr w:type="spellStart"/>
            <w:r w:rsidRPr="00FF4E93">
              <w:rPr>
                <w:color w:val="000000"/>
                <w:sz w:val="20"/>
                <w:szCs w:val="20"/>
                <w:lang w:eastAsia="en-US"/>
              </w:rPr>
              <w:t>the</w:t>
            </w:r>
            <w:proofErr w:type="spellEnd"/>
            <w:r w:rsidRPr="00FF4E93">
              <w:rPr>
                <w:color w:val="000000"/>
                <w:sz w:val="20"/>
                <w:szCs w:val="20"/>
                <w:lang w:eastAsia="en-US"/>
              </w:rPr>
              <w:t xml:space="preserve"> </w:t>
            </w:r>
            <w:proofErr w:type="spellStart"/>
            <w:r w:rsidRPr="00FF4E93">
              <w:rPr>
                <w:color w:val="000000"/>
                <w:sz w:val="20"/>
                <w:szCs w:val="20"/>
                <w:lang w:eastAsia="en-US"/>
              </w:rPr>
              <w:t>product</w:t>
            </w:r>
            <w:proofErr w:type="spellEnd"/>
            <w:r w:rsidRPr="00FF4E93">
              <w:rPr>
                <w:color w:val="000000"/>
                <w:sz w:val="20"/>
                <w:szCs w:val="20"/>
                <w:lang w:eastAsia="en-US"/>
              </w:rPr>
              <w:t xml:space="preserve">. The </w:t>
            </w:r>
            <w:proofErr w:type="spellStart"/>
            <w:r w:rsidRPr="00FF4E93">
              <w:rPr>
                <w:color w:val="000000"/>
                <w:sz w:val="20"/>
                <w:szCs w:val="20"/>
                <w:lang w:eastAsia="en-US"/>
              </w:rPr>
              <w:t>company</w:t>
            </w:r>
            <w:proofErr w:type="spellEnd"/>
            <w:r w:rsidRPr="00FF4E93">
              <w:rPr>
                <w:color w:val="000000"/>
                <w:sz w:val="20"/>
                <w:szCs w:val="20"/>
                <w:lang w:eastAsia="en-US"/>
              </w:rPr>
              <w:t xml:space="preserve"> </w:t>
            </w:r>
            <w:proofErr w:type="spellStart"/>
            <w:r w:rsidRPr="00FF4E93">
              <w:rPr>
                <w:color w:val="000000"/>
                <w:sz w:val="20"/>
                <w:szCs w:val="20"/>
                <w:lang w:eastAsia="en-US"/>
              </w:rPr>
              <w:t>itself</w:t>
            </w:r>
            <w:proofErr w:type="spellEnd"/>
            <w:r w:rsidRPr="00FF4E93">
              <w:rPr>
                <w:color w:val="000000"/>
                <w:sz w:val="20"/>
                <w:szCs w:val="20"/>
                <w:lang w:eastAsia="en-US"/>
              </w:rPr>
              <w:t xml:space="preserve"> </w:t>
            </w:r>
            <w:proofErr w:type="spellStart"/>
            <w:r w:rsidRPr="00FF4E93">
              <w:rPr>
                <w:color w:val="000000"/>
                <w:sz w:val="20"/>
                <w:szCs w:val="20"/>
                <w:lang w:eastAsia="en-US"/>
              </w:rPr>
              <w:t>benefits</w:t>
            </w:r>
            <w:proofErr w:type="spellEnd"/>
            <w:r w:rsidRPr="00FF4E93">
              <w:rPr>
                <w:color w:val="000000"/>
                <w:sz w:val="20"/>
                <w:szCs w:val="20"/>
                <w:lang w:eastAsia="en-US"/>
              </w:rPr>
              <w:t xml:space="preserve"> </w:t>
            </w:r>
            <w:proofErr w:type="spellStart"/>
            <w:r w:rsidRPr="00FF4E93">
              <w:rPr>
                <w:color w:val="000000"/>
                <w:sz w:val="20"/>
                <w:szCs w:val="20"/>
                <w:lang w:eastAsia="en-US"/>
              </w:rPr>
              <w:t>from</w:t>
            </w:r>
            <w:proofErr w:type="spellEnd"/>
            <w:r w:rsidRPr="00FF4E93">
              <w:rPr>
                <w:color w:val="000000"/>
                <w:sz w:val="20"/>
                <w:szCs w:val="20"/>
                <w:lang w:eastAsia="en-US"/>
              </w:rPr>
              <w:t xml:space="preserve"> </w:t>
            </w:r>
            <w:proofErr w:type="spellStart"/>
            <w:r w:rsidRPr="00FF4E93">
              <w:rPr>
                <w:color w:val="000000"/>
                <w:sz w:val="20"/>
                <w:szCs w:val="20"/>
                <w:lang w:eastAsia="en-US"/>
              </w:rPr>
              <w:t>higher</w:t>
            </w:r>
            <w:proofErr w:type="spellEnd"/>
            <w:r w:rsidRPr="00FF4E93">
              <w:rPr>
                <w:color w:val="000000"/>
                <w:sz w:val="20"/>
                <w:szCs w:val="20"/>
                <w:lang w:eastAsia="en-US"/>
              </w:rPr>
              <w:t xml:space="preserve"> </w:t>
            </w:r>
            <w:proofErr w:type="spellStart"/>
            <w:r w:rsidRPr="00FF4E93">
              <w:rPr>
                <w:color w:val="000000"/>
                <w:sz w:val="20"/>
                <w:szCs w:val="20"/>
                <w:lang w:eastAsia="en-US"/>
              </w:rPr>
              <w:t>profits</w:t>
            </w:r>
            <w:proofErr w:type="spellEnd"/>
            <w:r w:rsidRPr="00FF4E93">
              <w:rPr>
                <w:color w:val="000000"/>
                <w:sz w:val="20"/>
                <w:szCs w:val="20"/>
                <w:lang w:eastAsia="en-US"/>
              </w:rPr>
              <w:t xml:space="preserve"> on </w:t>
            </w:r>
            <w:proofErr w:type="spellStart"/>
            <w:r w:rsidRPr="00FF4E93">
              <w:rPr>
                <w:color w:val="000000"/>
                <w:sz w:val="20"/>
                <w:szCs w:val="20"/>
                <w:lang w:eastAsia="en-US"/>
              </w:rPr>
              <w:t>each</w:t>
            </w:r>
            <w:proofErr w:type="spellEnd"/>
            <w:r w:rsidRPr="00FF4E93">
              <w:rPr>
                <w:color w:val="000000"/>
                <w:sz w:val="20"/>
                <w:szCs w:val="20"/>
                <w:lang w:eastAsia="en-US"/>
              </w:rPr>
              <w:t xml:space="preserve"> </w:t>
            </w:r>
            <w:proofErr w:type="spellStart"/>
            <w:r w:rsidRPr="00FF4E93">
              <w:rPr>
                <w:color w:val="000000"/>
                <w:sz w:val="20"/>
                <w:szCs w:val="20"/>
                <w:lang w:eastAsia="en-US"/>
              </w:rPr>
              <w:t>product</w:t>
            </w:r>
            <w:proofErr w:type="spellEnd"/>
            <w:r w:rsidRPr="00FF4E93">
              <w:rPr>
                <w:color w:val="000000"/>
                <w:sz w:val="20"/>
                <w:szCs w:val="20"/>
                <w:lang w:eastAsia="en-US"/>
              </w:rPr>
              <w:t xml:space="preserve">, </w:t>
            </w:r>
            <w:proofErr w:type="spellStart"/>
            <w:r w:rsidRPr="00FF4E93">
              <w:rPr>
                <w:color w:val="000000"/>
                <w:sz w:val="20"/>
                <w:szCs w:val="20"/>
                <w:lang w:eastAsia="en-US"/>
              </w:rPr>
              <w:t>as</w:t>
            </w:r>
            <w:proofErr w:type="spellEnd"/>
            <w:r w:rsidRPr="00FF4E93">
              <w:rPr>
                <w:color w:val="000000"/>
                <w:sz w:val="20"/>
                <w:szCs w:val="20"/>
                <w:lang w:eastAsia="en-US"/>
              </w:rPr>
              <w:t xml:space="preserve"> </w:t>
            </w:r>
            <w:proofErr w:type="spellStart"/>
            <w:r w:rsidRPr="00FF4E93">
              <w:rPr>
                <w:color w:val="000000"/>
                <w:sz w:val="20"/>
                <w:szCs w:val="20"/>
                <w:lang w:eastAsia="en-US"/>
              </w:rPr>
              <w:t>it</w:t>
            </w:r>
            <w:proofErr w:type="spellEnd"/>
            <w:r w:rsidRPr="00FF4E93">
              <w:rPr>
                <w:color w:val="000000"/>
                <w:sz w:val="20"/>
                <w:szCs w:val="20"/>
                <w:lang w:eastAsia="en-US"/>
              </w:rPr>
              <w:t xml:space="preserve"> </w:t>
            </w:r>
            <w:proofErr w:type="spellStart"/>
            <w:r w:rsidRPr="00FF4E93">
              <w:rPr>
                <w:color w:val="000000"/>
                <w:sz w:val="20"/>
                <w:szCs w:val="20"/>
                <w:lang w:eastAsia="en-US"/>
              </w:rPr>
              <w:t>is</w:t>
            </w:r>
            <w:proofErr w:type="spellEnd"/>
            <w:r w:rsidRPr="00FF4E93">
              <w:rPr>
                <w:color w:val="000000"/>
                <w:sz w:val="20"/>
                <w:szCs w:val="20"/>
                <w:lang w:eastAsia="en-US"/>
              </w:rPr>
              <w:t xml:space="preserve"> </w:t>
            </w:r>
            <w:proofErr w:type="spellStart"/>
            <w:r w:rsidRPr="00FF4E93">
              <w:rPr>
                <w:color w:val="000000"/>
                <w:sz w:val="20"/>
                <w:szCs w:val="20"/>
                <w:lang w:eastAsia="en-US"/>
              </w:rPr>
              <w:t>paid</w:t>
            </w:r>
            <w:proofErr w:type="spellEnd"/>
            <w:r w:rsidRPr="00FF4E93">
              <w:rPr>
                <w:color w:val="000000"/>
                <w:sz w:val="20"/>
                <w:szCs w:val="20"/>
                <w:lang w:eastAsia="en-US"/>
              </w:rPr>
              <w:t xml:space="preserve"> </w:t>
            </w:r>
            <w:proofErr w:type="spellStart"/>
            <w:r w:rsidRPr="00FF4E93">
              <w:rPr>
                <w:color w:val="000000"/>
                <w:sz w:val="20"/>
                <w:szCs w:val="20"/>
                <w:lang w:eastAsia="en-US"/>
              </w:rPr>
              <w:t>for</w:t>
            </w:r>
            <w:proofErr w:type="spellEnd"/>
            <w:r w:rsidRPr="00FF4E93">
              <w:rPr>
                <w:color w:val="000000"/>
                <w:sz w:val="20"/>
                <w:szCs w:val="20"/>
                <w:lang w:eastAsia="en-US"/>
              </w:rPr>
              <w:t xml:space="preserve"> </w:t>
            </w:r>
            <w:proofErr w:type="spellStart"/>
            <w:r w:rsidRPr="00FF4E93">
              <w:rPr>
                <w:color w:val="000000"/>
                <w:sz w:val="20"/>
                <w:szCs w:val="20"/>
                <w:lang w:eastAsia="en-US"/>
              </w:rPr>
              <w:t>the</w:t>
            </w:r>
            <w:proofErr w:type="spellEnd"/>
            <w:r w:rsidRPr="00FF4E93">
              <w:rPr>
                <w:color w:val="000000"/>
                <w:sz w:val="20"/>
                <w:szCs w:val="20"/>
                <w:lang w:eastAsia="en-US"/>
              </w:rPr>
              <w:t xml:space="preserve"> </w:t>
            </w:r>
            <w:proofErr w:type="spellStart"/>
            <w:r w:rsidRPr="00FF4E93">
              <w:rPr>
                <w:color w:val="000000"/>
                <w:sz w:val="20"/>
                <w:szCs w:val="20"/>
                <w:lang w:eastAsia="en-US"/>
              </w:rPr>
              <w:t>duration</w:t>
            </w:r>
            <w:proofErr w:type="spellEnd"/>
            <w:r w:rsidRPr="00FF4E93">
              <w:rPr>
                <w:color w:val="000000"/>
                <w:sz w:val="20"/>
                <w:szCs w:val="20"/>
                <w:lang w:eastAsia="en-US"/>
              </w:rPr>
              <w:t xml:space="preserve"> </w:t>
            </w:r>
            <w:proofErr w:type="spellStart"/>
            <w:r w:rsidRPr="00FF4E93">
              <w:rPr>
                <w:color w:val="000000"/>
                <w:sz w:val="20"/>
                <w:szCs w:val="20"/>
                <w:lang w:eastAsia="en-US"/>
              </w:rPr>
              <w:t>of</w:t>
            </w:r>
            <w:proofErr w:type="spellEnd"/>
            <w:r w:rsidRPr="00FF4E93">
              <w:rPr>
                <w:color w:val="000000"/>
                <w:sz w:val="20"/>
                <w:szCs w:val="20"/>
                <w:lang w:eastAsia="en-US"/>
              </w:rPr>
              <w:t xml:space="preserve"> </w:t>
            </w:r>
            <w:proofErr w:type="spellStart"/>
            <w:r w:rsidRPr="00FF4E93">
              <w:rPr>
                <w:color w:val="000000"/>
                <w:sz w:val="20"/>
                <w:szCs w:val="20"/>
                <w:lang w:eastAsia="en-US"/>
              </w:rPr>
              <w:t>the</w:t>
            </w:r>
            <w:proofErr w:type="spellEnd"/>
            <w:r w:rsidRPr="00FF4E93">
              <w:rPr>
                <w:color w:val="000000"/>
                <w:sz w:val="20"/>
                <w:szCs w:val="20"/>
                <w:lang w:eastAsia="en-US"/>
              </w:rPr>
              <w:t xml:space="preserve"> </w:t>
            </w:r>
            <w:proofErr w:type="spellStart"/>
            <w:r w:rsidRPr="00FF4E93">
              <w:rPr>
                <w:color w:val="000000"/>
                <w:sz w:val="20"/>
                <w:szCs w:val="20"/>
                <w:lang w:eastAsia="en-US"/>
              </w:rPr>
              <w:t>rental</w:t>
            </w:r>
            <w:proofErr w:type="spellEnd"/>
            <w:r w:rsidRPr="00FF4E93">
              <w:rPr>
                <w:color w:val="000000"/>
                <w:sz w:val="20"/>
                <w:szCs w:val="20"/>
                <w:lang w:eastAsia="en-US"/>
              </w:rPr>
              <w:t xml:space="preserve"> </w:t>
            </w:r>
            <w:proofErr w:type="spellStart"/>
            <w:r w:rsidRPr="00FF4E93">
              <w:rPr>
                <w:color w:val="000000"/>
                <w:sz w:val="20"/>
                <w:szCs w:val="20"/>
                <w:lang w:eastAsia="en-US"/>
              </w:rPr>
              <w:t>period</w:t>
            </w:r>
            <w:proofErr w:type="spellEnd"/>
            <w:r w:rsidRPr="00FF4E93">
              <w:rPr>
                <w:color w:val="000000"/>
                <w:sz w:val="20"/>
                <w:szCs w:val="20"/>
                <w:lang w:eastAsia="en-US"/>
              </w:rPr>
              <w:t xml:space="preserve">. </w:t>
            </w:r>
            <w:proofErr w:type="spellStart"/>
            <w:r w:rsidRPr="00FF4E93">
              <w:rPr>
                <w:color w:val="000000"/>
                <w:sz w:val="20"/>
                <w:szCs w:val="20"/>
                <w:lang w:eastAsia="en-US"/>
              </w:rPr>
              <w:t>Both</w:t>
            </w:r>
            <w:proofErr w:type="spellEnd"/>
            <w:r w:rsidRPr="00FF4E93">
              <w:rPr>
                <w:color w:val="000000"/>
                <w:sz w:val="20"/>
                <w:szCs w:val="20"/>
                <w:lang w:eastAsia="en-US"/>
              </w:rPr>
              <w:t xml:space="preserve"> </w:t>
            </w:r>
            <w:proofErr w:type="spellStart"/>
            <w:r w:rsidRPr="00FF4E93">
              <w:rPr>
                <w:color w:val="000000"/>
                <w:sz w:val="20"/>
                <w:szCs w:val="20"/>
                <w:lang w:eastAsia="en-US"/>
              </w:rPr>
              <w:t>parties</w:t>
            </w:r>
            <w:proofErr w:type="spellEnd"/>
            <w:r w:rsidRPr="00FF4E93">
              <w:rPr>
                <w:color w:val="000000"/>
                <w:sz w:val="20"/>
                <w:szCs w:val="20"/>
                <w:lang w:eastAsia="en-US"/>
              </w:rPr>
              <w:t xml:space="preserve"> </w:t>
            </w:r>
            <w:proofErr w:type="spellStart"/>
            <w:r w:rsidRPr="00FF4E93">
              <w:rPr>
                <w:color w:val="000000"/>
                <w:sz w:val="20"/>
                <w:szCs w:val="20"/>
                <w:lang w:eastAsia="en-US"/>
              </w:rPr>
              <w:t>benefit</w:t>
            </w:r>
            <w:proofErr w:type="spellEnd"/>
            <w:r w:rsidRPr="00FF4E93">
              <w:rPr>
                <w:color w:val="000000"/>
                <w:sz w:val="20"/>
                <w:szCs w:val="20"/>
                <w:lang w:eastAsia="en-US"/>
              </w:rPr>
              <w:t xml:space="preserve"> </w:t>
            </w:r>
            <w:proofErr w:type="spellStart"/>
            <w:r w:rsidRPr="00FF4E93">
              <w:rPr>
                <w:color w:val="000000"/>
                <w:sz w:val="20"/>
                <w:szCs w:val="20"/>
                <w:lang w:eastAsia="en-US"/>
              </w:rPr>
              <w:t>from</w:t>
            </w:r>
            <w:proofErr w:type="spellEnd"/>
            <w:r w:rsidRPr="00FF4E93">
              <w:rPr>
                <w:color w:val="000000"/>
                <w:sz w:val="20"/>
                <w:szCs w:val="20"/>
                <w:lang w:eastAsia="en-US"/>
              </w:rPr>
              <w:t xml:space="preserve"> </w:t>
            </w:r>
            <w:proofErr w:type="spellStart"/>
            <w:r w:rsidRPr="00FF4E93">
              <w:rPr>
                <w:color w:val="000000"/>
                <w:sz w:val="20"/>
                <w:szCs w:val="20"/>
                <w:lang w:eastAsia="en-US"/>
              </w:rPr>
              <w:t>higher</w:t>
            </w:r>
            <w:proofErr w:type="spellEnd"/>
            <w:r w:rsidRPr="00FF4E93">
              <w:rPr>
                <w:color w:val="000000"/>
                <w:sz w:val="20"/>
                <w:szCs w:val="20"/>
                <w:lang w:eastAsia="en-US"/>
              </w:rPr>
              <w:t xml:space="preserve"> </w:t>
            </w:r>
            <w:proofErr w:type="spellStart"/>
            <w:r w:rsidRPr="00FF4E93">
              <w:rPr>
                <w:color w:val="000000"/>
                <w:sz w:val="20"/>
                <w:szCs w:val="20"/>
                <w:lang w:eastAsia="en-US"/>
              </w:rPr>
              <w:t>efficiency</w:t>
            </w:r>
            <w:proofErr w:type="spellEnd"/>
            <w:r w:rsidRPr="00FF4E93">
              <w:rPr>
                <w:color w:val="000000"/>
                <w:sz w:val="20"/>
                <w:szCs w:val="20"/>
                <w:lang w:eastAsia="en-US"/>
              </w:rPr>
              <w:t xml:space="preserve"> in </w:t>
            </w:r>
            <w:proofErr w:type="spellStart"/>
            <w:r w:rsidRPr="00FF4E93">
              <w:rPr>
                <w:color w:val="000000"/>
                <w:sz w:val="20"/>
                <w:szCs w:val="20"/>
                <w:lang w:eastAsia="en-US"/>
              </w:rPr>
              <w:t>product</w:t>
            </w:r>
            <w:proofErr w:type="spellEnd"/>
            <w:r w:rsidRPr="00FF4E93">
              <w:rPr>
                <w:color w:val="000000"/>
                <w:sz w:val="20"/>
                <w:szCs w:val="20"/>
                <w:lang w:eastAsia="en-US"/>
              </w:rPr>
              <w:t xml:space="preserve"> </w:t>
            </w:r>
            <w:proofErr w:type="spellStart"/>
            <w:r w:rsidRPr="00FF4E93">
              <w:rPr>
                <w:color w:val="000000"/>
                <w:sz w:val="20"/>
                <w:szCs w:val="20"/>
                <w:lang w:eastAsia="en-US"/>
              </w:rPr>
              <w:t>utilization</w:t>
            </w:r>
            <w:proofErr w:type="spellEnd"/>
            <w:r w:rsidRPr="00FF4E93">
              <w:rPr>
                <w:color w:val="000000"/>
                <w:sz w:val="20"/>
                <w:szCs w:val="20"/>
                <w:lang w:eastAsia="en-US"/>
              </w:rPr>
              <w:t xml:space="preserve"> </w:t>
            </w:r>
            <w:proofErr w:type="spellStart"/>
            <w:r w:rsidRPr="00FF4E93">
              <w:rPr>
                <w:color w:val="000000"/>
                <w:sz w:val="20"/>
                <w:szCs w:val="20"/>
                <w:lang w:eastAsia="en-US"/>
              </w:rPr>
              <w:t>as</w:t>
            </w:r>
            <w:proofErr w:type="spellEnd"/>
            <w:r w:rsidRPr="00FF4E93">
              <w:rPr>
                <w:color w:val="000000"/>
                <w:sz w:val="20"/>
                <w:szCs w:val="20"/>
                <w:lang w:eastAsia="en-US"/>
              </w:rPr>
              <w:t xml:space="preserve"> time </w:t>
            </w:r>
            <w:proofErr w:type="spellStart"/>
            <w:r w:rsidRPr="00FF4E93">
              <w:rPr>
                <w:color w:val="000000"/>
                <w:sz w:val="20"/>
                <w:szCs w:val="20"/>
                <w:lang w:eastAsia="en-US"/>
              </w:rPr>
              <w:t>of</w:t>
            </w:r>
            <w:proofErr w:type="spellEnd"/>
            <w:r w:rsidRPr="00FF4E93">
              <w:rPr>
                <w:color w:val="000000"/>
                <w:sz w:val="20"/>
                <w:szCs w:val="20"/>
                <w:lang w:eastAsia="en-US"/>
              </w:rPr>
              <w:t xml:space="preserve"> non-</w:t>
            </w:r>
            <w:proofErr w:type="spellStart"/>
            <w:r w:rsidRPr="00FF4E93">
              <w:rPr>
                <w:color w:val="000000"/>
                <w:sz w:val="20"/>
                <w:szCs w:val="20"/>
                <w:lang w:eastAsia="en-US"/>
              </w:rPr>
              <w:t>usage</w:t>
            </w:r>
            <w:proofErr w:type="spellEnd"/>
            <w:r w:rsidRPr="00FF4E93">
              <w:rPr>
                <w:color w:val="000000"/>
                <w:sz w:val="20"/>
                <w:szCs w:val="20"/>
                <w:lang w:eastAsia="en-US"/>
              </w:rPr>
              <w:t xml:space="preserve">, </w:t>
            </w:r>
            <w:proofErr w:type="spellStart"/>
            <w:r w:rsidRPr="00FF4E93">
              <w:rPr>
                <w:color w:val="000000"/>
                <w:sz w:val="20"/>
                <w:szCs w:val="20"/>
                <w:lang w:eastAsia="en-US"/>
              </w:rPr>
              <w:t>which</w:t>
            </w:r>
            <w:proofErr w:type="spellEnd"/>
            <w:r w:rsidRPr="00FF4E93">
              <w:rPr>
                <w:color w:val="000000"/>
                <w:sz w:val="20"/>
                <w:szCs w:val="20"/>
                <w:lang w:eastAsia="en-US"/>
              </w:rPr>
              <w:t xml:space="preserve"> </w:t>
            </w:r>
            <w:proofErr w:type="spellStart"/>
            <w:r w:rsidRPr="00FF4E93">
              <w:rPr>
                <w:color w:val="000000"/>
                <w:sz w:val="20"/>
                <w:szCs w:val="20"/>
                <w:lang w:eastAsia="en-US"/>
              </w:rPr>
              <w:t>unnecessarily</w:t>
            </w:r>
            <w:proofErr w:type="spellEnd"/>
            <w:r w:rsidRPr="00FF4E93">
              <w:rPr>
                <w:color w:val="000000"/>
                <w:sz w:val="20"/>
                <w:szCs w:val="20"/>
                <w:lang w:eastAsia="en-US"/>
              </w:rPr>
              <w:t xml:space="preserve"> </w:t>
            </w:r>
            <w:proofErr w:type="spellStart"/>
            <w:r w:rsidRPr="00FF4E93">
              <w:rPr>
                <w:color w:val="000000"/>
                <w:sz w:val="20"/>
                <w:szCs w:val="20"/>
                <w:lang w:eastAsia="en-US"/>
              </w:rPr>
              <w:t>binds</w:t>
            </w:r>
            <w:proofErr w:type="spellEnd"/>
            <w:r w:rsidRPr="00FF4E93">
              <w:rPr>
                <w:color w:val="000000"/>
                <w:sz w:val="20"/>
                <w:szCs w:val="20"/>
                <w:lang w:eastAsia="en-US"/>
              </w:rPr>
              <w:t xml:space="preserve"> </w:t>
            </w:r>
            <w:proofErr w:type="spellStart"/>
            <w:r w:rsidRPr="00FF4E93">
              <w:rPr>
                <w:color w:val="000000"/>
                <w:sz w:val="20"/>
                <w:szCs w:val="20"/>
                <w:lang w:eastAsia="en-US"/>
              </w:rPr>
              <w:t>capital</w:t>
            </w:r>
            <w:proofErr w:type="spellEnd"/>
            <w:r w:rsidRPr="00FF4E93">
              <w:rPr>
                <w:color w:val="000000"/>
                <w:sz w:val="20"/>
                <w:szCs w:val="20"/>
                <w:lang w:eastAsia="en-US"/>
              </w:rPr>
              <w:t xml:space="preserve">, </w:t>
            </w:r>
            <w:proofErr w:type="spellStart"/>
            <w:r w:rsidRPr="00FF4E93">
              <w:rPr>
                <w:color w:val="000000"/>
                <w:sz w:val="20"/>
                <w:szCs w:val="20"/>
                <w:lang w:eastAsia="en-US"/>
              </w:rPr>
              <w:t>is</w:t>
            </w:r>
            <w:proofErr w:type="spellEnd"/>
            <w:r w:rsidRPr="00FF4E93">
              <w:rPr>
                <w:color w:val="000000"/>
                <w:sz w:val="20"/>
                <w:szCs w:val="20"/>
                <w:lang w:eastAsia="en-US"/>
              </w:rPr>
              <w:t xml:space="preserve"> </w:t>
            </w:r>
            <w:proofErr w:type="spellStart"/>
            <w:r w:rsidRPr="00FF4E93">
              <w:rPr>
                <w:color w:val="000000"/>
                <w:sz w:val="20"/>
                <w:szCs w:val="20"/>
                <w:lang w:eastAsia="en-US"/>
              </w:rPr>
              <w:t>reduced</w:t>
            </w:r>
            <w:proofErr w:type="spellEnd"/>
            <w:r w:rsidRPr="00FF4E93">
              <w:rPr>
                <w:color w:val="000000"/>
                <w:sz w:val="20"/>
                <w:szCs w:val="20"/>
                <w:lang w:eastAsia="en-US"/>
              </w:rPr>
              <w:t xml:space="preserve"> on </w:t>
            </w:r>
            <w:proofErr w:type="spellStart"/>
            <w:r w:rsidRPr="00FF4E93">
              <w:rPr>
                <w:color w:val="000000"/>
                <w:sz w:val="20"/>
                <w:szCs w:val="20"/>
                <w:lang w:eastAsia="en-US"/>
              </w:rPr>
              <w:t>each</w:t>
            </w:r>
            <w:proofErr w:type="spellEnd"/>
            <w:r w:rsidRPr="00FF4E93">
              <w:rPr>
                <w:color w:val="000000"/>
                <w:sz w:val="20"/>
                <w:szCs w:val="20"/>
                <w:lang w:eastAsia="en-US"/>
              </w:rPr>
              <w:t xml:space="preserve"> </w:t>
            </w:r>
            <w:proofErr w:type="spellStart"/>
            <w:r w:rsidRPr="00FF4E93">
              <w:rPr>
                <w:color w:val="000000"/>
                <w:sz w:val="20"/>
                <w:szCs w:val="20"/>
                <w:lang w:eastAsia="en-US"/>
              </w:rPr>
              <w:t>product</w:t>
            </w:r>
            <w:proofErr w:type="spellEnd"/>
            <w:r w:rsidRPr="00FF4E93">
              <w:rPr>
                <w:color w:val="000000"/>
                <w:sz w:val="20"/>
                <w:szCs w:val="20"/>
                <w:lang w:eastAsia="en-US"/>
              </w:rPr>
              <w:t>.</w:t>
            </w:r>
          </w:p>
        </w:tc>
        <w:tc>
          <w:tcPr>
            <w:tcW w:w="5353" w:type="dxa"/>
          </w:tcPr>
          <w:p w14:paraId="1A8F9332" w14:textId="77777777" w:rsidR="00151DC1" w:rsidRPr="00FF4E93" w:rsidRDefault="00151DC1" w:rsidP="00151DC1">
            <w:pPr>
              <w:widowControl w:val="0"/>
              <w:autoSpaceDE w:val="0"/>
              <w:autoSpaceDN w:val="0"/>
              <w:adjustRightInd w:val="0"/>
              <w:spacing w:before="0" w:after="0" w:line="200" w:lineRule="atLeast"/>
              <w:rPr>
                <w:i/>
                <w:color w:val="000000"/>
                <w:sz w:val="20"/>
                <w:szCs w:val="20"/>
                <w:lang w:eastAsia="en-US"/>
              </w:rPr>
            </w:pPr>
            <w:proofErr w:type="spellStart"/>
            <w:r w:rsidRPr="00FF4E93">
              <w:rPr>
                <w:i/>
                <w:color w:val="000000"/>
                <w:sz w:val="20"/>
                <w:szCs w:val="20"/>
                <w:lang w:eastAsia="en-US"/>
              </w:rPr>
              <w:t>MindMaze</w:t>
            </w:r>
            <w:proofErr w:type="spellEnd"/>
            <w:r w:rsidRPr="00FF4E93">
              <w:rPr>
                <w:i/>
                <w:color w:val="000000"/>
                <w:sz w:val="20"/>
                <w:szCs w:val="20"/>
                <w:lang w:eastAsia="en-US"/>
              </w:rPr>
              <w:t xml:space="preserve"> </w:t>
            </w:r>
            <w:proofErr w:type="spellStart"/>
            <w:r w:rsidRPr="00FF4E93">
              <w:rPr>
                <w:b/>
                <w:bCs/>
                <w:i/>
                <w:color w:val="000000"/>
                <w:sz w:val="20"/>
                <w:szCs w:val="20"/>
                <w:lang w:eastAsia="en-US"/>
              </w:rPr>
              <w:t>isn’t</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selling</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its</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hardware</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directly</w:t>
            </w:r>
            <w:proofErr w:type="spellEnd"/>
            <w:r w:rsidRPr="00FF4E93">
              <w:rPr>
                <w:i/>
                <w:color w:val="000000"/>
                <w:sz w:val="20"/>
                <w:szCs w:val="20"/>
                <w:lang w:eastAsia="en-US"/>
              </w:rPr>
              <w:t xml:space="preserve">. Hospitals </w:t>
            </w:r>
            <w:proofErr w:type="spellStart"/>
            <w:r w:rsidRPr="00FF4E93">
              <w:rPr>
                <w:i/>
                <w:color w:val="000000"/>
                <w:sz w:val="20"/>
                <w:szCs w:val="20"/>
                <w:lang w:eastAsia="en-US"/>
              </w:rPr>
              <w:t>and</w:t>
            </w:r>
            <w:proofErr w:type="spellEnd"/>
            <w:r w:rsidRPr="00FF4E93">
              <w:rPr>
                <w:i/>
                <w:color w:val="000000"/>
                <w:sz w:val="20"/>
                <w:szCs w:val="20"/>
                <w:lang w:eastAsia="en-US"/>
              </w:rPr>
              <w:t xml:space="preserve"> </w:t>
            </w:r>
            <w:proofErr w:type="spellStart"/>
            <w:r w:rsidRPr="00FF4E93">
              <w:rPr>
                <w:i/>
                <w:color w:val="000000"/>
                <w:sz w:val="20"/>
                <w:szCs w:val="20"/>
                <w:lang w:eastAsia="en-US"/>
              </w:rPr>
              <w:t>rehabilitation</w:t>
            </w:r>
            <w:proofErr w:type="spellEnd"/>
            <w:r w:rsidRPr="00FF4E93">
              <w:rPr>
                <w:i/>
                <w:color w:val="000000"/>
                <w:sz w:val="20"/>
                <w:szCs w:val="20"/>
                <w:lang w:eastAsia="en-US"/>
              </w:rPr>
              <w:t xml:space="preserve"> </w:t>
            </w:r>
            <w:proofErr w:type="spellStart"/>
            <w:r w:rsidRPr="00FF4E93">
              <w:rPr>
                <w:i/>
                <w:color w:val="000000"/>
                <w:sz w:val="20"/>
                <w:szCs w:val="20"/>
                <w:lang w:eastAsia="en-US"/>
              </w:rPr>
              <w:t>centers</w:t>
            </w:r>
            <w:proofErr w:type="spellEnd"/>
            <w:r w:rsidRPr="00FF4E93">
              <w:rPr>
                <w:i/>
                <w:color w:val="000000"/>
                <w:sz w:val="20"/>
                <w:szCs w:val="20"/>
                <w:lang w:eastAsia="en-US"/>
              </w:rPr>
              <w:t xml:space="preserve"> </w:t>
            </w:r>
            <w:proofErr w:type="spellStart"/>
            <w:r w:rsidRPr="00FF4E93">
              <w:rPr>
                <w:i/>
                <w:color w:val="000000"/>
                <w:sz w:val="20"/>
                <w:szCs w:val="20"/>
                <w:lang w:eastAsia="en-US"/>
              </w:rPr>
              <w:t>can</w:t>
            </w:r>
            <w:proofErr w:type="spellEnd"/>
            <w:r w:rsidRPr="00FF4E93">
              <w:rPr>
                <w:i/>
                <w:color w:val="000000"/>
                <w:sz w:val="20"/>
                <w:szCs w:val="20"/>
                <w:lang w:eastAsia="en-US"/>
              </w:rPr>
              <w:t xml:space="preserve"> </w:t>
            </w:r>
            <w:proofErr w:type="spellStart"/>
            <w:r w:rsidRPr="00FF4E93">
              <w:rPr>
                <w:b/>
                <w:bCs/>
                <w:i/>
                <w:color w:val="000000"/>
                <w:sz w:val="20"/>
                <w:szCs w:val="20"/>
                <w:lang w:eastAsia="en-US"/>
              </w:rPr>
              <w:t>rent</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the</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hardware</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and</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software</w:t>
            </w:r>
            <w:proofErr w:type="spellEnd"/>
            <w:r w:rsidRPr="00FF4E93">
              <w:rPr>
                <w:b/>
                <w:bCs/>
                <w:i/>
                <w:color w:val="000000"/>
                <w:sz w:val="20"/>
                <w:szCs w:val="20"/>
                <w:lang w:eastAsia="en-US"/>
              </w:rPr>
              <w:t xml:space="preserve"> </w:t>
            </w:r>
            <w:proofErr w:type="spellStart"/>
            <w:r w:rsidRPr="00FF4E93">
              <w:rPr>
                <w:b/>
                <w:bCs/>
                <w:i/>
                <w:color w:val="000000"/>
                <w:sz w:val="20"/>
                <w:szCs w:val="20"/>
                <w:lang w:eastAsia="en-US"/>
              </w:rPr>
              <w:t>package</w:t>
            </w:r>
            <w:proofErr w:type="spellEnd"/>
            <w:r w:rsidRPr="00FF4E93">
              <w:rPr>
                <w:b/>
                <w:bCs/>
                <w:i/>
                <w:color w:val="000000"/>
                <w:sz w:val="20"/>
                <w:szCs w:val="20"/>
                <w:lang w:eastAsia="en-US"/>
              </w:rPr>
              <w:t xml:space="preserve"> </w:t>
            </w:r>
            <w:r w:rsidRPr="00FF4E93">
              <w:rPr>
                <w:i/>
                <w:color w:val="000000"/>
                <w:sz w:val="20"/>
                <w:szCs w:val="20"/>
                <w:lang w:eastAsia="en-US"/>
              </w:rPr>
              <w:t xml:space="preserve">on a </w:t>
            </w:r>
            <w:proofErr w:type="spellStart"/>
            <w:r w:rsidRPr="00FF4E93">
              <w:rPr>
                <w:i/>
                <w:color w:val="000000"/>
                <w:sz w:val="20"/>
                <w:szCs w:val="20"/>
                <w:lang w:eastAsia="en-US"/>
              </w:rPr>
              <w:t>subscription</w:t>
            </w:r>
            <w:proofErr w:type="spellEnd"/>
            <w:r w:rsidRPr="00FF4E93">
              <w:rPr>
                <w:i/>
                <w:color w:val="000000"/>
                <w:sz w:val="20"/>
                <w:szCs w:val="20"/>
                <w:lang w:eastAsia="en-US"/>
              </w:rPr>
              <w:t xml:space="preserve"> </w:t>
            </w:r>
            <w:proofErr w:type="spellStart"/>
            <w:r w:rsidRPr="00FF4E93">
              <w:rPr>
                <w:i/>
                <w:color w:val="000000"/>
                <w:sz w:val="20"/>
                <w:szCs w:val="20"/>
                <w:lang w:eastAsia="en-US"/>
              </w:rPr>
              <w:t>basis</w:t>
            </w:r>
            <w:proofErr w:type="spellEnd"/>
            <w:r w:rsidRPr="00FF4E93">
              <w:rPr>
                <w:i/>
                <w:color w:val="000000"/>
                <w:sz w:val="20"/>
                <w:szCs w:val="20"/>
                <w:lang w:eastAsia="en-US"/>
              </w:rPr>
              <w:t xml:space="preserve">, </w:t>
            </w:r>
            <w:proofErr w:type="spellStart"/>
            <w:r w:rsidRPr="00FF4E93">
              <w:rPr>
                <w:i/>
                <w:color w:val="000000"/>
                <w:sz w:val="20"/>
                <w:szCs w:val="20"/>
                <w:lang w:eastAsia="en-US"/>
              </w:rPr>
              <w:t>which</w:t>
            </w:r>
            <w:proofErr w:type="spellEnd"/>
            <w:r w:rsidRPr="00FF4E93">
              <w:rPr>
                <w:i/>
                <w:color w:val="000000"/>
                <w:sz w:val="20"/>
                <w:szCs w:val="20"/>
                <w:lang w:eastAsia="en-US"/>
              </w:rPr>
              <w:t xml:space="preserve"> </w:t>
            </w:r>
            <w:proofErr w:type="spellStart"/>
            <w:r w:rsidRPr="00FF4E93">
              <w:rPr>
                <w:i/>
                <w:color w:val="000000"/>
                <w:sz w:val="20"/>
                <w:szCs w:val="20"/>
                <w:lang w:eastAsia="en-US"/>
              </w:rPr>
              <w:t>starts</w:t>
            </w:r>
            <w:proofErr w:type="spellEnd"/>
            <w:r w:rsidRPr="00FF4E93">
              <w:rPr>
                <w:i/>
                <w:color w:val="000000"/>
                <w:sz w:val="20"/>
                <w:szCs w:val="20"/>
                <w:lang w:eastAsia="en-US"/>
              </w:rPr>
              <w:t xml:space="preserve"> at $</w:t>
            </w:r>
            <w:r w:rsidRPr="00FF4E93">
              <w:rPr>
                <w:b/>
                <w:bCs/>
                <w:i/>
                <w:color w:val="000000"/>
                <w:sz w:val="20"/>
                <w:szCs w:val="20"/>
                <w:lang w:eastAsia="en-US"/>
              </w:rPr>
              <w:t xml:space="preserve">2,500 per </w:t>
            </w:r>
            <w:proofErr w:type="spellStart"/>
            <w:r w:rsidRPr="00FF4E93">
              <w:rPr>
                <w:b/>
                <w:bCs/>
                <w:i/>
                <w:color w:val="000000"/>
                <w:sz w:val="20"/>
                <w:szCs w:val="20"/>
                <w:lang w:eastAsia="en-US"/>
              </w:rPr>
              <w:t>month</w:t>
            </w:r>
            <w:proofErr w:type="spellEnd"/>
            <w:r w:rsidRPr="00FF4E93">
              <w:rPr>
                <w:i/>
                <w:color w:val="000000"/>
                <w:sz w:val="20"/>
                <w:szCs w:val="20"/>
                <w:lang w:eastAsia="en-US"/>
              </w:rPr>
              <w:t>.</w:t>
            </w:r>
          </w:p>
          <w:p w14:paraId="110EB26B" w14:textId="77777777" w:rsidR="00151DC1" w:rsidRPr="00FF4E93" w:rsidRDefault="00151DC1" w:rsidP="00151DC1">
            <w:pPr>
              <w:widowControl w:val="0"/>
              <w:autoSpaceDE w:val="0"/>
              <w:autoSpaceDN w:val="0"/>
              <w:adjustRightInd w:val="0"/>
              <w:spacing w:before="0" w:after="0" w:line="200" w:lineRule="atLeast"/>
              <w:rPr>
                <w:i/>
                <w:color w:val="000000"/>
                <w:sz w:val="20"/>
                <w:szCs w:val="20"/>
                <w:lang w:eastAsia="en-US"/>
              </w:rPr>
            </w:pPr>
          </w:p>
          <w:p w14:paraId="7BDF70C2" w14:textId="77777777" w:rsidR="00151DC1" w:rsidRPr="00FF4E93" w:rsidRDefault="00151DC1" w:rsidP="00151DC1">
            <w:pPr>
              <w:widowControl w:val="0"/>
              <w:autoSpaceDE w:val="0"/>
              <w:autoSpaceDN w:val="0"/>
              <w:adjustRightInd w:val="0"/>
              <w:spacing w:before="0" w:after="0" w:line="200" w:lineRule="atLeast"/>
              <w:rPr>
                <w:i/>
                <w:color w:val="000000"/>
                <w:sz w:val="20"/>
                <w:szCs w:val="20"/>
                <w:lang w:eastAsia="en-US"/>
              </w:rPr>
            </w:pPr>
          </w:p>
        </w:tc>
      </w:tr>
    </w:tbl>
    <w:p w14:paraId="006E1CA2" w14:textId="77777777" w:rsidR="00151DC1" w:rsidRPr="00FF4E93" w:rsidRDefault="00151DC1" w:rsidP="00151DC1">
      <w:pPr>
        <w:spacing w:after="0"/>
        <w:jc w:val="left"/>
        <w:rPr>
          <w:rFonts w:eastAsia="Times New Roman"/>
          <w:sz w:val="26"/>
        </w:rPr>
      </w:pPr>
      <w:r w:rsidRPr="00FF4E93">
        <w:rPr>
          <w:rFonts w:eastAsia="Times New Roman"/>
          <w:sz w:val="26"/>
        </w:rPr>
        <w:br w:type="page"/>
      </w:r>
    </w:p>
    <w:p w14:paraId="1B4D2F65" w14:textId="77777777" w:rsidR="00151DC1" w:rsidRPr="00FF4E93" w:rsidRDefault="00151DC1" w:rsidP="00151DC1">
      <w:pPr>
        <w:spacing w:after="0"/>
        <w:jc w:val="left"/>
        <w:rPr>
          <w:rFonts w:eastAsia="Times New Roman"/>
          <w:sz w:val="26"/>
        </w:rPr>
      </w:pPr>
    </w:p>
    <w:tbl>
      <w:tblPr>
        <w:tblStyle w:val="TableGrid1"/>
        <w:tblW w:w="0" w:type="auto"/>
        <w:tblBorders>
          <w:left w:val="none" w:sz="0" w:space="0" w:color="auto"/>
          <w:right w:val="none" w:sz="0" w:space="0" w:color="auto"/>
          <w:insideH w:val="none" w:sz="0" w:space="0" w:color="auto"/>
          <w:insideV w:val="none" w:sz="0" w:space="0" w:color="auto"/>
        </w:tblBorders>
        <w:tblCellMar>
          <w:top w:w="57" w:type="dxa"/>
          <w:left w:w="85" w:type="dxa"/>
          <w:bottom w:w="57" w:type="dxa"/>
          <w:right w:w="85" w:type="dxa"/>
        </w:tblCellMar>
        <w:tblLook w:val="04A0" w:firstRow="1" w:lastRow="0" w:firstColumn="1" w:lastColumn="0" w:noHBand="0" w:noVBand="1"/>
      </w:tblPr>
      <w:tblGrid>
        <w:gridCol w:w="2405"/>
        <w:gridCol w:w="5670"/>
        <w:gridCol w:w="6202"/>
      </w:tblGrid>
      <w:tr w:rsidR="00151DC1" w:rsidRPr="00FF4E93" w14:paraId="56C10C85" w14:textId="77777777" w:rsidTr="00C54569">
        <w:tc>
          <w:tcPr>
            <w:tcW w:w="2405" w:type="dxa"/>
          </w:tcPr>
          <w:p w14:paraId="7B200689" w14:textId="77777777" w:rsidR="00151DC1" w:rsidRPr="00FF4E93" w:rsidRDefault="00151DC1" w:rsidP="00151DC1">
            <w:pPr>
              <w:spacing w:before="0" w:after="0"/>
              <w:rPr>
                <w:bCs/>
                <w:color w:val="000000"/>
                <w:sz w:val="22"/>
                <w:szCs w:val="22"/>
                <w:lang w:eastAsia="en-US"/>
              </w:rPr>
            </w:pPr>
            <w:proofErr w:type="spellStart"/>
            <w:r w:rsidRPr="00FF4E93">
              <w:rPr>
                <w:bCs/>
                <w:color w:val="000000"/>
                <w:sz w:val="22"/>
                <w:szCs w:val="22"/>
                <w:lang w:eastAsia="en-US"/>
              </w:rPr>
              <w:t>Self</w:t>
            </w:r>
            <w:proofErr w:type="spellEnd"/>
            <w:r w:rsidRPr="00FF4E93">
              <w:rPr>
                <w:bCs/>
                <w:color w:val="000000"/>
                <w:sz w:val="22"/>
                <w:szCs w:val="22"/>
                <w:lang w:eastAsia="en-US"/>
              </w:rPr>
              <w:t>-Service</w:t>
            </w:r>
          </w:p>
          <w:p w14:paraId="16A7C11A" w14:textId="77777777" w:rsidR="00151DC1" w:rsidRPr="00FF4E93" w:rsidRDefault="00151DC1" w:rsidP="00151DC1">
            <w:pPr>
              <w:spacing w:before="0" w:after="0"/>
              <w:rPr>
                <w:bCs/>
                <w:color w:val="000000"/>
                <w:sz w:val="22"/>
                <w:szCs w:val="22"/>
                <w:lang w:eastAsia="en-US"/>
              </w:rPr>
            </w:pPr>
            <w:r w:rsidRPr="00FF4E93">
              <w:rPr>
                <w:i/>
                <w:iCs/>
                <w:color w:val="000000"/>
                <w:sz w:val="22"/>
                <w:szCs w:val="22"/>
                <w:lang w:eastAsia="en-US"/>
              </w:rPr>
              <w:t xml:space="preserve">McDonald's, IKEA, Accor, </w:t>
            </w:r>
            <w:proofErr w:type="spellStart"/>
            <w:r w:rsidRPr="00FF4E93">
              <w:rPr>
                <w:i/>
                <w:iCs/>
                <w:color w:val="000000"/>
                <w:sz w:val="22"/>
                <w:szCs w:val="22"/>
                <w:lang w:eastAsia="en-US"/>
              </w:rPr>
              <w:t>BackWerk</w:t>
            </w:r>
            <w:proofErr w:type="spellEnd"/>
            <w:r w:rsidRPr="00FF4E93">
              <w:rPr>
                <w:i/>
                <w:iCs/>
                <w:color w:val="000000"/>
                <w:sz w:val="22"/>
                <w:szCs w:val="22"/>
                <w:lang w:eastAsia="en-US"/>
              </w:rPr>
              <w:t>, Car2Go</w:t>
            </w:r>
          </w:p>
        </w:tc>
        <w:tc>
          <w:tcPr>
            <w:tcW w:w="5670" w:type="dxa"/>
          </w:tcPr>
          <w:p w14:paraId="3CA7BFF6" w14:textId="77777777" w:rsidR="00151DC1" w:rsidRPr="00FF4E93" w:rsidRDefault="00151DC1" w:rsidP="00151DC1">
            <w:pPr>
              <w:widowControl w:val="0"/>
              <w:autoSpaceDE w:val="0"/>
              <w:autoSpaceDN w:val="0"/>
              <w:adjustRightInd w:val="0"/>
              <w:spacing w:before="0" w:after="0" w:line="200" w:lineRule="atLeast"/>
              <w:rPr>
                <w:color w:val="000000"/>
                <w:sz w:val="22"/>
                <w:szCs w:val="22"/>
                <w:lang w:eastAsia="en-US"/>
              </w:rPr>
            </w:pPr>
            <w:r w:rsidRPr="00FF4E93">
              <w:rPr>
                <w:color w:val="000000"/>
                <w:sz w:val="22"/>
                <w:szCs w:val="22"/>
                <w:lang w:eastAsia="en-US"/>
              </w:rPr>
              <w:t xml:space="preserve">A </w:t>
            </w:r>
            <w:proofErr w:type="spellStart"/>
            <w:r w:rsidRPr="00FF4E93">
              <w:rPr>
                <w:color w:val="000000"/>
                <w:sz w:val="22"/>
                <w:szCs w:val="22"/>
                <w:lang w:eastAsia="en-US"/>
              </w:rPr>
              <w:t>part</w:t>
            </w:r>
            <w:proofErr w:type="spellEnd"/>
            <w:r w:rsidRPr="00FF4E93">
              <w:rPr>
                <w:color w:val="000000"/>
                <w:sz w:val="22"/>
                <w:szCs w:val="22"/>
                <w:lang w:eastAsia="en-US"/>
              </w:rPr>
              <w:t xml:space="preserve"> </w:t>
            </w:r>
            <w:proofErr w:type="spellStart"/>
            <w:r w:rsidRPr="00FF4E93">
              <w:rPr>
                <w:color w:val="000000"/>
                <w:sz w:val="22"/>
                <w:szCs w:val="22"/>
                <w:lang w:eastAsia="en-US"/>
              </w:rPr>
              <w:t>of</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value</w:t>
            </w:r>
            <w:proofErr w:type="spellEnd"/>
            <w:r w:rsidRPr="00FF4E93">
              <w:rPr>
                <w:color w:val="000000"/>
                <w:sz w:val="22"/>
                <w:szCs w:val="22"/>
                <w:lang w:eastAsia="en-US"/>
              </w:rPr>
              <w:t xml:space="preserve"> </w:t>
            </w:r>
            <w:proofErr w:type="spellStart"/>
            <w:r w:rsidRPr="00FF4E93">
              <w:rPr>
                <w:color w:val="000000"/>
                <w:sz w:val="22"/>
                <w:szCs w:val="22"/>
                <w:lang w:eastAsia="en-US"/>
              </w:rPr>
              <w:t>creation</w:t>
            </w:r>
            <w:proofErr w:type="spellEnd"/>
            <w:r w:rsidRPr="00FF4E93">
              <w:rPr>
                <w:color w:val="000000"/>
                <w:sz w:val="22"/>
                <w:szCs w:val="22"/>
                <w:lang w:eastAsia="en-US"/>
              </w:rPr>
              <w:t xml:space="preserve"> </w:t>
            </w:r>
            <w:proofErr w:type="spellStart"/>
            <w:r w:rsidRPr="00FF4E93">
              <w:rPr>
                <w:color w:val="000000"/>
                <w:sz w:val="22"/>
                <w:szCs w:val="22"/>
                <w:lang w:eastAsia="en-US"/>
              </w:rPr>
              <w:t>is</w:t>
            </w:r>
            <w:proofErr w:type="spellEnd"/>
            <w:r w:rsidRPr="00FF4E93">
              <w:rPr>
                <w:color w:val="000000"/>
                <w:sz w:val="22"/>
                <w:szCs w:val="22"/>
                <w:lang w:eastAsia="en-US"/>
              </w:rPr>
              <w:t xml:space="preserve"> </w:t>
            </w:r>
            <w:proofErr w:type="spellStart"/>
            <w:r w:rsidRPr="00FF4E93">
              <w:rPr>
                <w:color w:val="000000"/>
                <w:sz w:val="22"/>
                <w:szCs w:val="22"/>
                <w:lang w:eastAsia="en-US"/>
              </w:rPr>
              <w:t>transferred</w:t>
            </w:r>
            <w:proofErr w:type="spellEnd"/>
            <w:r w:rsidRPr="00FF4E93">
              <w:rPr>
                <w:color w:val="000000"/>
                <w:sz w:val="22"/>
                <w:szCs w:val="22"/>
                <w:lang w:eastAsia="en-US"/>
              </w:rPr>
              <w:t xml:space="preserve"> </w:t>
            </w:r>
            <w:proofErr w:type="spellStart"/>
            <w:r w:rsidRPr="00FF4E93">
              <w:rPr>
                <w:color w:val="000000"/>
                <w:sz w:val="22"/>
                <w:szCs w:val="22"/>
                <w:lang w:eastAsia="en-US"/>
              </w:rPr>
              <w:t>to</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customer</w:t>
            </w:r>
            <w:proofErr w:type="spellEnd"/>
            <w:r w:rsidRPr="00FF4E93">
              <w:rPr>
                <w:color w:val="000000"/>
                <w:sz w:val="22"/>
                <w:szCs w:val="22"/>
                <w:lang w:eastAsia="en-US"/>
              </w:rPr>
              <w:t xml:space="preserve"> in </w:t>
            </w:r>
            <w:proofErr w:type="spellStart"/>
            <w:r w:rsidRPr="00FF4E93">
              <w:rPr>
                <w:color w:val="000000"/>
                <w:sz w:val="22"/>
                <w:szCs w:val="22"/>
                <w:lang w:eastAsia="en-US"/>
              </w:rPr>
              <w:t>exchange</w:t>
            </w:r>
            <w:proofErr w:type="spellEnd"/>
            <w:r w:rsidRPr="00FF4E93">
              <w:rPr>
                <w:color w:val="000000"/>
                <w:sz w:val="22"/>
                <w:szCs w:val="22"/>
                <w:lang w:eastAsia="en-US"/>
              </w:rPr>
              <w:t xml:space="preserve"> </w:t>
            </w:r>
            <w:proofErr w:type="spellStart"/>
            <w:r w:rsidRPr="00FF4E93">
              <w:rPr>
                <w:color w:val="000000"/>
                <w:sz w:val="22"/>
                <w:szCs w:val="22"/>
                <w:lang w:eastAsia="en-US"/>
              </w:rPr>
              <w:t>for</w:t>
            </w:r>
            <w:proofErr w:type="spellEnd"/>
            <w:r w:rsidRPr="00FF4E93">
              <w:rPr>
                <w:color w:val="000000"/>
                <w:sz w:val="22"/>
                <w:szCs w:val="22"/>
                <w:lang w:eastAsia="en-US"/>
              </w:rPr>
              <w:t xml:space="preserve"> a </w:t>
            </w:r>
            <w:proofErr w:type="spellStart"/>
            <w:r w:rsidRPr="00FF4E93">
              <w:rPr>
                <w:color w:val="000000"/>
                <w:sz w:val="22"/>
                <w:szCs w:val="22"/>
                <w:lang w:eastAsia="en-US"/>
              </w:rPr>
              <w:t>lower</w:t>
            </w:r>
            <w:proofErr w:type="spellEnd"/>
            <w:r w:rsidRPr="00FF4E93">
              <w:rPr>
                <w:color w:val="000000"/>
                <w:sz w:val="22"/>
                <w:szCs w:val="22"/>
                <w:lang w:eastAsia="en-US"/>
              </w:rPr>
              <w:t xml:space="preserve"> </w:t>
            </w:r>
            <w:proofErr w:type="spellStart"/>
            <w:r w:rsidRPr="00FF4E93">
              <w:rPr>
                <w:color w:val="000000"/>
                <w:sz w:val="22"/>
                <w:szCs w:val="22"/>
                <w:lang w:eastAsia="en-US"/>
              </w:rPr>
              <w:t>price</w:t>
            </w:r>
            <w:proofErr w:type="spellEnd"/>
            <w:r w:rsidRPr="00FF4E93">
              <w:rPr>
                <w:color w:val="000000"/>
                <w:sz w:val="22"/>
                <w:szCs w:val="22"/>
                <w:lang w:eastAsia="en-US"/>
              </w:rPr>
              <w:t xml:space="preserve"> </w:t>
            </w:r>
            <w:proofErr w:type="spellStart"/>
            <w:r w:rsidRPr="00FF4E93">
              <w:rPr>
                <w:color w:val="000000"/>
                <w:sz w:val="22"/>
                <w:szCs w:val="22"/>
                <w:lang w:eastAsia="en-US"/>
              </w:rPr>
              <w:t>of</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service</w:t>
            </w:r>
            <w:proofErr w:type="spellEnd"/>
            <w:r w:rsidRPr="00FF4E93">
              <w:rPr>
                <w:color w:val="000000"/>
                <w:sz w:val="22"/>
                <w:szCs w:val="22"/>
                <w:lang w:eastAsia="en-US"/>
              </w:rPr>
              <w:t xml:space="preserve"> </w:t>
            </w:r>
            <w:proofErr w:type="spellStart"/>
            <w:r w:rsidRPr="00FF4E93">
              <w:rPr>
                <w:color w:val="000000"/>
                <w:sz w:val="22"/>
                <w:szCs w:val="22"/>
                <w:lang w:eastAsia="en-US"/>
              </w:rPr>
              <w:t>or</w:t>
            </w:r>
            <w:proofErr w:type="spellEnd"/>
            <w:r w:rsidRPr="00FF4E93">
              <w:rPr>
                <w:color w:val="000000"/>
                <w:sz w:val="22"/>
                <w:szCs w:val="22"/>
                <w:lang w:eastAsia="en-US"/>
              </w:rPr>
              <w:t xml:space="preserve"> </w:t>
            </w:r>
            <w:proofErr w:type="spellStart"/>
            <w:r w:rsidRPr="00FF4E93">
              <w:rPr>
                <w:color w:val="000000"/>
                <w:sz w:val="22"/>
                <w:szCs w:val="22"/>
                <w:lang w:eastAsia="en-US"/>
              </w:rPr>
              <w:t>product</w:t>
            </w:r>
            <w:proofErr w:type="spellEnd"/>
            <w:r w:rsidRPr="00FF4E93">
              <w:rPr>
                <w:color w:val="000000"/>
                <w:sz w:val="22"/>
                <w:szCs w:val="22"/>
                <w:lang w:eastAsia="en-US"/>
              </w:rPr>
              <w:t xml:space="preserve">. This </w:t>
            </w:r>
            <w:proofErr w:type="spellStart"/>
            <w:r w:rsidRPr="00FF4E93">
              <w:rPr>
                <w:color w:val="000000"/>
                <w:sz w:val="22"/>
                <w:szCs w:val="22"/>
                <w:lang w:eastAsia="en-US"/>
              </w:rPr>
              <w:t>is</w:t>
            </w:r>
            <w:proofErr w:type="spellEnd"/>
            <w:r w:rsidRPr="00FF4E93">
              <w:rPr>
                <w:color w:val="000000"/>
                <w:sz w:val="22"/>
                <w:szCs w:val="22"/>
                <w:lang w:eastAsia="en-US"/>
              </w:rPr>
              <w:t xml:space="preserve"> </w:t>
            </w:r>
            <w:proofErr w:type="spellStart"/>
            <w:r w:rsidRPr="00FF4E93">
              <w:rPr>
                <w:color w:val="000000"/>
                <w:sz w:val="22"/>
                <w:szCs w:val="22"/>
                <w:lang w:eastAsia="en-US"/>
              </w:rPr>
              <w:t>particularly</w:t>
            </w:r>
            <w:proofErr w:type="spellEnd"/>
            <w:r w:rsidRPr="00FF4E93">
              <w:rPr>
                <w:color w:val="000000"/>
                <w:sz w:val="22"/>
                <w:szCs w:val="22"/>
                <w:lang w:eastAsia="en-US"/>
              </w:rPr>
              <w:t xml:space="preserve"> </w:t>
            </w:r>
            <w:proofErr w:type="spellStart"/>
            <w:r w:rsidRPr="00FF4E93">
              <w:rPr>
                <w:color w:val="000000"/>
                <w:sz w:val="22"/>
                <w:szCs w:val="22"/>
                <w:lang w:eastAsia="en-US"/>
              </w:rPr>
              <w:t>suited</w:t>
            </w:r>
            <w:proofErr w:type="spellEnd"/>
            <w:r w:rsidRPr="00FF4E93">
              <w:rPr>
                <w:color w:val="000000"/>
                <w:sz w:val="22"/>
                <w:szCs w:val="22"/>
                <w:lang w:eastAsia="en-US"/>
              </w:rPr>
              <w:t xml:space="preserve"> </w:t>
            </w:r>
            <w:proofErr w:type="spellStart"/>
            <w:r w:rsidRPr="00FF4E93">
              <w:rPr>
                <w:color w:val="000000"/>
                <w:sz w:val="22"/>
                <w:szCs w:val="22"/>
                <w:lang w:eastAsia="en-US"/>
              </w:rPr>
              <w:t>for</w:t>
            </w:r>
            <w:proofErr w:type="spellEnd"/>
            <w:r w:rsidRPr="00FF4E93">
              <w:rPr>
                <w:color w:val="000000"/>
                <w:sz w:val="22"/>
                <w:szCs w:val="22"/>
                <w:lang w:eastAsia="en-US"/>
              </w:rPr>
              <w:t xml:space="preserve"> </w:t>
            </w:r>
            <w:proofErr w:type="spellStart"/>
            <w:r w:rsidRPr="00FF4E93">
              <w:rPr>
                <w:color w:val="000000"/>
                <w:sz w:val="22"/>
                <w:szCs w:val="22"/>
                <w:lang w:eastAsia="en-US"/>
              </w:rPr>
              <w:t>process</w:t>
            </w:r>
            <w:proofErr w:type="spellEnd"/>
            <w:r w:rsidRPr="00FF4E93">
              <w:rPr>
                <w:color w:val="000000"/>
                <w:sz w:val="22"/>
                <w:szCs w:val="22"/>
                <w:lang w:eastAsia="en-US"/>
              </w:rPr>
              <w:t xml:space="preserve"> </w:t>
            </w:r>
            <w:proofErr w:type="spellStart"/>
            <w:r w:rsidRPr="00FF4E93">
              <w:rPr>
                <w:color w:val="000000"/>
                <w:sz w:val="22"/>
                <w:szCs w:val="22"/>
                <w:lang w:eastAsia="en-US"/>
              </w:rPr>
              <w:t>steps</w:t>
            </w:r>
            <w:proofErr w:type="spellEnd"/>
            <w:r w:rsidRPr="00FF4E93">
              <w:rPr>
                <w:color w:val="000000"/>
                <w:sz w:val="22"/>
                <w:szCs w:val="22"/>
                <w:lang w:eastAsia="en-US"/>
              </w:rPr>
              <w:t xml:space="preserve"> </w:t>
            </w:r>
            <w:proofErr w:type="spellStart"/>
            <w:r w:rsidRPr="00FF4E93">
              <w:rPr>
                <w:color w:val="000000"/>
                <w:sz w:val="22"/>
                <w:szCs w:val="22"/>
                <w:lang w:eastAsia="en-US"/>
              </w:rPr>
              <w:t>that</w:t>
            </w:r>
            <w:proofErr w:type="spellEnd"/>
            <w:r w:rsidRPr="00FF4E93">
              <w:rPr>
                <w:color w:val="000000"/>
                <w:sz w:val="22"/>
                <w:szCs w:val="22"/>
                <w:lang w:eastAsia="en-US"/>
              </w:rPr>
              <w:t xml:space="preserve"> </w:t>
            </w:r>
            <w:proofErr w:type="spellStart"/>
            <w:r w:rsidRPr="00FF4E93">
              <w:rPr>
                <w:color w:val="000000"/>
                <w:sz w:val="22"/>
                <w:szCs w:val="22"/>
                <w:lang w:eastAsia="en-US"/>
              </w:rPr>
              <w:t>add</w:t>
            </w:r>
            <w:proofErr w:type="spellEnd"/>
            <w:r w:rsidRPr="00FF4E93">
              <w:rPr>
                <w:color w:val="000000"/>
                <w:sz w:val="22"/>
                <w:szCs w:val="22"/>
                <w:lang w:eastAsia="en-US"/>
              </w:rPr>
              <w:t xml:space="preserve"> </w:t>
            </w:r>
            <w:proofErr w:type="spellStart"/>
            <w:r w:rsidRPr="00FF4E93">
              <w:rPr>
                <w:color w:val="000000"/>
                <w:sz w:val="22"/>
                <w:szCs w:val="22"/>
                <w:lang w:eastAsia="en-US"/>
              </w:rPr>
              <w:t>relatively</w:t>
            </w:r>
            <w:proofErr w:type="spellEnd"/>
            <w:r w:rsidRPr="00FF4E93">
              <w:rPr>
                <w:color w:val="000000"/>
                <w:sz w:val="22"/>
                <w:szCs w:val="22"/>
                <w:lang w:eastAsia="en-US"/>
              </w:rPr>
              <w:t xml:space="preserve"> </w:t>
            </w:r>
            <w:proofErr w:type="spellStart"/>
            <w:r w:rsidRPr="00FF4E93">
              <w:rPr>
                <w:color w:val="000000"/>
                <w:sz w:val="22"/>
                <w:szCs w:val="22"/>
                <w:lang w:eastAsia="en-US"/>
              </w:rPr>
              <w:t>little</w:t>
            </w:r>
            <w:proofErr w:type="spellEnd"/>
            <w:r w:rsidRPr="00FF4E93">
              <w:rPr>
                <w:color w:val="000000"/>
                <w:sz w:val="22"/>
                <w:szCs w:val="22"/>
                <w:lang w:eastAsia="en-US"/>
              </w:rPr>
              <w:t xml:space="preserve"> </w:t>
            </w:r>
            <w:proofErr w:type="spellStart"/>
            <w:r w:rsidRPr="00FF4E93">
              <w:rPr>
                <w:color w:val="000000"/>
                <w:sz w:val="22"/>
                <w:szCs w:val="22"/>
                <w:lang w:eastAsia="en-US"/>
              </w:rPr>
              <w:t>perceived</w:t>
            </w:r>
            <w:proofErr w:type="spellEnd"/>
            <w:r w:rsidRPr="00FF4E93">
              <w:rPr>
                <w:color w:val="000000"/>
                <w:sz w:val="22"/>
                <w:szCs w:val="22"/>
                <w:lang w:eastAsia="en-US"/>
              </w:rPr>
              <w:t xml:space="preserve"> </w:t>
            </w:r>
            <w:proofErr w:type="spellStart"/>
            <w:r w:rsidRPr="00FF4E93">
              <w:rPr>
                <w:color w:val="000000"/>
                <w:sz w:val="22"/>
                <w:szCs w:val="22"/>
                <w:lang w:eastAsia="en-US"/>
              </w:rPr>
              <w:t>value</w:t>
            </w:r>
            <w:proofErr w:type="spellEnd"/>
            <w:r w:rsidRPr="00FF4E93">
              <w:rPr>
                <w:color w:val="000000"/>
                <w:sz w:val="22"/>
                <w:szCs w:val="22"/>
                <w:lang w:eastAsia="en-US"/>
              </w:rPr>
              <w:t xml:space="preserve"> </w:t>
            </w:r>
            <w:proofErr w:type="spellStart"/>
            <w:r w:rsidRPr="00FF4E93">
              <w:rPr>
                <w:color w:val="000000"/>
                <w:sz w:val="22"/>
                <w:szCs w:val="22"/>
                <w:lang w:eastAsia="en-US"/>
              </w:rPr>
              <w:t>for</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customer</w:t>
            </w:r>
            <w:proofErr w:type="spellEnd"/>
            <w:r w:rsidRPr="00FF4E93">
              <w:rPr>
                <w:color w:val="000000"/>
                <w:sz w:val="22"/>
                <w:szCs w:val="22"/>
                <w:lang w:eastAsia="en-US"/>
              </w:rPr>
              <w:t xml:space="preserve">, but </w:t>
            </w:r>
            <w:proofErr w:type="spellStart"/>
            <w:r w:rsidRPr="00FF4E93">
              <w:rPr>
                <w:color w:val="000000"/>
                <w:sz w:val="22"/>
                <w:szCs w:val="22"/>
                <w:lang w:eastAsia="en-US"/>
              </w:rPr>
              <w:t>incur</w:t>
            </w:r>
            <w:proofErr w:type="spellEnd"/>
            <w:r w:rsidRPr="00FF4E93">
              <w:rPr>
                <w:color w:val="000000"/>
                <w:sz w:val="22"/>
                <w:szCs w:val="22"/>
                <w:lang w:eastAsia="en-US"/>
              </w:rPr>
              <w:t xml:space="preserve"> high </w:t>
            </w:r>
            <w:proofErr w:type="spellStart"/>
            <w:r w:rsidRPr="00FF4E93">
              <w:rPr>
                <w:color w:val="000000"/>
                <w:sz w:val="22"/>
                <w:szCs w:val="22"/>
                <w:lang w:eastAsia="en-US"/>
              </w:rPr>
              <w:t>costs</w:t>
            </w:r>
            <w:proofErr w:type="spellEnd"/>
            <w:r w:rsidRPr="00FF4E93">
              <w:rPr>
                <w:color w:val="000000"/>
                <w:sz w:val="22"/>
                <w:szCs w:val="22"/>
                <w:lang w:eastAsia="en-US"/>
              </w:rPr>
              <w:t xml:space="preserve">. Customers </w:t>
            </w:r>
            <w:proofErr w:type="spellStart"/>
            <w:r w:rsidRPr="00FF4E93">
              <w:rPr>
                <w:color w:val="000000"/>
                <w:sz w:val="22"/>
                <w:szCs w:val="22"/>
                <w:lang w:eastAsia="en-US"/>
              </w:rPr>
              <w:t>benefit</w:t>
            </w:r>
            <w:proofErr w:type="spellEnd"/>
            <w:r w:rsidRPr="00FF4E93">
              <w:rPr>
                <w:color w:val="000000"/>
                <w:sz w:val="22"/>
                <w:szCs w:val="22"/>
                <w:lang w:eastAsia="en-US"/>
              </w:rPr>
              <w:t xml:space="preserve"> </w:t>
            </w:r>
            <w:proofErr w:type="spellStart"/>
            <w:r w:rsidRPr="00FF4E93">
              <w:rPr>
                <w:color w:val="000000"/>
                <w:sz w:val="22"/>
                <w:szCs w:val="22"/>
                <w:lang w:eastAsia="en-US"/>
              </w:rPr>
              <w:t>from</w:t>
            </w:r>
            <w:proofErr w:type="spellEnd"/>
            <w:r w:rsidRPr="00FF4E93">
              <w:rPr>
                <w:color w:val="000000"/>
                <w:sz w:val="22"/>
                <w:szCs w:val="22"/>
                <w:lang w:eastAsia="en-US"/>
              </w:rPr>
              <w:t xml:space="preserve"> </w:t>
            </w:r>
            <w:proofErr w:type="spellStart"/>
            <w:r w:rsidRPr="00FF4E93">
              <w:rPr>
                <w:color w:val="000000"/>
                <w:sz w:val="22"/>
                <w:szCs w:val="22"/>
                <w:lang w:eastAsia="en-US"/>
              </w:rPr>
              <w:t>efficiency</w:t>
            </w:r>
            <w:proofErr w:type="spellEnd"/>
            <w:r w:rsidRPr="00FF4E93">
              <w:rPr>
                <w:color w:val="000000"/>
                <w:sz w:val="22"/>
                <w:szCs w:val="22"/>
                <w:lang w:eastAsia="en-US"/>
              </w:rPr>
              <w:t xml:space="preserve"> </w:t>
            </w:r>
            <w:proofErr w:type="spellStart"/>
            <w:r w:rsidRPr="00FF4E93">
              <w:rPr>
                <w:color w:val="000000"/>
                <w:sz w:val="22"/>
                <w:szCs w:val="22"/>
                <w:lang w:eastAsia="en-US"/>
              </w:rPr>
              <w:t>and</w:t>
            </w:r>
            <w:proofErr w:type="spellEnd"/>
            <w:r w:rsidRPr="00FF4E93">
              <w:rPr>
                <w:color w:val="000000"/>
                <w:sz w:val="22"/>
                <w:szCs w:val="22"/>
                <w:lang w:eastAsia="en-US"/>
              </w:rPr>
              <w:t xml:space="preserve"> time </w:t>
            </w:r>
            <w:proofErr w:type="spellStart"/>
            <w:r w:rsidRPr="00FF4E93">
              <w:rPr>
                <w:color w:val="000000"/>
                <w:sz w:val="22"/>
                <w:szCs w:val="22"/>
                <w:lang w:eastAsia="en-US"/>
              </w:rPr>
              <w:t>savings</w:t>
            </w:r>
            <w:proofErr w:type="spellEnd"/>
            <w:r w:rsidRPr="00FF4E93">
              <w:rPr>
                <w:color w:val="000000"/>
                <w:sz w:val="22"/>
                <w:szCs w:val="22"/>
                <w:lang w:eastAsia="en-US"/>
              </w:rPr>
              <w:t xml:space="preserve">, </w:t>
            </w:r>
            <w:proofErr w:type="spellStart"/>
            <w:r w:rsidRPr="00FF4E93">
              <w:rPr>
                <w:color w:val="000000"/>
                <w:sz w:val="22"/>
                <w:szCs w:val="22"/>
                <w:lang w:eastAsia="en-US"/>
              </w:rPr>
              <w:t>while</w:t>
            </w:r>
            <w:proofErr w:type="spellEnd"/>
            <w:r w:rsidRPr="00FF4E93">
              <w:rPr>
                <w:color w:val="000000"/>
                <w:sz w:val="22"/>
                <w:szCs w:val="22"/>
                <w:lang w:eastAsia="en-US"/>
              </w:rPr>
              <w:t xml:space="preserve"> </w:t>
            </w:r>
            <w:proofErr w:type="spellStart"/>
            <w:r w:rsidRPr="00FF4E93">
              <w:rPr>
                <w:color w:val="000000"/>
                <w:sz w:val="22"/>
                <w:szCs w:val="22"/>
                <w:lang w:eastAsia="en-US"/>
              </w:rPr>
              <w:t>putting</w:t>
            </w:r>
            <w:proofErr w:type="spellEnd"/>
            <w:r w:rsidRPr="00FF4E93">
              <w:rPr>
                <w:color w:val="000000"/>
                <w:sz w:val="22"/>
                <w:szCs w:val="22"/>
                <w:lang w:eastAsia="en-US"/>
              </w:rPr>
              <w:t xml:space="preserve"> in </w:t>
            </w:r>
            <w:proofErr w:type="spellStart"/>
            <w:r w:rsidRPr="00FF4E93">
              <w:rPr>
                <w:color w:val="000000"/>
                <w:sz w:val="22"/>
                <w:szCs w:val="22"/>
                <w:lang w:eastAsia="en-US"/>
              </w:rPr>
              <w:t>their</w:t>
            </w:r>
            <w:proofErr w:type="spellEnd"/>
            <w:r w:rsidRPr="00FF4E93">
              <w:rPr>
                <w:color w:val="000000"/>
                <w:sz w:val="22"/>
                <w:szCs w:val="22"/>
                <w:lang w:eastAsia="en-US"/>
              </w:rPr>
              <w:t xml:space="preserve"> </w:t>
            </w:r>
            <w:proofErr w:type="spellStart"/>
            <w:r w:rsidRPr="00FF4E93">
              <w:rPr>
                <w:color w:val="000000"/>
                <w:sz w:val="22"/>
                <w:szCs w:val="22"/>
                <w:lang w:eastAsia="en-US"/>
              </w:rPr>
              <w:t>own</w:t>
            </w:r>
            <w:proofErr w:type="spellEnd"/>
            <w:r w:rsidRPr="00FF4E93">
              <w:rPr>
                <w:color w:val="000000"/>
                <w:sz w:val="22"/>
                <w:szCs w:val="22"/>
                <w:lang w:eastAsia="en-US"/>
              </w:rPr>
              <w:t xml:space="preserve"> </w:t>
            </w:r>
            <w:proofErr w:type="spellStart"/>
            <w:r w:rsidRPr="00FF4E93">
              <w:rPr>
                <w:color w:val="000000"/>
                <w:sz w:val="22"/>
                <w:szCs w:val="22"/>
                <w:lang w:eastAsia="en-US"/>
              </w:rPr>
              <w:t>effort</w:t>
            </w:r>
            <w:proofErr w:type="spellEnd"/>
            <w:r w:rsidRPr="00FF4E93">
              <w:rPr>
                <w:color w:val="000000"/>
                <w:sz w:val="22"/>
                <w:szCs w:val="22"/>
                <w:lang w:eastAsia="en-US"/>
              </w:rPr>
              <w:t xml:space="preserve">. This </w:t>
            </w:r>
            <w:proofErr w:type="spellStart"/>
            <w:r w:rsidRPr="00FF4E93">
              <w:rPr>
                <w:color w:val="000000"/>
                <w:sz w:val="22"/>
                <w:szCs w:val="22"/>
                <w:lang w:eastAsia="en-US"/>
              </w:rPr>
              <w:t>can</w:t>
            </w:r>
            <w:proofErr w:type="spellEnd"/>
            <w:r w:rsidRPr="00FF4E93">
              <w:rPr>
                <w:color w:val="000000"/>
                <w:sz w:val="22"/>
                <w:szCs w:val="22"/>
                <w:lang w:eastAsia="en-US"/>
              </w:rPr>
              <w:t xml:space="preserve"> also </w:t>
            </w:r>
            <w:proofErr w:type="spellStart"/>
            <w:r w:rsidRPr="00FF4E93">
              <w:rPr>
                <w:color w:val="000000"/>
                <w:sz w:val="22"/>
                <w:szCs w:val="22"/>
                <w:lang w:eastAsia="en-US"/>
              </w:rPr>
              <w:t>increase</w:t>
            </w:r>
            <w:proofErr w:type="spellEnd"/>
            <w:r w:rsidRPr="00FF4E93">
              <w:rPr>
                <w:color w:val="000000"/>
                <w:sz w:val="22"/>
                <w:szCs w:val="22"/>
                <w:lang w:eastAsia="en-US"/>
              </w:rPr>
              <w:t xml:space="preserve"> </w:t>
            </w:r>
            <w:proofErr w:type="spellStart"/>
            <w:r w:rsidRPr="00FF4E93">
              <w:rPr>
                <w:color w:val="000000"/>
                <w:sz w:val="22"/>
                <w:szCs w:val="22"/>
                <w:lang w:eastAsia="en-US"/>
              </w:rPr>
              <w:t>efficiency</w:t>
            </w:r>
            <w:proofErr w:type="spellEnd"/>
            <w:r w:rsidRPr="00FF4E93">
              <w:rPr>
                <w:color w:val="000000"/>
                <w:sz w:val="22"/>
                <w:szCs w:val="22"/>
                <w:lang w:eastAsia="en-US"/>
              </w:rPr>
              <w:t xml:space="preserve">, </w:t>
            </w:r>
            <w:proofErr w:type="spellStart"/>
            <w:r w:rsidRPr="00FF4E93">
              <w:rPr>
                <w:color w:val="000000"/>
                <w:sz w:val="22"/>
                <w:szCs w:val="22"/>
                <w:lang w:eastAsia="en-US"/>
              </w:rPr>
              <w:t>since</w:t>
            </w:r>
            <w:proofErr w:type="spellEnd"/>
            <w:r w:rsidRPr="00FF4E93">
              <w:rPr>
                <w:color w:val="000000"/>
                <w:sz w:val="22"/>
                <w:szCs w:val="22"/>
                <w:lang w:eastAsia="en-US"/>
              </w:rPr>
              <w:t xml:space="preserve"> in </w:t>
            </w:r>
            <w:proofErr w:type="spellStart"/>
            <w:r w:rsidRPr="00FF4E93">
              <w:rPr>
                <w:color w:val="000000"/>
                <w:sz w:val="22"/>
                <w:szCs w:val="22"/>
                <w:lang w:eastAsia="en-US"/>
              </w:rPr>
              <w:t>some</w:t>
            </w:r>
            <w:proofErr w:type="spellEnd"/>
            <w:r w:rsidRPr="00FF4E93">
              <w:rPr>
                <w:color w:val="000000"/>
                <w:sz w:val="22"/>
                <w:szCs w:val="22"/>
                <w:lang w:eastAsia="en-US"/>
              </w:rPr>
              <w:t xml:space="preserve"> </w:t>
            </w:r>
            <w:proofErr w:type="spellStart"/>
            <w:r w:rsidRPr="00FF4E93">
              <w:rPr>
                <w:color w:val="000000"/>
                <w:sz w:val="22"/>
                <w:szCs w:val="22"/>
                <w:lang w:eastAsia="en-US"/>
              </w:rPr>
              <w:t>cases</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customer</w:t>
            </w:r>
            <w:proofErr w:type="spellEnd"/>
            <w:r w:rsidRPr="00FF4E93">
              <w:rPr>
                <w:color w:val="000000"/>
                <w:sz w:val="22"/>
                <w:szCs w:val="22"/>
                <w:lang w:eastAsia="en-US"/>
              </w:rPr>
              <w:t xml:space="preserve"> </w:t>
            </w:r>
            <w:proofErr w:type="spellStart"/>
            <w:r w:rsidRPr="00FF4E93">
              <w:rPr>
                <w:color w:val="000000"/>
                <w:sz w:val="22"/>
                <w:szCs w:val="22"/>
                <w:lang w:eastAsia="en-US"/>
              </w:rPr>
              <w:t>can</w:t>
            </w:r>
            <w:proofErr w:type="spellEnd"/>
            <w:r w:rsidRPr="00FF4E93">
              <w:rPr>
                <w:color w:val="000000"/>
                <w:sz w:val="22"/>
                <w:szCs w:val="22"/>
                <w:lang w:eastAsia="en-US"/>
              </w:rPr>
              <w:t xml:space="preserve"> </w:t>
            </w:r>
            <w:proofErr w:type="spellStart"/>
            <w:r w:rsidRPr="00FF4E93">
              <w:rPr>
                <w:color w:val="000000"/>
                <w:sz w:val="22"/>
                <w:szCs w:val="22"/>
                <w:lang w:eastAsia="en-US"/>
              </w:rPr>
              <w:t>execute</w:t>
            </w:r>
            <w:proofErr w:type="spellEnd"/>
            <w:r w:rsidRPr="00FF4E93">
              <w:rPr>
                <w:color w:val="000000"/>
                <w:sz w:val="22"/>
                <w:szCs w:val="22"/>
                <w:lang w:eastAsia="en-US"/>
              </w:rPr>
              <w:t xml:space="preserve"> a </w:t>
            </w:r>
            <w:proofErr w:type="spellStart"/>
            <w:r w:rsidRPr="00FF4E93">
              <w:rPr>
                <w:color w:val="000000"/>
                <w:sz w:val="22"/>
                <w:szCs w:val="22"/>
                <w:lang w:eastAsia="en-US"/>
              </w:rPr>
              <w:t>value-adding</w:t>
            </w:r>
            <w:proofErr w:type="spellEnd"/>
            <w:r w:rsidRPr="00FF4E93">
              <w:rPr>
                <w:color w:val="000000"/>
                <w:sz w:val="22"/>
                <w:szCs w:val="22"/>
                <w:lang w:eastAsia="en-US"/>
              </w:rPr>
              <w:t xml:space="preserve"> </w:t>
            </w:r>
            <w:proofErr w:type="spellStart"/>
            <w:r w:rsidRPr="00FF4E93">
              <w:rPr>
                <w:color w:val="000000"/>
                <w:sz w:val="22"/>
                <w:szCs w:val="22"/>
                <w:lang w:eastAsia="en-US"/>
              </w:rPr>
              <w:t>step</w:t>
            </w:r>
            <w:proofErr w:type="spellEnd"/>
            <w:r w:rsidRPr="00FF4E93">
              <w:rPr>
                <w:color w:val="000000"/>
                <w:sz w:val="22"/>
                <w:szCs w:val="22"/>
                <w:lang w:eastAsia="en-US"/>
              </w:rPr>
              <w:t xml:space="preserve"> </w:t>
            </w:r>
            <w:proofErr w:type="spellStart"/>
            <w:r w:rsidRPr="00FF4E93">
              <w:rPr>
                <w:color w:val="000000"/>
                <w:sz w:val="22"/>
                <w:szCs w:val="22"/>
                <w:lang w:eastAsia="en-US"/>
              </w:rPr>
              <w:t>more</w:t>
            </w:r>
            <w:proofErr w:type="spellEnd"/>
            <w:r w:rsidRPr="00FF4E93">
              <w:rPr>
                <w:color w:val="000000"/>
                <w:sz w:val="22"/>
                <w:szCs w:val="22"/>
                <w:lang w:eastAsia="en-US"/>
              </w:rPr>
              <w:t xml:space="preserve"> </w:t>
            </w:r>
            <w:proofErr w:type="spellStart"/>
            <w:r w:rsidRPr="00FF4E93">
              <w:rPr>
                <w:color w:val="000000"/>
                <w:sz w:val="22"/>
                <w:szCs w:val="22"/>
                <w:lang w:eastAsia="en-US"/>
              </w:rPr>
              <w:t>quickly</w:t>
            </w:r>
            <w:proofErr w:type="spellEnd"/>
            <w:r w:rsidRPr="00FF4E93">
              <w:rPr>
                <w:color w:val="000000"/>
                <w:sz w:val="22"/>
                <w:szCs w:val="22"/>
                <w:lang w:eastAsia="en-US"/>
              </w:rPr>
              <w:t xml:space="preserve"> </w:t>
            </w:r>
            <w:proofErr w:type="spellStart"/>
            <w:r w:rsidRPr="00FF4E93">
              <w:rPr>
                <w:color w:val="000000"/>
                <w:sz w:val="22"/>
                <w:szCs w:val="22"/>
                <w:lang w:eastAsia="en-US"/>
              </w:rPr>
              <w:t>and</w:t>
            </w:r>
            <w:proofErr w:type="spellEnd"/>
            <w:r w:rsidRPr="00FF4E93">
              <w:rPr>
                <w:color w:val="000000"/>
                <w:sz w:val="22"/>
                <w:szCs w:val="22"/>
                <w:lang w:eastAsia="en-US"/>
              </w:rPr>
              <w:t xml:space="preserve"> in a </w:t>
            </w:r>
            <w:proofErr w:type="spellStart"/>
            <w:r w:rsidRPr="00FF4E93">
              <w:rPr>
                <w:color w:val="000000"/>
                <w:sz w:val="22"/>
                <w:szCs w:val="22"/>
                <w:lang w:eastAsia="en-US"/>
              </w:rPr>
              <w:t>more</w:t>
            </w:r>
            <w:proofErr w:type="spellEnd"/>
            <w:r w:rsidRPr="00FF4E93">
              <w:rPr>
                <w:color w:val="000000"/>
                <w:sz w:val="22"/>
                <w:szCs w:val="22"/>
                <w:lang w:eastAsia="en-US"/>
              </w:rPr>
              <w:t xml:space="preserve"> </w:t>
            </w:r>
            <w:proofErr w:type="spellStart"/>
            <w:r w:rsidRPr="00FF4E93">
              <w:rPr>
                <w:color w:val="000000"/>
                <w:sz w:val="22"/>
                <w:szCs w:val="22"/>
                <w:lang w:eastAsia="en-US"/>
              </w:rPr>
              <w:t>target-oriented</w:t>
            </w:r>
            <w:proofErr w:type="spellEnd"/>
            <w:r w:rsidRPr="00FF4E93">
              <w:rPr>
                <w:color w:val="000000"/>
                <w:sz w:val="22"/>
                <w:szCs w:val="22"/>
                <w:lang w:eastAsia="en-US"/>
              </w:rPr>
              <w:t xml:space="preserve"> </w:t>
            </w:r>
            <w:proofErr w:type="spellStart"/>
            <w:r w:rsidRPr="00FF4E93">
              <w:rPr>
                <w:color w:val="000000"/>
                <w:sz w:val="22"/>
                <w:szCs w:val="22"/>
                <w:lang w:eastAsia="en-US"/>
              </w:rPr>
              <w:t>manner</w:t>
            </w:r>
            <w:proofErr w:type="spellEnd"/>
            <w:r w:rsidRPr="00FF4E93">
              <w:rPr>
                <w:color w:val="000000"/>
                <w:sz w:val="22"/>
                <w:szCs w:val="22"/>
                <w:lang w:eastAsia="en-US"/>
              </w:rPr>
              <w:t xml:space="preserve"> </w:t>
            </w:r>
            <w:proofErr w:type="spellStart"/>
            <w:r w:rsidRPr="00FF4E93">
              <w:rPr>
                <w:color w:val="000000"/>
                <w:sz w:val="22"/>
                <w:szCs w:val="22"/>
                <w:lang w:eastAsia="en-US"/>
              </w:rPr>
              <w:t>than</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company</w:t>
            </w:r>
            <w:proofErr w:type="spellEnd"/>
            <w:r w:rsidRPr="00FF4E93">
              <w:rPr>
                <w:color w:val="000000"/>
                <w:sz w:val="22"/>
                <w:szCs w:val="22"/>
                <w:lang w:eastAsia="en-US"/>
              </w:rPr>
              <w:t>.</w:t>
            </w:r>
          </w:p>
        </w:tc>
        <w:tc>
          <w:tcPr>
            <w:tcW w:w="6202" w:type="dxa"/>
          </w:tcPr>
          <w:p w14:paraId="0A7C1F15" w14:textId="77777777" w:rsidR="00151DC1" w:rsidRPr="00FF4E93" w:rsidRDefault="00151DC1" w:rsidP="00151DC1">
            <w:pPr>
              <w:widowControl w:val="0"/>
              <w:autoSpaceDE w:val="0"/>
              <w:autoSpaceDN w:val="0"/>
              <w:adjustRightInd w:val="0"/>
              <w:spacing w:before="0" w:after="0" w:line="200" w:lineRule="atLeast"/>
              <w:rPr>
                <w:i/>
                <w:color w:val="000000"/>
                <w:sz w:val="22"/>
                <w:szCs w:val="22"/>
                <w:lang w:eastAsia="en-US"/>
              </w:rPr>
            </w:pPr>
            <w:proofErr w:type="spellStart"/>
            <w:r w:rsidRPr="00FF4E93">
              <w:rPr>
                <w:i/>
                <w:color w:val="000000"/>
                <w:sz w:val="22"/>
                <w:szCs w:val="22"/>
                <w:lang w:eastAsia="en-US"/>
              </w:rPr>
              <w:t>It</w:t>
            </w:r>
            <w:proofErr w:type="spellEnd"/>
            <w:r w:rsidRPr="00FF4E93">
              <w:rPr>
                <w:i/>
                <w:color w:val="000000"/>
                <w:sz w:val="22"/>
                <w:szCs w:val="22"/>
                <w:lang w:eastAsia="en-US"/>
              </w:rPr>
              <w:t xml:space="preserve"> </w:t>
            </w:r>
            <w:proofErr w:type="spellStart"/>
            <w:r w:rsidRPr="00FF4E93">
              <w:rPr>
                <w:b/>
                <w:bCs/>
                <w:i/>
                <w:color w:val="000000"/>
                <w:sz w:val="22"/>
                <w:szCs w:val="22"/>
                <w:lang w:eastAsia="en-US"/>
              </w:rPr>
              <w:t>promotes</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the</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ability</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of</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clinicians</w:t>
            </w:r>
            <w:proofErr w:type="spellEnd"/>
            <w:r w:rsidRPr="00FF4E93">
              <w:rPr>
                <w:b/>
                <w:bCs/>
                <w:i/>
                <w:color w:val="000000"/>
                <w:sz w:val="22"/>
                <w:szCs w:val="22"/>
                <w:lang w:eastAsia="en-US"/>
              </w:rPr>
              <w:t xml:space="preserve"> </w:t>
            </w:r>
            <w:proofErr w:type="spellStart"/>
            <w:r w:rsidRPr="00FF4E93">
              <w:rPr>
                <w:i/>
                <w:color w:val="000000"/>
                <w:sz w:val="22"/>
                <w:szCs w:val="22"/>
                <w:lang w:eastAsia="en-US"/>
              </w:rPr>
              <w:t>to</w:t>
            </w:r>
            <w:proofErr w:type="spellEnd"/>
            <w:r w:rsidRPr="00FF4E93">
              <w:rPr>
                <w:i/>
                <w:color w:val="000000"/>
                <w:sz w:val="22"/>
                <w:szCs w:val="22"/>
                <w:lang w:eastAsia="en-US"/>
              </w:rPr>
              <w:t xml:space="preserve"> design </w:t>
            </w:r>
            <w:proofErr w:type="spellStart"/>
            <w:r w:rsidRPr="00FF4E93">
              <w:rPr>
                <w:i/>
                <w:color w:val="000000"/>
                <w:sz w:val="22"/>
                <w:szCs w:val="22"/>
                <w:lang w:eastAsia="en-US"/>
              </w:rPr>
              <w:t>and</w:t>
            </w:r>
            <w:proofErr w:type="spellEnd"/>
            <w:r w:rsidRPr="00FF4E93">
              <w:rPr>
                <w:i/>
                <w:color w:val="000000"/>
                <w:sz w:val="22"/>
                <w:szCs w:val="22"/>
                <w:lang w:eastAsia="en-US"/>
              </w:rPr>
              <w:t xml:space="preserve"> </w:t>
            </w:r>
            <w:proofErr w:type="spellStart"/>
            <w:r w:rsidRPr="00FF4E93">
              <w:rPr>
                <w:i/>
                <w:color w:val="000000"/>
                <w:sz w:val="22"/>
                <w:szCs w:val="22"/>
                <w:lang w:eastAsia="en-US"/>
              </w:rPr>
              <w:t>personalize</w:t>
            </w:r>
            <w:proofErr w:type="spellEnd"/>
            <w:r w:rsidRPr="00FF4E93">
              <w:rPr>
                <w:i/>
                <w:color w:val="000000"/>
                <w:sz w:val="22"/>
                <w:szCs w:val="22"/>
                <w:lang w:eastAsia="en-US"/>
              </w:rPr>
              <w:t xml:space="preserve"> </w:t>
            </w:r>
            <w:proofErr w:type="spellStart"/>
            <w:r w:rsidRPr="00FF4E93">
              <w:rPr>
                <w:i/>
                <w:color w:val="000000"/>
                <w:sz w:val="22"/>
                <w:szCs w:val="22"/>
                <w:lang w:eastAsia="en-US"/>
              </w:rPr>
              <w:t>the</w:t>
            </w:r>
            <w:proofErr w:type="spellEnd"/>
            <w:r w:rsidRPr="00FF4E93">
              <w:rPr>
                <w:i/>
                <w:color w:val="000000"/>
                <w:sz w:val="22"/>
                <w:szCs w:val="22"/>
                <w:lang w:eastAsia="en-US"/>
              </w:rPr>
              <w:t xml:space="preserve"> dose </w:t>
            </w:r>
            <w:proofErr w:type="spellStart"/>
            <w:r w:rsidRPr="00FF4E93">
              <w:rPr>
                <w:i/>
                <w:color w:val="000000"/>
                <w:sz w:val="22"/>
                <w:szCs w:val="22"/>
                <w:lang w:eastAsia="en-US"/>
              </w:rPr>
              <w:t>and</w:t>
            </w:r>
            <w:proofErr w:type="spellEnd"/>
            <w:r w:rsidRPr="00FF4E93">
              <w:rPr>
                <w:i/>
                <w:color w:val="000000"/>
                <w:sz w:val="22"/>
                <w:szCs w:val="22"/>
                <w:lang w:eastAsia="en-US"/>
              </w:rPr>
              <w:t xml:space="preserve"> </w:t>
            </w:r>
            <w:proofErr w:type="spellStart"/>
            <w:r w:rsidRPr="00FF4E93">
              <w:rPr>
                <w:i/>
                <w:color w:val="000000"/>
                <w:sz w:val="22"/>
                <w:szCs w:val="22"/>
                <w:lang w:eastAsia="en-US"/>
              </w:rPr>
              <w:t>modality</w:t>
            </w:r>
            <w:proofErr w:type="spellEnd"/>
            <w:r w:rsidRPr="00FF4E93">
              <w:rPr>
                <w:i/>
                <w:color w:val="000000"/>
                <w:sz w:val="22"/>
                <w:szCs w:val="22"/>
                <w:lang w:eastAsia="en-US"/>
              </w:rPr>
              <w:t xml:space="preserve"> </w:t>
            </w:r>
            <w:proofErr w:type="spellStart"/>
            <w:r w:rsidRPr="00FF4E93">
              <w:rPr>
                <w:i/>
                <w:color w:val="000000"/>
                <w:sz w:val="22"/>
                <w:szCs w:val="22"/>
                <w:lang w:eastAsia="en-US"/>
              </w:rPr>
              <w:t>of</w:t>
            </w:r>
            <w:proofErr w:type="spellEnd"/>
            <w:r w:rsidRPr="00FF4E93">
              <w:rPr>
                <w:i/>
                <w:color w:val="000000"/>
                <w:sz w:val="22"/>
                <w:szCs w:val="22"/>
                <w:lang w:eastAsia="en-US"/>
              </w:rPr>
              <w:t xml:space="preserve"> a </w:t>
            </w:r>
            <w:proofErr w:type="spellStart"/>
            <w:r w:rsidRPr="00FF4E93">
              <w:rPr>
                <w:i/>
                <w:color w:val="000000"/>
                <w:sz w:val="22"/>
                <w:szCs w:val="22"/>
                <w:lang w:eastAsia="en-US"/>
              </w:rPr>
              <w:t>range</w:t>
            </w:r>
            <w:proofErr w:type="spellEnd"/>
            <w:r w:rsidRPr="00FF4E93">
              <w:rPr>
                <w:i/>
                <w:color w:val="000000"/>
                <w:sz w:val="22"/>
                <w:szCs w:val="22"/>
                <w:lang w:eastAsia="en-US"/>
              </w:rPr>
              <w:t xml:space="preserve"> </w:t>
            </w:r>
            <w:proofErr w:type="spellStart"/>
            <w:r w:rsidRPr="00FF4E93">
              <w:rPr>
                <w:i/>
                <w:color w:val="000000"/>
                <w:sz w:val="22"/>
                <w:szCs w:val="22"/>
                <w:lang w:eastAsia="en-US"/>
              </w:rPr>
              <w:t>of</w:t>
            </w:r>
            <w:proofErr w:type="spellEnd"/>
            <w:r w:rsidRPr="00FF4E93">
              <w:rPr>
                <w:i/>
                <w:color w:val="000000"/>
                <w:sz w:val="22"/>
                <w:szCs w:val="22"/>
                <w:lang w:eastAsia="en-US"/>
              </w:rPr>
              <w:t xml:space="preserve"> </w:t>
            </w:r>
            <w:proofErr w:type="spellStart"/>
            <w:r w:rsidRPr="00FF4E93">
              <w:rPr>
                <w:i/>
                <w:color w:val="000000"/>
                <w:sz w:val="22"/>
                <w:szCs w:val="22"/>
                <w:lang w:eastAsia="en-US"/>
              </w:rPr>
              <w:t>therapies</w:t>
            </w:r>
            <w:proofErr w:type="spellEnd"/>
            <w:r w:rsidRPr="00FF4E93">
              <w:rPr>
                <w:i/>
                <w:color w:val="000000"/>
                <w:sz w:val="22"/>
                <w:szCs w:val="22"/>
                <w:lang w:eastAsia="en-US"/>
              </w:rPr>
              <w:t xml:space="preserve"> </w:t>
            </w:r>
            <w:proofErr w:type="spellStart"/>
            <w:r w:rsidRPr="00FF4E93">
              <w:rPr>
                <w:i/>
                <w:color w:val="000000"/>
                <w:sz w:val="22"/>
                <w:szCs w:val="22"/>
                <w:lang w:eastAsia="en-US"/>
              </w:rPr>
              <w:t>and</w:t>
            </w:r>
            <w:proofErr w:type="spellEnd"/>
            <w:r w:rsidRPr="00FF4E93">
              <w:rPr>
                <w:i/>
                <w:color w:val="000000"/>
                <w:sz w:val="22"/>
                <w:szCs w:val="22"/>
                <w:lang w:eastAsia="en-US"/>
              </w:rPr>
              <w:t xml:space="preserve"> </w:t>
            </w:r>
            <w:proofErr w:type="spellStart"/>
            <w:r w:rsidRPr="00FF4E93">
              <w:rPr>
                <w:b/>
                <w:bCs/>
                <w:i/>
                <w:color w:val="000000"/>
                <w:sz w:val="22"/>
                <w:szCs w:val="22"/>
                <w:lang w:eastAsia="en-US"/>
              </w:rPr>
              <w:t>provides</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hospitals</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with</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the</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ability</w:t>
            </w:r>
            <w:proofErr w:type="spellEnd"/>
            <w:r w:rsidRPr="00FF4E93">
              <w:rPr>
                <w:b/>
                <w:bCs/>
                <w:i/>
                <w:color w:val="000000"/>
                <w:sz w:val="22"/>
                <w:szCs w:val="22"/>
                <w:lang w:eastAsia="en-US"/>
              </w:rPr>
              <w:t xml:space="preserve"> </w:t>
            </w:r>
            <w:proofErr w:type="spellStart"/>
            <w:r w:rsidRPr="00FF4E93">
              <w:rPr>
                <w:i/>
                <w:color w:val="000000"/>
                <w:sz w:val="22"/>
                <w:szCs w:val="22"/>
                <w:lang w:eastAsia="en-US"/>
              </w:rPr>
              <w:t>to</w:t>
            </w:r>
            <w:proofErr w:type="spellEnd"/>
            <w:r w:rsidRPr="00FF4E93">
              <w:rPr>
                <w:i/>
                <w:color w:val="000000"/>
                <w:sz w:val="22"/>
                <w:szCs w:val="22"/>
                <w:lang w:eastAsia="en-US"/>
              </w:rPr>
              <w:t xml:space="preserve"> </w:t>
            </w:r>
            <w:proofErr w:type="spellStart"/>
            <w:r w:rsidRPr="00FF4E93">
              <w:rPr>
                <w:i/>
                <w:color w:val="000000"/>
                <w:sz w:val="22"/>
                <w:szCs w:val="22"/>
                <w:lang w:eastAsia="en-US"/>
              </w:rPr>
              <w:t>optimize</w:t>
            </w:r>
            <w:proofErr w:type="spellEnd"/>
            <w:r w:rsidRPr="00FF4E93">
              <w:rPr>
                <w:i/>
                <w:color w:val="000000"/>
                <w:sz w:val="22"/>
                <w:szCs w:val="22"/>
                <w:lang w:eastAsia="en-US"/>
              </w:rPr>
              <w:t xml:space="preserve"> </w:t>
            </w:r>
            <w:proofErr w:type="spellStart"/>
            <w:r w:rsidRPr="00FF4E93">
              <w:rPr>
                <w:i/>
                <w:color w:val="000000"/>
                <w:sz w:val="22"/>
                <w:szCs w:val="22"/>
                <w:lang w:eastAsia="en-US"/>
              </w:rPr>
              <w:t>the</w:t>
            </w:r>
            <w:proofErr w:type="spellEnd"/>
            <w:r w:rsidRPr="00FF4E93">
              <w:rPr>
                <w:i/>
                <w:color w:val="000000"/>
                <w:sz w:val="22"/>
                <w:szCs w:val="22"/>
                <w:lang w:eastAsia="en-US"/>
              </w:rPr>
              <w:t xml:space="preserve"> </w:t>
            </w:r>
            <w:proofErr w:type="spellStart"/>
            <w:r w:rsidRPr="00FF4E93">
              <w:rPr>
                <w:i/>
                <w:color w:val="000000"/>
                <w:sz w:val="22"/>
                <w:szCs w:val="22"/>
                <w:lang w:eastAsia="en-US"/>
              </w:rPr>
              <w:t>delivery</w:t>
            </w:r>
            <w:proofErr w:type="spellEnd"/>
            <w:r w:rsidRPr="00FF4E93">
              <w:rPr>
                <w:i/>
                <w:color w:val="000000"/>
                <w:sz w:val="22"/>
                <w:szCs w:val="22"/>
                <w:lang w:eastAsia="en-US"/>
              </w:rPr>
              <w:t xml:space="preserve"> </w:t>
            </w:r>
            <w:proofErr w:type="spellStart"/>
            <w:r w:rsidRPr="00FF4E93">
              <w:rPr>
                <w:i/>
                <w:color w:val="000000"/>
                <w:sz w:val="22"/>
                <w:szCs w:val="22"/>
                <w:lang w:eastAsia="en-US"/>
              </w:rPr>
              <w:t>of</w:t>
            </w:r>
            <w:proofErr w:type="spellEnd"/>
            <w:r w:rsidRPr="00FF4E93">
              <w:rPr>
                <w:i/>
                <w:color w:val="000000"/>
                <w:sz w:val="22"/>
                <w:szCs w:val="22"/>
                <w:lang w:eastAsia="en-US"/>
              </w:rPr>
              <w:t xml:space="preserve"> </w:t>
            </w:r>
            <w:proofErr w:type="spellStart"/>
            <w:r w:rsidRPr="00FF4E93">
              <w:rPr>
                <w:i/>
                <w:color w:val="000000"/>
                <w:sz w:val="22"/>
                <w:szCs w:val="22"/>
                <w:lang w:eastAsia="en-US"/>
              </w:rPr>
              <w:t>rehabilitation</w:t>
            </w:r>
            <w:proofErr w:type="spellEnd"/>
            <w:r w:rsidRPr="00FF4E93">
              <w:rPr>
                <w:i/>
                <w:color w:val="000000"/>
                <w:sz w:val="22"/>
                <w:szCs w:val="22"/>
                <w:lang w:eastAsia="en-US"/>
              </w:rPr>
              <w:t xml:space="preserve"> </w:t>
            </w:r>
            <w:proofErr w:type="spellStart"/>
            <w:r w:rsidRPr="00FF4E93">
              <w:rPr>
                <w:i/>
                <w:color w:val="000000"/>
                <w:sz w:val="22"/>
                <w:szCs w:val="22"/>
                <w:lang w:eastAsia="en-US"/>
              </w:rPr>
              <w:t>therapy</w:t>
            </w:r>
            <w:proofErr w:type="spellEnd"/>
            <w:r w:rsidRPr="00FF4E93">
              <w:rPr>
                <w:i/>
                <w:color w:val="000000"/>
                <w:sz w:val="22"/>
                <w:szCs w:val="22"/>
                <w:lang w:eastAsia="en-US"/>
              </w:rPr>
              <w:t>.</w:t>
            </w:r>
          </w:p>
        </w:tc>
      </w:tr>
      <w:tr w:rsidR="00151DC1" w:rsidRPr="00FF4E93" w14:paraId="210A7177" w14:textId="77777777" w:rsidTr="00C54569">
        <w:tc>
          <w:tcPr>
            <w:tcW w:w="2405" w:type="dxa"/>
          </w:tcPr>
          <w:p w14:paraId="470A2461" w14:textId="77777777" w:rsidR="00151DC1" w:rsidRPr="00FF4E93" w:rsidRDefault="00151DC1" w:rsidP="00151DC1">
            <w:pPr>
              <w:spacing w:before="0" w:after="0"/>
              <w:rPr>
                <w:bCs/>
                <w:color w:val="000000"/>
                <w:sz w:val="22"/>
                <w:szCs w:val="22"/>
                <w:lang w:eastAsia="en-US"/>
              </w:rPr>
            </w:pPr>
            <w:proofErr w:type="spellStart"/>
            <w:r w:rsidRPr="00FF4E93">
              <w:rPr>
                <w:bCs/>
                <w:color w:val="000000"/>
                <w:sz w:val="22"/>
                <w:szCs w:val="22"/>
                <w:lang w:eastAsia="en-US"/>
              </w:rPr>
              <w:t>Subscription</w:t>
            </w:r>
            <w:proofErr w:type="spellEnd"/>
          </w:p>
          <w:p w14:paraId="6B2283D0" w14:textId="77777777" w:rsidR="00151DC1" w:rsidRPr="00FF4E93" w:rsidRDefault="00151DC1" w:rsidP="00151DC1">
            <w:pPr>
              <w:widowControl w:val="0"/>
              <w:autoSpaceDE w:val="0"/>
              <w:autoSpaceDN w:val="0"/>
              <w:adjustRightInd w:val="0"/>
              <w:spacing w:before="0" w:after="0" w:line="200" w:lineRule="atLeast"/>
              <w:jc w:val="left"/>
              <w:rPr>
                <w:color w:val="000000"/>
                <w:sz w:val="22"/>
                <w:szCs w:val="22"/>
                <w:lang w:eastAsia="en-US"/>
              </w:rPr>
            </w:pPr>
            <w:proofErr w:type="spellStart"/>
            <w:r w:rsidRPr="00FF4E93">
              <w:rPr>
                <w:i/>
                <w:iCs/>
                <w:color w:val="000000"/>
                <w:sz w:val="22"/>
                <w:szCs w:val="22"/>
                <w:lang w:eastAsia="en-US"/>
              </w:rPr>
              <w:t>Netflix</w:t>
            </w:r>
            <w:proofErr w:type="spellEnd"/>
            <w:r w:rsidRPr="00FF4E93">
              <w:rPr>
                <w:i/>
                <w:iCs/>
                <w:color w:val="000000"/>
                <w:sz w:val="22"/>
                <w:szCs w:val="22"/>
                <w:lang w:eastAsia="en-US"/>
              </w:rPr>
              <w:t xml:space="preserve">, </w:t>
            </w:r>
            <w:proofErr w:type="spellStart"/>
            <w:r w:rsidRPr="00FF4E93">
              <w:rPr>
                <w:i/>
                <w:iCs/>
                <w:color w:val="000000"/>
                <w:sz w:val="22"/>
                <w:szCs w:val="22"/>
                <w:lang w:eastAsia="en-US"/>
              </w:rPr>
              <w:t>Salesforce</w:t>
            </w:r>
            <w:proofErr w:type="spellEnd"/>
            <w:r w:rsidRPr="00FF4E93">
              <w:rPr>
                <w:i/>
                <w:iCs/>
                <w:color w:val="000000"/>
                <w:sz w:val="22"/>
                <w:szCs w:val="22"/>
                <w:lang w:eastAsia="en-US"/>
              </w:rPr>
              <w:t xml:space="preserve">, </w:t>
            </w:r>
            <w:proofErr w:type="spellStart"/>
            <w:r w:rsidRPr="00FF4E93">
              <w:rPr>
                <w:i/>
                <w:iCs/>
                <w:color w:val="000000"/>
                <w:sz w:val="22"/>
                <w:szCs w:val="22"/>
                <w:lang w:eastAsia="en-US"/>
              </w:rPr>
              <w:t>Spotify</w:t>
            </w:r>
            <w:proofErr w:type="spellEnd"/>
            <w:r w:rsidRPr="00FF4E93">
              <w:rPr>
                <w:i/>
                <w:iCs/>
                <w:color w:val="000000"/>
                <w:sz w:val="22"/>
                <w:szCs w:val="22"/>
                <w:lang w:eastAsia="en-US"/>
              </w:rPr>
              <w:t xml:space="preserve">, Dollar </w:t>
            </w:r>
            <w:proofErr w:type="spellStart"/>
            <w:r w:rsidRPr="00FF4E93">
              <w:rPr>
                <w:i/>
                <w:iCs/>
                <w:color w:val="000000"/>
                <w:sz w:val="22"/>
                <w:szCs w:val="22"/>
                <w:lang w:eastAsia="en-US"/>
              </w:rPr>
              <w:t>Shave</w:t>
            </w:r>
            <w:proofErr w:type="spellEnd"/>
            <w:r w:rsidRPr="00FF4E93">
              <w:rPr>
                <w:i/>
                <w:iCs/>
                <w:color w:val="000000"/>
                <w:sz w:val="22"/>
                <w:szCs w:val="22"/>
                <w:lang w:eastAsia="en-US"/>
              </w:rPr>
              <w:t xml:space="preserve"> Club</w:t>
            </w:r>
          </w:p>
        </w:tc>
        <w:tc>
          <w:tcPr>
            <w:tcW w:w="5670" w:type="dxa"/>
          </w:tcPr>
          <w:p w14:paraId="2627B5F4" w14:textId="77777777" w:rsidR="00151DC1" w:rsidRPr="00FF4E93" w:rsidRDefault="00151DC1" w:rsidP="00151DC1">
            <w:pPr>
              <w:widowControl w:val="0"/>
              <w:autoSpaceDE w:val="0"/>
              <w:autoSpaceDN w:val="0"/>
              <w:adjustRightInd w:val="0"/>
              <w:spacing w:before="0" w:after="0" w:line="200" w:lineRule="atLeast"/>
              <w:rPr>
                <w:color w:val="000000"/>
                <w:sz w:val="22"/>
                <w:szCs w:val="22"/>
                <w:lang w:eastAsia="en-US"/>
              </w:rPr>
            </w:pPr>
            <w:r w:rsidRPr="00FF4E93">
              <w:rPr>
                <w:color w:val="000000"/>
                <w:sz w:val="22"/>
                <w:szCs w:val="22"/>
                <w:lang w:eastAsia="en-US"/>
              </w:rPr>
              <w:t xml:space="preserve">The </w:t>
            </w:r>
            <w:proofErr w:type="spellStart"/>
            <w:r w:rsidRPr="00FF4E93">
              <w:rPr>
                <w:color w:val="000000"/>
                <w:sz w:val="22"/>
                <w:szCs w:val="22"/>
                <w:lang w:eastAsia="en-US"/>
              </w:rPr>
              <w:t>customer</w:t>
            </w:r>
            <w:proofErr w:type="spellEnd"/>
            <w:r w:rsidRPr="00FF4E93">
              <w:rPr>
                <w:color w:val="000000"/>
                <w:sz w:val="22"/>
                <w:szCs w:val="22"/>
                <w:lang w:eastAsia="en-US"/>
              </w:rPr>
              <w:t xml:space="preserve"> </w:t>
            </w:r>
            <w:proofErr w:type="spellStart"/>
            <w:r w:rsidRPr="00FF4E93">
              <w:rPr>
                <w:color w:val="000000"/>
                <w:sz w:val="22"/>
                <w:szCs w:val="22"/>
                <w:lang w:eastAsia="en-US"/>
              </w:rPr>
              <w:t>pays</w:t>
            </w:r>
            <w:proofErr w:type="spellEnd"/>
            <w:r w:rsidRPr="00FF4E93">
              <w:rPr>
                <w:color w:val="000000"/>
                <w:sz w:val="22"/>
                <w:szCs w:val="22"/>
                <w:lang w:eastAsia="en-US"/>
              </w:rPr>
              <w:t xml:space="preserve"> a </w:t>
            </w:r>
            <w:proofErr w:type="spellStart"/>
            <w:r w:rsidRPr="00FF4E93">
              <w:rPr>
                <w:color w:val="000000"/>
                <w:sz w:val="22"/>
                <w:szCs w:val="22"/>
                <w:lang w:eastAsia="en-US"/>
              </w:rPr>
              <w:t>regular</w:t>
            </w:r>
            <w:proofErr w:type="spellEnd"/>
            <w:r w:rsidRPr="00FF4E93">
              <w:rPr>
                <w:color w:val="000000"/>
                <w:sz w:val="22"/>
                <w:szCs w:val="22"/>
                <w:lang w:eastAsia="en-US"/>
              </w:rPr>
              <w:t xml:space="preserve"> </w:t>
            </w:r>
            <w:proofErr w:type="spellStart"/>
            <w:r w:rsidRPr="00FF4E93">
              <w:rPr>
                <w:color w:val="000000"/>
                <w:sz w:val="22"/>
                <w:szCs w:val="22"/>
                <w:lang w:eastAsia="en-US"/>
              </w:rPr>
              <w:t>fee</w:t>
            </w:r>
            <w:proofErr w:type="spellEnd"/>
            <w:r w:rsidRPr="00FF4E93">
              <w:rPr>
                <w:color w:val="000000"/>
                <w:sz w:val="22"/>
                <w:szCs w:val="22"/>
                <w:lang w:eastAsia="en-US"/>
              </w:rPr>
              <w:t xml:space="preserve">, </w:t>
            </w:r>
            <w:proofErr w:type="spellStart"/>
            <w:r w:rsidRPr="00FF4E93">
              <w:rPr>
                <w:color w:val="000000"/>
                <w:sz w:val="22"/>
                <w:szCs w:val="22"/>
                <w:lang w:eastAsia="en-US"/>
              </w:rPr>
              <w:t>typically</w:t>
            </w:r>
            <w:proofErr w:type="spellEnd"/>
            <w:r w:rsidRPr="00FF4E93">
              <w:rPr>
                <w:color w:val="000000"/>
                <w:sz w:val="22"/>
                <w:szCs w:val="22"/>
                <w:lang w:eastAsia="en-US"/>
              </w:rPr>
              <w:t xml:space="preserve"> on a </w:t>
            </w:r>
            <w:proofErr w:type="spellStart"/>
            <w:r w:rsidRPr="00FF4E93">
              <w:rPr>
                <w:color w:val="000000"/>
                <w:sz w:val="22"/>
                <w:szCs w:val="22"/>
                <w:lang w:eastAsia="en-US"/>
              </w:rPr>
              <w:t>monthly</w:t>
            </w:r>
            <w:proofErr w:type="spellEnd"/>
            <w:r w:rsidRPr="00FF4E93">
              <w:rPr>
                <w:color w:val="000000"/>
                <w:sz w:val="22"/>
                <w:szCs w:val="22"/>
                <w:lang w:eastAsia="en-US"/>
              </w:rPr>
              <w:t xml:space="preserve"> </w:t>
            </w:r>
            <w:proofErr w:type="spellStart"/>
            <w:r w:rsidRPr="00FF4E93">
              <w:rPr>
                <w:color w:val="000000"/>
                <w:sz w:val="22"/>
                <w:szCs w:val="22"/>
                <w:lang w:eastAsia="en-US"/>
              </w:rPr>
              <w:t>or</w:t>
            </w:r>
            <w:proofErr w:type="spellEnd"/>
            <w:r w:rsidRPr="00FF4E93">
              <w:rPr>
                <w:color w:val="000000"/>
                <w:sz w:val="22"/>
                <w:szCs w:val="22"/>
                <w:lang w:eastAsia="en-US"/>
              </w:rPr>
              <w:t xml:space="preserve"> an </w:t>
            </w:r>
            <w:proofErr w:type="spellStart"/>
            <w:r w:rsidRPr="00FF4E93">
              <w:rPr>
                <w:color w:val="000000"/>
                <w:sz w:val="22"/>
                <w:szCs w:val="22"/>
                <w:lang w:eastAsia="en-US"/>
              </w:rPr>
              <w:t>annual</w:t>
            </w:r>
            <w:proofErr w:type="spellEnd"/>
            <w:r w:rsidRPr="00FF4E93">
              <w:rPr>
                <w:color w:val="000000"/>
                <w:sz w:val="22"/>
                <w:szCs w:val="22"/>
                <w:lang w:eastAsia="en-US"/>
              </w:rPr>
              <w:t xml:space="preserve"> </w:t>
            </w:r>
            <w:proofErr w:type="spellStart"/>
            <w:r w:rsidRPr="00FF4E93">
              <w:rPr>
                <w:color w:val="000000"/>
                <w:sz w:val="22"/>
                <w:szCs w:val="22"/>
                <w:lang w:eastAsia="en-US"/>
              </w:rPr>
              <w:t>basis</w:t>
            </w:r>
            <w:proofErr w:type="spellEnd"/>
            <w:r w:rsidRPr="00FF4E93">
              <w:rPr>
                <w:color w:val="000000"/>
                <w:sz w:val="22"/>
                <w:szCs w:val="22"/>
                <w:lang w:eastAsia="en-US"/>
              </w:rPr>
              <w:t xml:space="preserve">, in </w:t>
            </w:r>
            <w:proofErr w:type="spellStart"/>
            <w:r w:rsidRPr="00FF4E93">
              <w:rPr>
                <w:color w:val="000000"/>
                <w:sz w:val="22"/>
                <w:szCs w:val="22"/>
                <w:lang w:eastAsia="en-US"/>
              </w:rPr>
              <w:t>order</w:t>
            </w:r>
            <w:proofErr w:type="spellEnd"/>
            <w:r w:rsidRPr="00FF4E93">
              <w:rPr>
                <w:color w:val="000000"/>
                <w:sz w:val="22"/>
                <w:szCs w:val="22"/>
                <w:lang w:eastAsia="en-US"/>
              </w:rPr>
              <w:t xml:space="preserve"> </w:t>
            </w:r>
            <w:proofErr w:type="spellStart"/>
            <w:r w:rsidRPr="00FF4E93">
              <w:rPr>
                <w:color w:val="000000"/>
                <w:sz w:val="22"/>
                <w:szCs w:val="22"/>
                <w:lang w:eastAsia="en-US"/>
              </w:rPr>
              <w:t>to</w:t>
            </w:r>
            <w:proofErr w:type="spellEnd"/>
            <w:r w:rsidRPr="00FF4E93">
              <w:rPr>
                <w:color w:val="000000"/>
                <w:sz w:val="22"/>
                <w:szCs w:val="22"/>
                <w:lang w:eastAsia="en-US"/>
              </w:rPr>
              <w:t xml:space="preserve"> </w:t>
            </w:r>
            <w:proofErr w:type="spellStart"/>
            <w:r w:rsidRPr="00FF4E93">
              <w:rPr>
                <w:color w:val="000000"/>
                <w:sz w:val="22"/>
                <w:szCs w:val="22"/>
                <w:lang w:eastAsia="en-US"/>
              </w:rPr>
              <w:t>gain</w:t>
            </w:r>
            <w:proofErr w:type="spellEnd"/>
            <w:r w:rsidRPr="00FF4E93">
              <w:rPr>
                <w:color w:val="000000"/>
                <w:sz w:val="22"/>
                <w:szCs w:val="22"/>
                <w:lang w:eastAsia="en-US"/>
              </w:rPr>
              <w:t xml:space="preserve"> </w:t>
            </w:r>
            <w:proofErr w:type="spellStart"/>
            <w:r w:rsidRPr="00FF4E93">
              <w:rPr>
                <w:color w:val="000000"/>
                <w:sz w:val="22"/>
                <w:szCs w:val="22"/>
                <w:lang w:eastAsia="en-US"/>
              </w:rPr>
              <w:t>access</w:t>
            </w:r>
            <w:proofErr w:type="spellEnd"/>
            <w:r w:rsidRPr="00FF4E93">
              <w:rPr>
                <w:color w:val="000000"/>
                <w:sz w:val="22"/>
                <w:szCs w:val="22"/>
                <w:lang w:eastAsia="en-US"/>
              </w:rPr>
              <w:t xml:space="preserve"> </w:t>
            </w:r>
            <w:proofErr w:type="spellStart"/>
            <w:r w:rsidRPr="00FF4E93">
              <w:rPr>
                <w:color w:val="000000"/>
                <w:sz w:val="22"/>
                <w:szCs w:val="22"/>
                <w:lang w:eastAsia="en-US"/>
              </w:rPr>
              <w:t>to</w:t>
            </w:r>
            <w:proofErr w:type="spellEnd"/>
            <w:r w:rsidRPr="00FF4E93">
              <w:rPr>
                <w:color w:val="000000"/>
                <w:sz w:val="22"/>
                <w:szCs w:val="22"/>
                <w:lang w:eastAsia="en-US"/>
              </w:rPr>
              <w:t xml:space="preserve"> a </w:t>
            </w:r>
            <w:proofErr w:type="spellStart"/>
            <w:r w:rsidRPr="00FF4E93">
              <w:rPr>
                <w:color w:val="000000"/>
                <w:sz w:val="22"/>
                <w:szCs w:val="22"/>
                <w:lang w:eastAsia="en-US"/>
              </w:rPr>
              <w:t>product</w:t>
            </w:r>
            <w:proofErr w:type="spellEnd"/>
            <w:r w:rsidRPr="00FF4E93">
              <w:rPr>
                <w:color w:val="000000"/>
                <w:sz w:val="22"/>
                <w:szCs w:val="22"/>
                <w:lang w:eastAsia="en-US"/>
              </w:rPr>
              <w:t xml:space="preserve"> </w:t>
            </w:r>
            <w:proofErr w:type="spellStart"/>
            <w:r w:rsidRPr="00FF4E93">
              <w:rPr>
                <w:color w:val="000000"/>
                <w:sz w:val="22"/>
                <w:szCs w:val="22"/>
                <w:lang w:eastAsia="en-US"/>
              </w:rPr>
              <w:t>or</w:t>
            </w:r>
            <w:proofErr w:type="spellEnd"/>
            <w:r w:rsidRPr="00FF4E93">
              <w:rPr>
                <w:color w:val="000000"/>
                <w:sz w:val="22"/>
                <w:szCs w:val="22"/>
                <w:lang w:eastAsia="en-US"/>
              </w:rPr>
              <w:t xml:space="preserve"> </w:t>
            </w:r>
            <w:proofErr w:type="spellStart"/>
            <w:r w:rsidRPr="00FF4E93">
              <w:rPr>
                <w:color w:val="000000"/>
                <w:sz w:val="22"/>
                <w:szCs w:val="22"/>
                <w:lang w:eastAsia="en-US"/>
              </w:rPr>
              <w:t>service</w:t>
            </w:r>
            <w:proofErr w:type="spellEnd"/>
            <w:r w:rsidRPr="00FF4E93">
              <w:rPr>
                <w:color w:val="000000"/>
                <w:sz w:val="22"/>
                <w:szCs w:val="22"/>
                <w:lang w:eastAsia="en-US"/>
              </w:rPr>
              <w:t xml:space="preserve">. </w:t>
            </w:r>
            <w:proofErr w:type="spellStart"/>
            <w:r w:rsidRPr="00FF4E93">
              <w:rPr>
                <w:color w:val="000000"/>
                <w:sz w:val="22"/>
                <w:szCs w:val="22"/>
                <w:lang w:eastAsia="en-US"/>
              </w:rPr>
              <w:t>While</w:t>
            </w:r>
            <w:proofErr w:type="spellEnd"/>
            <w:r w:rsidRPr="00FF4E93">
              <w:rPr>
                <w:color w:val="000000"/>
                <w:sz w:val="22"/>
                <w:szCs w:val="22"/>
                <w:lang w:eastAsia="en-US"/>
              </w:rPr>
              <w:t xml:space="preserve"> </w:t>
            </w:r>
            <w:proofErr w:type="spellStart"/>
            <w:r w:rsidRPr="00FF4E93">
              <w:rPr>
                <w:color w:val="000000"/>
                <w:sz w:val="22"/>
                <w:szCs w:val="22"/>
                <w:lang w:eastAsia="en-US"/>
              </w:rPr>
              <w:t>customers</w:t>
            </w:r>
            <w:proofErr w:type="spellEnd"/>
            <w:r w:rsidRPr="00FF4E93">
              <w:rPr>
                <w:color w:val="000000"/>
                <w:sz w:val="22"/>
                <w:szCs w:val="22"/>
                <w:lang w:eastAsia="en-US"/>
              </w:rPr>
              <w:t xml:space="preserve"> </w:t>
            </w:r>
            <w:proofErr w:type="spellStart"/>
            <w:r w:rsidRPr="00FF4E93">
              <w:rPr>
                <w:color w:val="000000"/>
                <w:sz w:val="22"/>
                <w:szCs w:val="22"/>
                <w:lang w:eastAsia="en-US"/>
              </w:rPr>
              <w:t>mostly</w:t>
            </w:r>
            <w:proofErr w:type="spellEnd"/>
            <w:r w:rsidRPr="00FF4E93">
              <w:rPr>
                <w:color w:val="000000"/>
                <w:sz w:val="22"/>
                <w:szCs w:val="22"/>
                <w:lang w:eastAsia="en-US"/>
              </w:rPr>
              <w:t xml:space="preserve"> </w:t>
            </w:r>
            <w:proofErr w:type="spellStart"/>
            <w:r w:rsidRPr="00FF4E93">
              <w:rPr>
                <w:color w:val="000000"/>
                <w:sz w:val="22"/>
                <w:szCs w:val="22"/>
                <w:lang w:eastAsia="en-US"/>
              </w:rPr>
              <w:t>benefit</w:t>
            </w:r>
            <w:proofErr w:type="spellEnd"/>
            <w:r w:rsidRPr="00FF4E93">
              <w:rPr>
                <w:color w:val="000000"/>
                <w:sz w:val="22"/>
                <w:szCs w:val="22"/>
                <w:lang w:eastAsia="en-US"/>
              </w:rPr>
              <w:t xml:space="preserve"> </w:t>
            </w:r>
            <w:proofErr w:type="spellStart"/>
            <w:r w:rsidRPr="00FF4E93">
              <w:rPr>
                <w:color w:val="000000"/>
                <w:sz w:val="22"/>
                <w:szCs w:val="22"/>
                <w:lang w:eastAsia="en-US"/>
              </w:rPr>
              <w:t>from</w:t>
            </w:r>
            <w:proofErr w:type="spellEnd"/>
            <w:r w:rsidRPr="00FF4E93">
              <w:rPr>
                <w:color w:val="000000"/>
                <w:sz w:val="22"/>
                <w:szCs w:val="22"/>
                <w:lang w:eastAsia="en-US"/>
              </w:rPr>
              <w:t xml:space="preserve"> </w:t>
            </w:r>
            <w:proofErr w:type="spellStart"/>
            <w:r w:rsidRPr="00FF4E93">
              <w:rPr>
                <w:color w:val="000000"/>
                <w:sz w:val="22"/>
                <w:szCs w:val="22"/>
                <w:lang w:eastAsia="en-US"/>
              </w:rPr>
              <w:t>lower</w:t>
            </w:r>
            <w:proofErr w:type="spellEnd"/>
            <w:r w:rsidRPr="00FF4E93">
              <w:rPr>
                <w:color w:val="000000"/>
                <w:sz w:val="22"/>
                <w:szCs w:val="22"/>
                <w:lang w:eastAsia="en-US"/>
              </w:rPr>
              <w:t xml:space="preserve"> </w:t>
            </w:r>
            <w:proofErr w:type="spellStart"/>
            <w:r w:rsidRPr="00FF4E93">
              <w:rPr>
                <w:color w:val="000000"/>
                <w:sz w:val="22"/>
                <w:szCs w:val="22"/>
                <w:lang w:eastAsia="en-US"/>
              </w:rPr>
              <w:t>usage</w:t>
            </w:r>
            <w:proofErr w:type="spellEnd"/>
            <w:r w:rsidRPr="00FF4E93">
              <w:rPr>
                <w:color w:val="000000"/>
                <w:sz w:val="22"/>
                <w:szCs w:val="22"/>
                <w:lang w:eastAsia="en-US"/>
              </w:rPr>
              <w:t xml:space="preserve"> </w:t>
            </w:r>
            <w:proofErr w:type="spellStart"/>
            <w:r w:rsidRPr="00FF4E93">
              <w:rPr>
                <w:color w:val="000000"/>
                <w:sz w:val="22"/>
                <w:szCs w:val="22"/>
                <w:lang w:eastAsia="en-US"/>
              </w:rPr>
              <w:t>costs</w:t>
            </w:r>
            <w:proofErr w:type="spellEnd"/>
            <w:r w:rsidRPr="00FF4E93">
              <w:rPr>
                <w:color w:val="000000"/>
                <w:sz w:val="22"/>
                <w:szCs w:val="22"/>
                <w:lang w:eastAsia="en-US"/>
              </w:rPr>
              <w:t xml:space="preserve"> </w:t>
            </w:r>
            <w:proofErr w:type="spellStart"/>
            <w:r w:rsidRPr="00FF4E93">
              <w:rPr>
                <w:color w:val="000000"/>
                <w:sz w:val="22"/>
                <w:szCs w:val="22"/>
                <w:lang w:eastAsia="en-US"/>
              </w:rPr>
              <w:t>and</w:t>
            </w:r>
            <w:proofErr w:type="spellEnd"/>
            <w:r w:rsidRPr="00FF4E93">
              <w:rPr>
                <w:color w:val="000000"/>
                <w:sz w:val="22"/>
                <w:szCs w:val="22"/>
                <w:lang w:eastAsia="en-US"/>
              </w:rPr>
              <w:t xml:space="preserve"> </w:t>
            </w:r>
            <w:proofErr w:type="spellStart"/>
            <w:r w:rsidRPr="00FF4E93">
              <w:rPr>
                <w:color w:val="000000"/>
                <w:sz w:val="22"/>
                <w:szCs w:val="22"/>
                <w:lang w:eastAsia="en-US"/>
              </w:rPr>
              <w:t>general</w:t>
            </w:r>
            <w:proofErr w:type="spellEnd"/>
            <w:r w:rsidRPr="00FF4E93">
              <w:rPr>
                <w:color w:val="000000"/>
                <w:sz w:val="22"/>
                <w:szCs w:val="22"/>
                <w:lang w:eastAsia="en-US"/>
              </w:rPr>
              <w:t xml:space="preserve"> </w:t>
            </w:r>
            <w:proofErr w:type="spellStart"/>
            <w:r w:rsidRPr="00FF4E93">
              <w:rPr>
                <w:color w:val="000000"/>
                <w:sz w:val="22"/>
                <w:szCs w:val="22"/>
                <w:lang w:eastAsia="en-US"/>
              </w:rPr>
              <w:t>service</w:t>
            </w:r>
            <w:proofErr w:type="spellEnd"/>
            <w:r w:rsidRPr="00FF4E93">
              <w:rPr>
                <w:color w:val="000000"/>
                <w:sz w:val="22"/>
                <w:szCs w:val="22"/>
                <w:lang w:eastAsia="en-US"/>
              </w:rPr>
              <w:t xml:space="preserve"> </w:t>
            </w:r>
            <w:proofErr w:type="spellStart"/>
            <w:r w:rsidRPr="00FF4E93">
              <w:rPr>
                <w:color w:val="000000"/>
                <w:sz w:val="22"/>
                <w:szCs w:val="22"/>
                <w:lang w:eastAsia="en-US"/>
              </w:rPr>
              <w:t>availability</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company</w:t>
            </w:r>
            <w:proofErr w:type="spellEnd"/>
            <w:r w:rsidRPr="00FF4E93">
              <w:rPr>
                <w:color w:val="000000"/>
                <w:sz w:val="22"/>
                <w:szCs w:val="22"/>
                <w:lang w:eastAsia="en-US"/>
              </w:rPr>
              <w:t xml:space="preserve"> </w:t>
            </w:r>
            <w:proofErr w:type="spellStart"/>
            <w:r w:rsidRPr="00FF4E93">
              <w:rPr>
                <w:color w:val="000000"/>
                <w:sz w:val="22"/>
                <w:szCs w:val="22"/>
                <w:lang w:eastAsia="en-US"/>
              </w:rPr>
              <w:t>generates</w:t>
            </w:r>
            <w:proofErr w:type="spellEnd"/>
            <w:r w:rsidRPr="00FF4E93">
              <w:rPr>
                <w:color w:val="000000"/>
                <w:sz w:val="22"/>
                <w:szCs w:val="22"/>
                <w:lang w:eastAsia="en-US"/>
              </w:rPr>
              <w:t xml:space="preserve"> a </w:t>
            </w:r>
            <w:proofErr w:type="spellStart"/>
            <w:r w:rsidRPr="00FF4E93">
              <w:rPr>
                <w:color w:val="000000"/>
                <w:sz w:val="22"/>
                <w:szCs w:val="22"/>
                <w:lang w:eastAsia="en-US"/>
              </w:rPr>
              <w:t>more</w:t>
            </w:r>
            <w:proofErr w:type="spellEnd"/>
            <w:r w:rsidRPr="00FF4E93">
              <w:rPr>
                <w:color w:val="000000"/>
                <w:sz w:val="22"/>
                <w:szCs w:val="22"/>
                <w:lang w:eastAsia="en-US"/>
              </w:rPr>
              <w:t xml:space="preserve"> </w:t>
            </w:r>
            <w:proofErr w:type="spellStart"/>
            <w:r w:rsidRPr="00FF4E93">
              <w:rPr>
                <w:color w:val="000000"/>
                <w:sz w:val="22"/>
                <w:szCs w:val="22"/>
                <w:lang w:eastAsia="en-US"/>
              </w:rPr>
              <w:t>steady</w:t>
            </w:r>
            <w:proofErr w:type="spellEnd"/>
            <w:r w:rsidRPr="00FF4E93">
              <w:rPr>
                <w:color w:val="000000"/>
                <w:sz w:val="22"/>
                <w:szCs w:val="22"/>
                <w:lang w:eastAsia="en-US"/>
              </w:rPr>
              <w:t xml:space="preserve"> </w:t>
            </w:r>
            <w:proofErr w:type="spellStart"/>
            <w:r w:rsidRPr="00FF4E93">
              <w:rPr>
                <w:color w:val="000000"/>
                <w:sz w:val="22"/>
                <w:szCs w:val="22"/>
                <w:lang w:eastAsia="en-US"/>
              </w:rPr>
              <w:t>income</w:t>
            </w:r>
            <w:proofErr w:type="spellEnd"/>
            <w:r w:rsidRPr="00FF4E93">
              <w:rPr>
                <w:color w:val="000000"/>
                <w:sz w:val="22"/>
                <w:szCs w:val="22"/>
                <w:lang w:eastAsia="en-US"/>
              </w:rPr>
              <w:t xml:space="preserve"> </w:t>
            </w:r>
            <w:proofErr w:type="spellStart"/>
            <w:r w:rsidRPr="00FF4E93">
              <w:rPr>
                <w:color w:val="000000"/>
                <w:sz w:val="22"/>
                <w:szCs w:val="22"/>
                <w:lang w:eastAsia="en-US"/>
              </w:rPr>
              <w:t>stream</w:t>
            </w:r>
            <w:proofErr w:type="spellEnd"/>
            <w:r w:rsidRPr="00FF4E93">
              <w:rPr>
                <w:color w:val="000000"/>
                <w:sz w:val="22"/>
                <w:szCs w:val="22"/>
                <w:lang w:eastAsia="en-US"/>
              </w:rPr>
              <w:t>.</w:t>
            </w:r>
          </w:p>
        </w:tc>
        <w:tc>
          <w:tcPr>
            <w:tcW w:w="6202" w:type="dxa"/>
          </w:tcPr>
          <w:p w14:paraId="5C7C20FD" w14:textId="77777777" w:rsidR="00151DC1" w:rsidRPr="00FF4E93" w:rsidRDefault="00151DC1" w:rsidP="00151DC1">
            <w:pPr>
              <w:widowControl w:val="0"/>
              <w:autoSpaceDE w:val="0"/>
              <w:autoSpaceDN w:val="0"/>
              <w:adjustRightInd w:val="0"/>
              <w:spacing w:before="0" w:after="0" w:line="200" w:lineRule="atLeast"/>
              <w:rPr>
                <w:i/>
                <w:color w:val="000000"/>
                <w:sz w:val="22"/>
                <w:szCs w:val="22"/>
                <w:lang w:eastAsia="en-US"/>
              </w:rPr>
            </w:pPr>
            <w:proofErr w:type="spellStart"/>
            <w:r w:rsidRPr="00FF4E93">
              <w:rPr>
                <w:i/>
                <w:color w:val="000000"/>
                <w:sz w:val="22"/>
                <w:szCs w:val="22"/>
                <w:lang w:eastAsia="en-US"/>
              </w:rPr>
              <w:t>MindMaze</w:t>
            </w:r>
            <w:proofErr w:type="spellEnd"/>
            <w:r w:rsidRPr="00FF4E93">
              <w:rPr>
                <w:i/>
                <w:color w:val="000000"/>
                <w:sz w:val="22"/>
                <w:szCs w:val="22"/>
                <w:lang w:eastAsia="en-US"/>
              </w:rPr>
              <w:t xml:space="preserve"> </w:t>
            </w:r>
            <w:proofErr w:type="spellStart"/>
            <w:r w:rsidRPr="00FF4E93">
              <w:rPr>
                <w:i/>
                <w:color w:val="000000"/>
                <w:sz w:val="22"/>
                <w:szCs w:val="22"/>
                <w:lang w:eastAsia="en-US"/>
              </w:rPr>
              <w:t>isn’t</w:t>
            </w:r>
            <w:proofErr w:type="spellEnd"/>
            <w:r w:rsidRPr="00FF4E93">
              <w:rPr>
                <w:i/>
                <w:color w:val="000000"/>
                <w:sz w:val="22"/>
                <w:szCs w:val="22"/>
                <w:lang w:eastAsia="en-US"/>
              </w:rPr>
              <w:t xml:space="preserve"> </w:t>
            </w:r>
            <w:proofErr w:type="spellStart"/>
            <w:r w:rsidRPr="00FF4E93">
              <w:rPr>
                <w:i/>
                <w:color w:val="000000"/>
                <w:sz w:val="22"/>
                <w:szCs w:val="22"/>
                <w:lang w:eastAsia="en-US"/>
              </w:rPr>
              <w:t>selling</w:t>
            </w:r>
            <w:proofErr w:type="spellEnd"/>
            <w:r w:rsidRPr="00FF4E93">
              <w:rPr>
                <w:i/>
                <w:color w:val="000000"/>
                <w:sz w:val="22"/>
                <w:szCs w:val="22"/>
                <w:lang w:eastAsia="en-US"/>
              </w:rPr>
              <w:t xml:space="preserve"> </w:t>
            </w:r>
            <w:proofErr w:type="spellStart"/>
            <w:r w:rsidRPr="00FF4E93">
              <w:rPr>
                <w:i/>
                <w:color w:val="000000"/>
                <w:sz w:val="22"/>
                <w:szCs w:val="22"/>
                <w:lang w:eastAsia="en-US"/>
              </w:rPr>
              <w:t>its</w:t>
            </w:r>
            <w:proofErr w:type="spellEnd"/>
            <w:r w:rsidRPr="00FF4E93">
              <w:rPr>
                <w:i/>
                <w:color w:val="000000"/>
                <w:sz w:val="22"/>
                <w:szCs w:val="22"/>
                <w:lang w:eastAsia="en-US"/>
              </w:rPr>
              <w:t xml:space="preserve"> </w:t>
            </w:r>
            <w:proofErr w:type="spellStart"/>
            <w:r w:rsidRPr="00FF4E93">
              <w:rPr>
                <w:i/>
                <w:color w:val="000000"/>
                <w:sz w:val="22"/>
                <w:szCs w:val="22"/>
                <w:lang w:eastAsia="en-US"/>
              </w:rPr>
              <w:t>hardware</w:t>
            </w:r>
            <w:proofErr w:type="spellEnd"/>
            <w:r w:rsidRPr="00FF4E93">
              <w:rPr>
                <w:i/>
                <w:color w:val="000000"/>
                <w:sz w:val="22"/>
                <w:szCs w:val="22"/>
                <w:lang w:eastAsia="en-US"/>
              </w:rPr>
              <w:t xml:space="preserve"> </w:t>
            </w:r>
            <w:proofErr w:type="spellStart"/>
            <w:r w:rsidRPr="00FF4E93">
              <w:rPr>
                <w:i/>
                <w:color w:val="000000"/>
                <w:sz w:val="22"/>
                <w:szCs w:val="22"/>
                <w:lang w:eastAsia="en-US"/>
              </w:rPr>
              <w:t>directly</w:t>
            </w:r>
            <w:proofErr w:type="spellEnd"/>
            <w:r w:rsidRPr="00FF4E93">
              <w:rPr>
                <w:i/>
                <w:color w:val="000000"/>
                <w:sz w:val="22"/>
                <w:szCs w:val="22"/>
                <w:lang w:eastAsia="en-US"/>
              </w:rPr>
              <w:t xml:space="preserve">. Hospitals </w:t>
            </w:r>
            <w:proofErr w:type="spellStart"/>
            <w:r w:rsidRPr="00FF4E93">
              <w:rPr>
                <w:i/>
                <w:color w:val="000000"/>
                <w:sz w:val="22"/>
                <w:szCs w:val="22"/>
                <w:lang w:eastAsia="en-US"/>
              </w:rPr>
              <w:t>and</w:t>
            </w:r>
            <w:proofErr w:type="spellEnd"/>
            <w:r w:rsidRPr="00FF4E93">
              <w:rPr>
                <w:i/>
                <w:color w:val="000000"/>
                <w:sz w:val="22"/>
                <w:szCs w:val="22"/>
                <w:lang w:eastAsia="en-US"/>
              </w:rPr>
              <w:t xml:space="preserve"> </w:t>
            </w:r>
            <w:proofErr w:type="spellStart"/>
            <w:r w:rsidRPr="00FF4E93">
              <w:rPr>
                <w:i/>
                <w:color w:val="000000"/>
                <w:sz w:val="22"/>
                <w:szCs w:val="22"/>
                <w:lang w:eastAsia="en-US"/>
              </w:rPr>
              <w:t>rehabilitation</w:t>
            </w:r>
            <w:proofErr w:type="spellEnd"/>
            <w:r w:rsidRPr="00FF4E93">
              <w:rPr>
                <w:i/>
                <w:color w:val="000000"/>
                <w:sz w:val="22"/>
                <w:szCs w:val="22"/>
                <w:lang w:eastAsia="en-US"/>
              </w:rPr>
              <w:t xml:space="preserve"> </w:t>
            </w:r>
            <w:proofErr w:type="spellStart"/>
            <w:r w:rsidRPr="00FF4E93">
              <w:rPr>
                <w:i/>
                <w:color w:val="000000"/>
                <w:sz w:val="22"/>
                <w:szCs w:val="22"/>
                <w:lang w:eastAsia="en-US"/>
              </w:rPr>
              <w:t>centers</w:t>
            </w:r>
            <w:proofErr w:type="spellEnd"/>
            <w:r w:rsidRPr="00FF4E93">
              <w:rPr>
                <w:i/>
                <w:color w:val="000000"/>
                <w:sz w:val="22"/>
                <w:szCs w:val="22"/>
                <w:lang w:eastAsia="en-US"/>
              </w:rPr>
              <w:t xml:space="preserve"> </w:t>
            </w:r>
            <w:proofErr w:type="spellStart"/>
            <w:r w:rsidRPr="00FF4E93">
              <w:rPr>
                <w:i/>
                <w:color w:val="000000"/>
                <w:sz w:val="22"/>
                <w:szCs w:val="22"/>
                <w:lang w:eastAsia="en-US"/>
              </w:rPr>
              <w:t>can</w:t>
            </w:r>
            <w:proofErr w:type="spellEnd"/>
            <w:r w:rsidRPr="00FF4E93">
              <w:rPr>
                <w:i/>
                <w:color w:val="000000"/>
                <w:sz w:val="22"/>
                <w:szCs w:val="22"/>
                <w:lang w:eastAsia="en-US"/>
              </w:rPr>
              <w:t xml:space="preserve"> </w:t>
            </w:r>
            <w:proofErr w:type="spellStart"/>
            <w:r w:rsidRPr="00FF4E93">
              <w:rPr>
                <w:i/>
                <w:color w:val="000000"/>
                <w:sz w:val="22"/>
                <w:szCs w:val="22"/>
                <w:lang w:eastAsia="en-US"/>
              </w:rPr>
              <w:t>rent</w:t>
            </w:r>
            <w:proofErr w:type="spellEnd"/>
            <w:r w:rsidRPr="00FF4E93">
              <w:rPr>
                <w:i/>
                <w:color w:val="000000"/>
                <w:sz w:val="22"/>
                <w:szCs w:val="22"/>
                <w:lang w:eastAsia="en-US"/>
              </w:rPr>
              <w:t xml:space="preserve"> </w:t>
            </w:r>
            <w:proofErr w:type="spellStart"/>
            <w:r w:rsidRPr="00FF4E93">
              <w:rPr>
                <w:i/>
                <w:color w:val="000000"/>
                <w:sz w:val="22"/>
                <w:szCs w:val="22"/>
                <w:lang w:eastAsia="en-US"/>
              </w:rPr>
              <w:t>the</w:t>
            </w:r>
            <w:proofErr w:type="spellEnd"/>
            <w:r w:rsidRPr="00FF4E93">
              <w:rPr>
                <w:i/>
                <w:color w:val="000000"/>
                <w:sz w:val="22"/>
                <w:szCs w:val="22"/>
                <w:lang w:eastAsia="en-US"/>
              </w:rPr>
              <w:t xml:space="preserve"> </w:t>
            </w:r>
            <w:proofErr w:type="spellStart"/>
            <w:r w:rsidRPr="00FF4E93">
              <w:rPr>
                <w:i/>
                <w:color w:val="000000"/>
                <w:sz w:val="22"/>
                <w:szCs w:val="22"/>
                <w:lang w:eastAsia="en-US"/>
              </w:rPr>
              <w:t>hardware</w:t>
            </w:r>
            <w:proofErr w:type="spellEnd"/>
            <w:r w:rsidRPr="00FF4E93">
              <w:rPr>
                <w:i/>
                <w:color w:val="000000"/>
                <w:sz w:val="22"/>
                <w:szCs w:val="22"/>
                <w:lang w:eastAsia="en-US"/>
              </w:rPr>
              <w:t xml:space="preserve"> </w:t>
            </w:r>
            <w:proofErr w:type="spellStart"/>
            <w:r w:rsidRPr="00FF4E93">
              <w:rPr>
                <w:i/>
                <w:color w:val="000000"/>
                <w:sz w:val="22"/>
                <w:szCs w:val="22"/>
                <w:lang w:eastAsia="en-US"/>
              </w:rPr>
              <w:t>and</w:t>
            </w:r>
            <w:proofErr w:type="spellEnd"/>
            <w:r w:rsidRPr="00FF4E93">
              <w:rPr>
                <w:i/>
                <w:color w:val="000000"/>
                <w:sz w:val="22"/>
                <w:szCs w:val="22"/>
                <w:lang w:eastAsia="en-US"/>
              </w:rPr>
              <w:t xml:space="preserve"> </w:t>
            </w:r>
            <w:proofErr w:type="spellStart"/>
            <w:r w:rsidRPr="00FF4E93">
              <w:rPr>
                <w:i/>
                <w:color w:val="000000"/>
                <w:sz w:val="22"/>
                <w:szCs w:val="22"/>
                <w:lang w:eastAsia="en-US"/>
              </w:rPr>
              <w:t>software</w:t>
            </w:r>
            <w:proofErr w:type="spellEnd"/>
            <w:r w:rsidRPr="00FF4E93">
              <w:rPr>
                <w:i/>
                <w:color w:val="000000"/>
                <w:sz w:val="22"/>
                <w:szCs w:val="22"/>
                <w:lang w:eastAsia="en-US"/>
              </w:rPr>
              <w:t xml:space="preserve"> </w:t>
            </w:r>
            <w:proofErr w:type="spellStart"/>
            <w:r w:rsidRPr="00FF4E93">
              <w:rPr>
                <w:i/>
                <w:color w:val="000000"/>
                <w:sz w:val="22"/>
                <w:szCs w:val="22"/>
                <w:lang w:eastAsia="en-US"/>
              </w:rPr>
              <w:t>package</w:t>
            </w:r>
            <w:proofErr w:type="spellEnd"/>
            <w:r w:rsidRPr="00FF4E93">
              <w:rPr>
                <w:i/>
                <w:color w:val="000000"/>
                <w:sz w:val="22"/>
                <w:szCs w:val="22"/>
                <w:lang w:eastAsia="en-US"/>
              </w:rPr>
              <w:t xml:space="preserve"> on a </w:t>
            </w:r>
            <w:proofErr w:type="spellStart"/>
            <w:r w:rsidRPr="00FF4E93">
              <w:rPr>
                <w:b/>
                <w:bCs/>
                <w:i/>
                <w:color w:val="000000"/>
                <w:sz w:val="22"/>
                <w:szCs w:val="22"/>
                <w:lang w:eastAsia="en-US"/>
              </w:rPr>
              <w:t>subscription</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basis</w:t>
            </w:r>
            <w:proofErr w:type="spellEnd"/>
            <w:r w:rsidRPr="00FF4E93">
              <w:rPr>
                <w:i/>
                <w:color w:val="000000"/>
                <w:sz w:val="22"/>
                <w:szCs w:val="22"/>
                <w:lang w:eastAsia="en-US"/>
              </w:rPr>
              <w:t xml:space="preserve">, </w:t>
            </w:r>
            <w:proofErr w:type="spellStart"/>
            <w:r w:rsidRPr="00FF4E93">
              <w:rPr>
                <w:i/>
                <w:color w:val="000000"/>
                <w:sz w:val="22"/>
                <w:szCs w:val="22"/>
                <w:lang w:eastAsia="en-US"/>
              </w:rPr>
              <w:t>which</w:t>
            </w:r>
            <w:proofErr w:type="spellEnd"/>
            <w:r w:rsidRPr="00FF4E93">
              <w:rPr>
                <w:i/>
                <w:color w:val="000000"/>
                <w:sz w:val="22"/>
                <w:szCs w:val="22"/>
                <w:lang w:eastAsia="en-US"/>
              </w:rPr>
              <w:t xml:space="preserve"> </w:t>
            </w:r>
            <w:proofErr w:type="spellStart"/>
            <w:r w:rsidRPr="00FF4E93">
              <w:rPr>
                <w:i/>
                <w:color w:val="000000"/>
                <w:sz w:val="22"/>
                <w:szCs w:val="22"/>
                <w:lang w:eastAsia="en-US"/>
              </w:rPr>
              <w:t>starts</w:t>
            </w:r>
            <w:proofErr w:type="spellEnd"/>
            <w:r w:rsidRPr="00FF4E93">
              <w:rPr>
                <w:i/>
                <w:color w:val="000000"/>
                <w:sz w:val="22"/>
                <w:szCs w:val="22"/>
                <w:lang w:eastAsia="en-US"/>
              </w:rPr>
              <w:t xml:space="preserve"> at </w:t>
            </w:r>
            <w:r w:rsidRPr="00FF4E93">
              <w:rPr>
                <w:b/>
                <w:bCs/>
                <w:i/>
                <w:color w:val="000000"/>
                <w:sz w:val="22"/>
                <w:szCs w:val="22"/>
                <w:lang w:eastAsia="en-US"/>
              </w:rPr>
              <w:t xml:space="preserve">$2,500 per </w:t>
            </w:r>
            <w:proofErr w:type="spellStart"/>
            <w:r w:rsidRPr="00FF4E93">
              <w:rPr>
                <w:b/>
                <w:bCs/>
                <w:i/>
                <w:color w:val="000000"/>
                <w:sz w:val="22"/>
                <w:szCs w:val="22"/>
                <w:lang w:eastAsia="en-US"/>
              </w:rPr>
              <w:t>month</w:t>
            </w:r>
            <w:proofErr w:type="spellEnd"/>
            <w:r w:rsidRPr="00FF4E93">
              <w:rPr>
                <w:i/>
                <w:color w:val="000000"/>
                <w:sz w:val="22"/>
                <w:szCs w:val="22"/>
                <w:lang w:eastAsia="en-US"/>
              </w:rPr>
              <w:t>.</w:t>
            </w:r>
          </w:p>
        </w:tc>
      </w:tr>
      <w:tr w:rsidR="00151DC1" w:rsidRPr="00FF4E93" w14:paraId="62D80181" w14:textId="77777777" w:rsidTr="00C54569">
        <w:tc>
          <w:tcPr>
            <w:tcW w:w="2405" w:type="dxa"/>
          </w:tcPr>
          <w:p w14:paraId="28AF96C2" w14:textId="77777777" w:rsidR="00151DC1" w:rsidRPr="00FF4E93" w:rsidRDefault="00151DC1" w:rsidP="00151DC1">
            <w:pPr>
              <w:spacing w:before="0" w:after="0"/>
              <w:rPr>
                <w:bCs/>
                <w:color w:val="000000"/>
                <w:sz w:val="22"/>
                <w:szCs w:val="22"/>
                <w:lang w:eastAsia="en-US"/>
              </w:rPr>
            </w:pPr>
            <w:proofErr w:type="spellStart"/>
            <w:r w:rsidRPr="00FF4E93">
              <w:rPr>
                <w:bCs/>
                <w:color w:val="000000"/>
                <w:sz w:val="22"/>
                <w:szCs w:val="22"/>
                <w:lang w:eastAsia="en-US"/>
              </w:rPr>
              <w:t>Two-Sided</w:t>
            </w:r>
            <w:proofErr w:type="spellEnd"/>
            <w:r w:rsidRPr="00FF4E93">
              <w:rPr>
                <w:bCs/>
                <w:color w:val="000000"/>
                <w:sz w:val="22"/>
                <w:szCs w:val="22"/>
                <w:lang w:eastAsia="en-US"/>
              </w:rPr>
              <w:t xml:space="preserve"> </w:t>
            </w:r>
            <w:r w:rsidRPr="00FF4E93">
              <w:rPr>
                <w:rFonts w:ascii="MS Mincho" w:eastAsia="MS Mincho" w:hAnsi="MS Mincho" w:cs="MS Mincho" w:hint="eastAsia"/>
                <w:bCs/>
                <w:color w:val="000000"/>
                <w:sz w:val="22"/>
                <w:szCs w:val="22"/>
                <w:lang w:eastAsia="en-US"/>
              </w:rPr>
              <w:t> </w:t>
            </w:r>
            <w:r w:rsidRPr="00FF4E93">
              <w:rPr>
                <w:bCs/>
                <w:color w:val="000000"/>
                <w:sz w:val="22"/>
                <w:szCs w:val="22"/>
                <w:lang w:eastAsia="en-US"/>
              </w:rPr>
              <w:t>Market</w:t>
            </w:r>
          </w:p>
          <w:p w14:paraId="7337509D" w14:textId="77777777" w:rsidR="00151DC1" w:rsidRPr="00FF4E93" w:rsidRDefault="00151DC1" w:rsidP="00151DC1">
            <w:pPr>
              <w:widowControl w:val="0"/>
              <w:autoSpaceDE w:val="0"/>
              <w:autoSpaceDN w:val="0"/>
              <w:adjustRightInd w:val="0"/>
              <w:spacing w:before="0" w:after="0" w:line="200" w:lineRule="atLeast"/>
              <w:jc w:val="left"/>
              <w:rPr>
                <w:color w:val="000000"/>
                <w:sz w:val="22"/>
                <w:szCs w:val="22"/>
                <w:lang w:eastAsia="en-US"/>
              </w:rPr>
            </w:pPr>
            <w:r w:rsidRPr="00FF4E93">
              <w:rPr>
                <w:i/>
                <w:iCs/>
                <w:color w:val="000000"/>
                <w:sz w:val="22"/>
                <w:szCs w:val="22"/>
                <w:lang w:eastAsia="en-US"/>
              </w:rPr>
              <w:t>Diners Club, Amazon Store, eBay, Google, Facebook</w:t>
            </w:r>
          </w:p>
        </w:tc>
        <w:tc>
          <w:tcPr>
            <w:tcW w:w="5670" w:type="dxa"/>
          </w:tcPr>
          <w:p w14:paraId="2C1C8375" w14:textId="77777777" w:rsidR="00151DC1" w:rsidRPr="00FF4E93" w:rsidRDefault="00151DC1" w:rsidP="00151DC1">
            <w:pPr>
              <w:widowControl w:val="0"/>
              <w:autoSpaceDE w:val="0"/>
              <w:autoSpaceDN w:val="0"/>
              <w:adjustRightInd w:val="0"/>
              <w:spacing w:before="0" w:after="0" w:line="200" w:lineRule="atLeast"/>
              <w:rPr>
                <w:color w:val="000000"/>
                <w:sz w:val="22"/>
                <w:szCs w:val="22"/>
                <w:lang w:eastAsia="en-US"/>
              </w:rPr>
            </w:pPr>
            <w:r w:rsidRPr="00FF4E93">
              <w:rPr>
                <w:color w:val="000000"/>
                <w:sz w:val="22"/>
                <w:szCs w:val="22"/>
                <w:lang w:eastAsia="en-US"/>
              </w:rPr>
              <w:t xml:space="preserve">A </w:t>
            </w:r>
            <w:proofErr w:type="spellStart"/>
            <w:r w:rsidRPr="00FF4E93">
              <w:rPr>
                <w:color w:val="000000"/>
                <w:sz w:val="22"/>
                <w:szCs w:val="22"/>
                <w:lang w:eastAsia="en-US"/>
              </w:rPr>
              <w:t>two-sided</w:t>
            </w:r>
            <w:proofErr w:type="spellEnd"/>
            <w:r w:rsidRPr="00FF4E93">
              <w:rPr>
                <w:color w:val="000000"/>
                <w:sz w:val="22"/>
                <w:szCs w:val="22"/>
                <w:lang w:eastAsia="en-US"/>
              </w:rPr>
              <w:t xml:space="preserve"> </w:t>
            </w:r>
            <w:proofErr w:type="spellStart"/>
            <w:r w:rsidRPr="00FF4E93">
              <w:rPr>
                <w:color w:val="000000"/>
                <w:sz w:val="22"/>
                <w:szCs w:val="22"/>
                <w:lang w:eastAsia="en-US"/>
              </w:rPr>
              <w:t>market</w:t>
            </w:r>
            <w:proofErr w:type="spellEnd"/>
            <w:r w:rsidRPr="00FF4E93">
              <w:rPr>
                <w:color w:val="000000"/>
                <w:sz w:val="22"/>
                <w:szCs w:val="22"/>
                <w:lang w:eastAsia="en-US"/>
              </w:rPr>
              <w:t xml:space="preserve"> </w:t>
            </w:r>
            <w:proofErr w:type="spellStart"/>
            <w:r w:rsidRPr="00FF4E93">
              <w:rPr>
                <w:color w:val="000000"/>
                <w:sz w:val="22"/>
                <w:szCs w:val="22"/>
                <w:lang w:eastAsia="en-US"/>
              </w:rPr>
              <w:t>facilitates</w:t>
            </w:r>
            <w:proofErr w:type="spellEnd"/>
            <w:r w:rsidRPr="00FF4E93">
              <w:rPr>
                <w:color w:val="000000"/>
                <w:sz w:val="22"/>
                <w:szCs w:val="22"/>
                <w:lang w:eastAsia="en-US"/>
              </w:rPr>
              <w:t xml:space="preserve"> </w:t>
            </w:r>
            <w:proofErr w:type="spellStart"/>
            <w:r w:rsidRPr="00FF4E93">
              <w:rPr>
                <w:color w:val="000000"/>
                <w:sz w:val="22"/>
                <w:szCs w:val="22"/>
                <w:lang w:eastAsia="en-US"/>
              </w:rPr>
              <w:t>interactions</w:t>
            </w:r>
            <w:proofErr w:type="spellEnd"/>
            <w:r w:rsidRPr="00FF4E93">
              <w:rPr>
                <w:color w:val="000000"/>
                <w:sz w:val="22"/>
                <w:szCs w:val="22"/>
                <w:lang w:eastAsia="en-US"/>
              </w:rPr>
              <w:t xml:space="preserve"> </w:t>
            </w:r>
            <w:proofErr w:type="spellStart"/>
            <w:r w:rsidRPr="00FF4E93">
              <w:rPr>
                <w:color w:val="000000"/>
                <w:sz w:val="22"/>
                <w:szCs w:val="22"/>
                <w:lang w:eastAsia="en-US"/>
              </w:rPr>
              <w:t>between</w:t>
            </w:r>
            <w:proofErr w:type="spellEnd"/>
            <w:r w:rsidRPr="00FF4E93">
              <w:rPr>
                <w:color w:val="000000"/>
                <w:sz w:val="22"/>
                <w:szCs w:val="22"/>
                <w:lang w:eastAsia="en-US"/>
              </w:rPr>
              <w:t xml:space="preserve"> multiple interdependent </w:t>
            </w:r>
            <w:proofErr w:type="spellStart"/>
            <w:r w:rsidRPr="00FF4E93">
              <w:rPr>
                <w:color w:val="000000"/>
                <w:sz w:val="22"/>
                <w:szCs w:val="22"/>
                <w:lang w:eastAsia="en-US"/>
              </w:rPr>
              <w:t>groups</w:t>
            </w:r>
            <w:proofErr w:type="spellEnd"/>
            <w:r w:rsidRPr="00FF4E93">
              <w:rPr>
                <w:color w:val="000000"/>
                <w:sz w:val="22"/>
                <w:szCs w:val="22"/>
                <w:lang w:eastAsia="en-US"/>
              </w:rPr>
              <w:t xml:space="preserve"> </w:t>
            </w:r>
            <w:proofErr w:type="spellStart"/>
            <w:r w:rsidRPr="00FF4E93">
              <w:rPr>
                <w:color w:val="000000"/>
                <w:sz w:val="22"/>
                <w:szCs w:val="22"/>
                <w:lang w:eastAsia="en-US"/>
              </w:rPr>
              <w:t>of</w:t>
            </w:r>
            <w:proofErr w:type="spellEnd"/>
            <w:r w:rsidRPr="00FF4E93">
              <w:rPr>
                <w:color w:val="000000"/>
                <w:sz w:val="22"/>
                <w:szCs w:val="22"/>
                <w:lang w:eastAsia="en-US"/>
              </w:rPr>
              <w:t xml:space="preserve"> </w:t>
            </w:r>
            <w:proofErr w:type="spellStart"/>
            <w:r w:rsidRPr="00FF4E93">
              <w:rPr>
                <w:color w:val="000000"/>
                <w:sz w:val="22"/>
                <w:szCs w:val="22"/>
                <w:lang w:eastAsia="en-US"/>
              </w:rPr>
              <w:t>customers</w:t>
            </w:r>
            <w:proofErr w:type="spellEnd"/>
            <w:r w:rsidRPr="00FF4E93">
              <w:rPr>
                <w:color w:val="000000"/>
                <w:sz w:val="22"/>
                <w:szCs w:val="22"/>
                <w:lang w:eastAsia="en-US"/>
              </w:rPr>
              <w:t xml:space="preserve">. The </w:t>
            </w:r>
            <w:proofErr w:type="spellStart"/>
            <w:r w:rsidRPr="00FF4E93">
              <w:rPr>
                <w:color w:val="000000"/>
                <w:sz w:val="22"/>
                <w:szCs w:val="22"/>
                <w:lang w:eastAsia="en-US"/>
              </w:rPr>
              <w:t>value</w:t>
            </w:r>
            <w:proofErr w:type="spellEnd"/>
            <w:r w:rsidRPr="00FF4E93">
              <w:rPr>
                <w:color w:val="000000"/>
                <w:sz w:val="22"/>
                <w:szCs w:val="22"/>
                <w:lang w:eastAsia="en-US"/>
              </w:rPr>
              <w:t xml:space="preserve"> </w:t>
            </w:r>
            <w:proofErr w:type="spellStart"/>
            <w:r w:rsidRPr="00FF4E93">
              <w:rPr>
                <w:color w:val="000000"/>
                <w:sz w:val="22"/>
                <w:szCs w:val="22"/>
                <w:lang w:eastAsia="en-US"/>
              </w:rPr>
              <w:t>of</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platform</w:t>
            </w:r>
            <w:proofErr w:type="spellEnd"/>
            <w:r w:rsidRPr="00FF4E93">
              <w:rPr>
                <w:color w:val="000000"/>
                <w:sz w:val="22"/>
                <w:szCs w:val="22"/>
                <w:lang w:eastAsia="en-US"/>
              </w:rPr>
              <w:t xml:space="preserve"> </w:t>
            </w:r>
            <w:proofErr w:type="spellStart"/>
            <w:r w:rsidRPr="00FF4E93">
              <w:rPr>
                <w:color w:val="000000"/>
                <w:sz w:val="22"/>
                <w:szCs w:val="22"/>
                <w:lang w:eastAsia="en-US"/>
              </w:rPr>
              <w:t>increases</w:t>
            </w:r>
            <w:proofErr w:type="spellEnd"/>
            <w:r w:rsidRPr="00FF4E93">
              <w:rPr>
                <w:color w:val="000000"/>
                <w:sz w:val="22"/>
                <w:szCs w:val="22"/>
                <w:lang w:eastAsia="en-US"/>
              </w:rPr>
              <w:t xml:space="preserve"> </w:t>
            </w:r>
            <w:proofErr w:type="spellStart"/>
            <w:r w:rsidRPr="00FF4E93">
              <w:rPr>
                <w:color w:val="000000"/>
                <w:sz w:val="22"/>
                <w:szCs w:val="22"/>
                <w:lang w:eastAsia="en-US"/>
              </w:rPr>
              <w:t>as</w:t>
            </w:r>
            <w:proofErr w:type="spellEnd"/>
            <w:r w:rsidRPr="00FF4E93">
              <w:rPr>
                <w:color w:val="000000"/>
                <w:sz w:val="22"/>
                <w:szCs w:val="22"/>
                <w:lang w:eastAsia="en-US"/>
              </w:rPr>
              <w:t xml:space="preserve"> </w:t>
            </w:r>
            <w:proofErr w:type="spellStart"/>
            <w:r w:rsidRPr="00FF4E93">
              <w:rPr>
                <w:color w:val="000000"/>
                <w:sz w:val="22"/>
                <w:szCs w:val="22"/>
                <w:lang w:eastAsia="en-US"/>
              </w:rPr>
              <w:t>more</w:t>
            </w:r>
            <w:proofErr w:type="spellEnd"/>
            <w:r w:rsidRPr="00FF4E93">
              <w:rPr>
                <w:color w:val="000000"/>
                <w:sz w:val="22"/>
                <w:szCs w:val="22"/>
                <w:lang w:eastAsia="en-US"/>
              </w:rPr>
              <w:t xml:space="preserve"> </w:t>
            </w:r>
            <w:proofErr w:type="spellStart"/>
            <w:r w:rsidRPr="00FF4E93">
              <w:rPr>
                <w:color w:val="000000"/>
                <w:sz w:val="22"/>
                <w:szCs w:val="22"/>
                <w:lang w:eastAsia="en-US"/>
              </w:rPr>
              <w:t>groups</w:t>
            </w:r>
            <w:proofErr w:type="spellEnd"/>
            <w:r w:rsidRPr="00FF4E93">
              <w:rPr>
                <w:color w:val="000000"/>
                <w:sz w:val="22"/>
                <w:szCs w:val="22"/>
                <w:lang w:eastAsia="en-US"/>
              </w:rPr>
              <w:t xml:space="preserve"> </w:t>
            </w:r>
            <w:proofErr w:type="spellStart"/>
            <w:r w:rsidRPr="00FF4E93">
              <w:rPr>
                <w:color w:val="000000"/>
                <w:sz w:val="22"/>
                <w:szCs w:val="22"/>
                <w:lang w:eastAsia="en-US"/>
              </w:rPr>
              <w:t>or</w:t>
            </w:r>
            <w:proofErr w:type="spellEnd"/>
            <w:r w:rsidRPr="00FF4E93">
              <w:rPr>
                <w:color w:val="000000"/>
                <w:sz w:val="22"/>
                <w:szCs w:val="22"/>
                <w:lang w:eastAsia="en-US"/>
              </w:rPr>
              <w:t xml:space="preserve"> </w:t>
            </w:r>
            <w:proofErr w:type="spellStart"/>
            <w:r w:rsidRPr="00FF4E93">
              <w:rPr>
                <w:color w:val="000000"/>
                <w:sz w:val="22"/>
                <w:szCs w:val="22"/>
                <w:lang w:eastAsia="en-US"/>
              </w:rPr>
              <w:t>as</w:t>
            </w:r>
            <w:proofErr w:type="spellEnd"/>
            <w:r w:rsidRPr="00FF4E93">
              <w:rPr>
                <w:color w:val="000000"/>
                <w:sz w:val="22"/>
                <w:szCs w:val="22"/>
                <w:lang w:eastAsia="en-US"/>
              </w:rPr>
              <w:t xml:space="preserve"> </w:t>
            </w:r>
            <w:proofErr w:type="spellStart"/>
            <w:r w:rsidRPr="00FF4E93">
              <w:rPr>
                <w:color w:val="000000"/>
                <w:sz w:val="22"/>
                <w:szCs w:val="22"/>
                <w:lang w:eastAsia="en-US"/>
              </w:rPr>
              <w:t>more</w:t>
            </w:r>
            <w:proofErr w:type="spellEnd"/>
            <w:r w:rsidRPr="00FF4E93">
              <w:rPr>
                <w:color w:val="000000"/>
                <w:sz w:val="22"/>
                <w:szCs w:val="22"/>
                <w:lang w:eastAsia="en-US"/>
              </w:rPr>
              <w:t xml:space="preserve"> individual </w:t>
            </w:r>
            <w:proofErr w:type="spellStart"/>
            <w:r w:rsidRPr="00FF4E93">
              <w:rPr>
                <w:color w:val="000000"/>
                <w:sz w:val="22"/>
                <w:szCs w:val="22"/>
                <w:lang w:eastAsia="en-US"/>
              </w:rPr>
              <w:t>members</w:t>
            </w:r>
            <w:proofErr w:type="spellEnd"/>
            <w:r w:rsidRPr="00FF4E93">
              <w:rPr>
                <w:color w:val="000000"/>
                <w:sz w:val="22"/>
                <w:szCs w:val="22"/>
                <w:lang w:eastAsia="en-US"/>
              </w:rPr>
              <w:t xml:space="preserve"> </w:t>
            </w:r>
            <w:proofErr w:type="spellStart"/>
            <w:r w:rsidRPr="00FF4E93">
              <w:rPr>
                <w:color w:val="000000"/>
                <w:sz w:val="22"/>
                <w:szCs w:val="22"/>
                <w:lang w:eastAsia="en-US"/>
              </w:rPr>
              <w:t>of</w:t>
            </w:r>
            <w:proofErr w:type="spellEnd"/>
            <w:r w:rsidRPr="00FF4E93">
              <w:rPr>
                <w:color w:val="000000"/>
                <w:sz w:val="22"/>
                <w:szCs w:val="22"/>
                <w:lang w:eastAsia="en-US"/>
              </w:rPr>
              <w:t xml:space="preserve"> </w:t>
            </w:r>
            <w:proofErr w:type="spellStart"/>
            <w:r w:rsidRPr="00FF4E93">
              <w:rPr>
                <w:color w:val="000000"/>
                <w:sz w:val="22"/>
                <w:szCs w:val="22"/>
                <w:lang w:eastAsia="en-US"/>
              </w:rPr>
              <w:t>each</w:t>
            </w:r>
            <w:proofErr w:type="spellEnd"/>
            <w:r w:rsidRPr="00FF4E93">
              <w:rPr>
                <w:color w:val="000000"/>
                <w:sz w:val="22"/>
                <w:szCs w:val="22"/>
                <w:lang w:eastAsia="en-US"/>
              </w:rPr>
              <w:t xml:space="preserve"> </w:t>
            </w:r>
            <w:proofErr w:type="spellStart"/>
            <w:r w:rsidRPr="00FF4E93">
              <w:rPr>
                <w:color w:val="000000"/>
                <w:sz w:val="22"/>
                <w:szCs w:val="22"/>
                <w:lang w:eastAsia="en-US"/>
              </w:rPr>
              <w:t>group</w:t>
            </w:r>
            <w:proofErr w:type="spellEnd"/>
            <w:r w:rsidRPr="00FF4E93">
              <w:rPr>
                <w:color w:val="000000"/>
                <w:sz w:val="22"/>
                <w:szCs w:val="22"/>
                <w:lang w:eastAsia="en-US"/>
              </w:rPr>
              <w:t xml:space="preserve"> </w:t>
            </w:r>
            <w:proofErr w:type="spellStart"/>
            <w:r w:rsidRPr="00FF4E93">
              <w:rPr>
                <w:color w:val="000000"/>
                <w:sz w:val="22"/>
                <w:szCs w:val="22"/>
                <w:lang w:eastAsia="en-US"/>
              </w:rPr>
              <w:t>are</w:t>
            </w:r>
            <w:proofErr w:type="spellEnd"/>
            <w:r w:rsidRPr="00FF4E93">
              <w:rPr>
                <w:color w:val="000000"/>
                <w:sz w:val="22"/>
                <w:szCs w:val="22"/>
                <w:lang w:eastAsia="en-US"/>
              </w:rPr>
              <w:t xml:space="preserve"> </w:t>
            </w:r>
            <w:proofErr w:type="spellStart"/>
            <w:r w:rsidRPr="00FF4E93">
              <w:rPr>
                <w:color w:val="000000"/>
                <w:sz w:val="22"/>
                <w:szCs w:val="22"/>
                <w:lang w:eastAsia="en-US"/>
              </w:rPr>
              <w:t>using</w:t>
            </w:r>
            <w:proofErr w:type="spellEnd"/>
            <w:r w:rsidRPr="00FF4E93">
              <w:rPr>
                <w:color w:val="000000"/>
                <w:sz w:val="22"/>
                <w:szCs w:val="22"/>
                <w:lang w:eastAsia="en-US"/>
              </w:rPr>
              <w:t xml:space="preserve"> it. The </w:t>
            </w:r>
            <w:proofErr w:type="spellStart"/>
            <w:r w:rsidRPr="00FF4E93">
              <w:rPr>
                <w:color w:val="000000"/>
                <w:sz w:val="22"/>
                <w:szCs w:val="22"/>
                <w:lang w:eastAsia="en-US"/>
              </w:rPr>
              <w:t>two</w:t>
            </w:r>
            <w:proofErr w:type="spellEnd"/>
            <w:r w:rsidRPr="00FF4E93">
              <w:rPr>
                <w:color w:val="000000"/>
                <w:sz w:val="22"/>
                <w:szCs w:val="22"/>
                <w:lang w:eastAsia="en-US"/>
              </w:rPr>
              <w:t xml:space="preserve"> </w:t>
            </w:r>
            <w:proofErr w:type="spellStart"/>
            <w:r w:rsidRPr="00FF4E93">
              <w:rPr>
                <w:color w:val="000000"/>
                <w:sz w:val="22"/>
                <w:szCs w:val="22"/>
                <w:lang w:eastAsia="en-US"/>
              </w:rPr>
              <w:t>sides</w:t>
            </w:r>
            <w:proofErr w:type="spellEnd"/>
            <w:r w:rsidRPr="00FF4E93">
              <w:rPr>
                <w:color w:val="000000"/>
                <w:sz w:val="22"/>
                <w:szCs w:val="22"/>
                <w:lang w:eastAsia="en-US"/>
              </w:rPr>
              <w:t xml:space="preserve"> </w:t>
            </w:r>
            <w:proofErr w:type="spellStart"/>
            <w:r w:rsidRPr="00FF4E93">
              <w:rPr>
                <w:color w:val="000000"/>
                <w:sz w:val="22"/>
                <w:szCs w:val="22"/>
                <w:lang w:eastAsia="en-US"/>
              </w:rPr>
              <w:t>usually</w:t>
            </w:r>
            <w:proofErr w:type="spellEnd"/>
            <w:r w:rsidRPr="00FF4E93">
              <w:rPr>
                <w:color w:val="000000"/>
                <w:sz w:val="22"/>
                <w:szCs w:val="22"/>
                <w:lang w:eastAsia="en-US"/>
              </w:rPr>
              <w:t xml:space="preserve"> </w:t>
            </w:r>
            <w:proofErr w:type="spellStart"/>
            <w:r w:rsidRPr="00FF4E93">
              <w:rPr>
                <w:color w:val="000000"/>
                <w:sz w:val="22"/>
                <w:szCs w:val="22"/>
                <w:lang w:eastAsia="en-US"/>
              </w:rPr>
              <w:t>come</w:t>
            </w:r>
            <w:proofErr w:type="spellEnd"/>
            <w:r w:rsidRPr="00FF4E93">
              <w:rPr>
                <w:color w:val="000000"/>
                <w:sz w:val="22"/>
                <w:szCs w:val="22"/>
                <w:lang w:eastAsia="en-US"/>
              </w:rPr>
              <w:t xml:space="preserve"> </w:t>
            </w:r>
            <w:proofErr w:type="spellStart"/>
            <w:r w:rsidRPr="00FF4E93">
              <w:rPr>
                <w:color w:val="000000"/>
                <w:sz w:val="22"/>
                <w:szCs w:val="22"/>
                <w:lang w:eastAsia="en-US"/>
              </w:rPr>
              <w:t>from</w:t>
            </w:r>
            <w:proofErr w:type="spellEnd"/>
            <w:r w:rsidRPr="00FF4E93">
              <w:rPr>
                <w:color w:val="000000"/>
                <w:sz w:val="22"/>
                <w:szCs w:val="22"/>
                <w:lang w:eastAsia="en-US"/>
              </w:rPr>
              <w:t xml:space="preserve"> disparate </w:t>
            </w:r>
            <w:proofErr w:type="spellStart"/>
            <w:r w:rsidRPr="00FF4E93">
              <w:rPr>
                <w:color w:val="000000"/>
                <w:sz w:val="22"/>
                <w:szCs w:val="22"/>
                <w:lang w:eastAsia="en-US"/>
              </w:rPr>
              <w:t>groups</w:t>
            </w:r>
            <w:proofErr w:type="spellEnd"/>
            <w:r w:rsidRPr="00FF4E93">
              <w:rPr>
                <w:color w:val="000000"/>
                <w:sz w:val="22"/>
                <w:szCs w:val="22"/>
                <w:lang w:eastAsia="en-US"/>
              </w:rPr>
              <w:t xml:space="preserve">, e.g., </w:t>
            </w:r>
            <w:proofErr w:type="spellStart"/>
            <w:r w:rsidRPr="00FF4E93">
              <w:rPr>
                <w:color w:val="000000"/>
                <w:sz w:val="22"/>
                <w:szCs w:val="22"/>
                <w:lang w:eastAsia="en-US"/>
              </w:rPr>
              <w:t>businesses</w:t>
            </w:r>
            <w:proofErr w:type="spellEnd"/>
            <w:r w:rsidRPr="00FF4E93">
              <w:rPr>
                <w:color w:val="000000"/>
                <w:sz w:val="22"/>
                <w:szCs w:val="22"/>
                <w:lang w:eastAsia="en-US"/>
              </w:rPr>
              <w:t xml:space="preserve"> </w:t>
            </w:r>
            <w:proofErr w:type="spellStart"/>
            <w:r w:rsidRPr="00FF4E93">
              <w:rPr>
                <w:color w:val="000000"/>
                <w:sz w:val="22"/>
                <w:szCs w:val="22"/>
                <w:lang w:eastAsia="en-US"/>
              </w:rPr>
              <w:t>and</w:t>
            </w:r>
            <w:proofErr w:type="spellEnd"/>
            <w:r w:rsidRPr="00FF4E93">
              <w:rPr>
                <w:color w:val="000000"/>
                <w:sz w:val="22"/>
                <w:szCs w:val="22"/>
                <w:lang w:eastAsia="en-US"/>
              </w:rPr>
              <w:t xml:space="preserve"> private </w:t>
            </w:r>
            <w:proofErr w:type="spellStart"/>
            <w:r w:rsidRPr="00FF4E93">
              <w:rPr>
                <w:color w:val="000000"/>
                <w:sz w:val="22"/>
                <w:szCs w:val="22"/>
                <w:lang w:eastAsia="en-US"/>
              </w:rPr>
              <w:t>interest</w:t>
            </w:r>
            <w:proofErr w:type="spellEnd"/>
            <w:r w:rsidRPr="00FF4E93">
              <w:rPr>
                <w:color w:val="000000"/>
                <w:sz w:val="22"/>
                <w:szCs w:val="22"/>
                <w:lang w:eastAsia="en-US"/>
              </w:rPr>
              <w:t xml:space="preserve"> </w:t>
            </w:r>
            <w:proofErr w:type="spellStart"/>
            <w:r w:rsidRPr="00FF4E93">
              <w:rPr>
                <w:color w:val="000000"/>
                <w:sz w:val="22"/>
                <w:szCs w:val="22"/>
                <w:lang w:eastAsia="en-US"/>
              </w:rPr>
              <w:t>groups</w:t>
            </w:r>
            <w:proofErr w:type="spellEnd"/>
            <w:r w:rsidRPr="00FF4E93">
              <w:rPr>
                <w:color w:val="000000"/>
                <w:sz w:val="22"/>
                <w:szCs w:val="22"/>
                <w:lang w:eastAsia="en-US"/>
              </w:rPr>
              <w:t>.</w:t>
            </w:r>
          </w:p>
        </w:tc>
        <w:tc>
          <w:tcPr>
            <w:tcW w:w="6202" w:type="dxa"/>
          </w:tcPr>
          <w:p w14:paraId="5CEBF30C" w14:textId="77777777" w:rsidR="00151DC1" w:rsidRPr="00FF4E93" w:rsidRDefault="00151DC1" w:rsidP="00151DC1">
            <w:pPr>
              <w:widowControl w:val="0"/>
              <w:autoSpaceDE w:val="0"/>
              <w:autoSpaceDN w:val="0"/>
              <w:adjustRightInd w:val="0"/>
              <w:spacing w:before="0" w:after="0" w:line="200" w:lineRule="atLeast"/>
              <w:rPr>
                <w:i/>
                <w:color w:val="000000"/>
                <w:sz w:val="22"/>
                <w:szCs w:val="22"/>
                <w:lang w:eastAsia="en-US"/>
              </w:rPr>
            </w:pPr>
            <w:proofErr w:type="spellStart"/>
            <w:r w:rsidRPr="00FF4E93">
              <w:rPr>
                <w:i/>
                <w:color w:val="000000"/>
                <w:sz w:val="22"/>
                <w:szCs w:val="22"/>
                <w:lang w:eastAsia="en-US"/>
              </w:rPr>
              <w:t>MindMotion</w:t>
            </w:r>
            <w:proofErr w:type="spellEnd"/>
            <w:r w:rsidRPr="00FF4E93">
              <w:rPr>
                <w:i/>
                <w:color w:val="000000"/>
                <w:sz w:val="22"/>
                <w:szCs w:val="22"/>
                <w:lang w:eastAsia="en-US"/>
              </w:rPr>
              <w:t xml:space="preserve">™ </w:t>
            </w:r>
            <w:proofErr w:type="spellStart"/>
            <w:r w:rsidRPr="00FF4E93">
              <w:rPr>
                <w:i/>
                <w:color w:val="000000"/>
                <w:sz w:val="22"/>
                <w:szCs w:val="22"/>
                <w:lang w:eastAsia="en-US"/>
              </w:rPr>
              <w:t>neurorehabilitation</w:t>
            </w:r>
            <w:proofErr w:type="spellEnd"/>
            <w:r w:rsidRPr="00FF4E93">
              <w:rPr>
                <w:i/>
                <w:color w:val="000000"/>
                <w:sz w:val="22"/>
                <w:szCs w:val="22"/>
                <w:lang w:eastAsia="en-US"/>
              </w:rPr>
              <w:t xml:space="preserve"> </w:t>
            </w:r>
            <w:proofErr w:type="spellStart"/>
            <w:r w:rsidRPr="00FF4E93">
              <w:rPr>
                <w:i/>
                <w:color w:val="000000"/>
                <w:sz w:val="22"/>
                <w:szCs w:val="22"/>
                <w:lang w:eastAsia="en-US"/>
              </w:rPr>
              <w:t>platform</w:t>
            </w:r>
            <w:proofErr w:type="spellEnd"/>
            <w:r w:rsidRPr="00FF4E93">
              <w:rPr>
                <w:i/>
                <w:color w:val="000000"/>
                <w:sz w:val="22"/>
                <w:szCs w:val="22"/>
                <w:lang w:eastAsia="en-US"/>
              </w:rPr>
              <w:t xml:space="preserve"> </w:t>
            </w:r>
            <w:proofErr w:type="spellStart"/>
            <w:r w:rsidRPr="00FF4E93">
              <w:rPr>
                <w:i/>
                <w:color w:val="000000"/>
                <w:sz w:val="22"/>
                <w:szCs w:val="22"/>
                <w:lang w:eastAsia="en-US"/>
              </w:rPr>
              <w:t>is</w:t>
            </w:r>
            <w:proofErr w:type="spellEnd"/>
            <w:r w:rsidRPr="00FF4E93">
              <w:rPr>
                <w:i/>
                <w:color w:val="000000"/>
                <w:sz w:val="22"/>
                <w:szCs w:val="22"/>
                <w:lang w:eastAsia="en-US"/>
              </w:rPr>
              <w:t xml:space="preserve"> </w:t>
            </w:r>
            <w:proofErr w:type="spellStart"/>
            <w:r w:rsidRPr="00FF4E93">
              <w:rPr>
                <w:i/>
                <w:color w:val="000000"/>
                <w:sz w:val="22"/>
                <w:szCs w:val="22"/>
                <w:lang w:eastAsia="en-US"/>
              </w:rPr>
              <w:t>our</w:t>
            </w:r>
            <w:proofErr w:type="spellEnd"/>
            <w:r w:rsidRPr="00FF4E93">
              <w:rPr>
                <w:i/>
                <w:color w:val="000000"/>
                <w:sz w:val="22"/>
                <w:szCs w:val="22"/>
                <w:lang w:eastAsia="en-US"/>
              </w:rPr>
              <w:t xml:space="preserve"> </w:t>
            </w:r>
            <w:proofErr w:type="spellStart"/>
            <w:r w:rsidRPr="00FF4E93">
              <w:rPr>
                <w:i/>
                <w:color w:val="000000"/>
                <w:sz w:val="22"/>
                <w:szCs w:val="22"/>
                <w:lang w:eastAsia="en-US"/>
              </w:rPr>
              <w:t>neurorehabilitation</w:t>
            </w:r>
            <w:proofErr w:type="spellEnd"/>
            <w:r w:rsidRPr="00FF4E93">
              <w:rPr>
                <w:i/>
                <w:color w:val="000000"/>
                <w:sz w:val="22"/>
                <w:szCs w:val="22"/>
                <w:lang w:eastAsia="en-US"/>
              </w:rPr>
              <w:t xml:space="preserve"> </w:t>
            </w:r>
            <w:proofErr w:type="spellStart"/>
            <w:r w:rsidRPr="00FF4E93">
              <w:rPr>
                <w:i/>
                <w:color w:val="000000"/>
                <w:sz w:val="22"/>
                <w:szCs w:val="22"/>
                <w:lang w:eastAsia="en-US"/>
              </w:rPr>
              <w:t>solution</w:t>
            </w:r>
            <w:proofErr w:type="spellEnd"/>
            <w:r w:rsidRPr="00FF4E93">
              <w:rPr>
                <w:i/>
                <w:color w:val="000000"/>
                <w:sz w:val="22"/>
                <w:szCs w:val="22"/>
                <w:lang w:eastAsia="en-US"/>
              </w:rPr>
              <w:t xml:space="preserve"> </w:t>
            </w:r>
            <w:proofErr w:type="spellStart"/>
            <w:r w:rsidRPr="00FF4E93">
              <w:rPr>
                <w:i/>
                <w:color w:val="000000"/>
                <w:sz w:val="22"/>
                <w:szCs w:val="22"/>
                <w:lang w:eastAsia="en-US"/>
              </w:rPr>
              <w:t>using</w:t>
            </w:r>
            <w:proofErr w:type="spellEnd"/>
            <w:r w:rsidRPr="00FF4E93">
              <w:rPr>
                <w:i/>
                <w:color w:val="000000"/>
                <w:sz w:val="22"/>
                <w:szCs w:val="22"/>
                <w:lang w:eastAsia="en-US"/>
              </w:rPr>
              <w:t xml:space="preserve"> </w:t>
            </w:r>
            <w:proofErr w:type="spellStart"/>
            <w:r w:rsidRPr="00FF4E93">
              <w:rPr>
                <w:i/>
                <w:color w:val="000000"/>
                <w:sz w:val="22"/>
                <w:szCs w:val="22"/>
                <w:lang w:eastAsia="en-US"/>
              </w:rPr>
              <w:t>virtual</w:t>
            </w:r>
            <w:proofErr w:type="spellEnd"/>
            <w:r w:rsidRPr="00FF4E93">
              <w:rPr>
                <w:i/>
                <w:color w:val="000000"/>
                <w:sz w:val="22"/>
                <w:szCs w:val="22"/>
                <w:lang w:eastAsia="en-US"/>
              </w:rPr>
              <w:t xml:space="preserve"> </w:t>
            </w:r>
            <w:proofErr w:type="spellStart"/>
            <w:r w:rsidRPr="00FF4E93">
              <w:rPr>
                <w:i/>
                <w:color w:val="000000"/>
                <w:sz w:val="22"/>
                <w:szCs w:val="22"/>
                <w:lang w:eastAsia="en-US"/>
              </w:rPr>
              <w:t>environment-based</w:t>
            </w:r>
            <w:proofErr w:type="spellEnd"/>
            <w:r w:rsidRPr="00FF4E93">
              <w:rPr>
                <w:i/>
                <w:color w:val="000000"/>
                <w:sz w:val="22"/>
                <w:szCs w:val="22"/>
                <w:lang w:eastAsia="en-US"/>
              </w:rPr>
              <w:t xml:space="preserve"> </w:t>
            </w:r>
            <w:proofErr w:type="spellStart"/>
            <w:r w:rsidRPr="00FF4E93">
              <w:rPr>
                <w:i/>
                <w:color w:val="000000"/>
                <w:sz w:val="22"/>
                <w:szCs w:val="22"/>
                <w:lang w:eastAsia="en-US"/>
              </w:rPr>
              <w:t>technology</w:t>
            </w:r>
            <w:proofErr w:type="spellEnd"/>
            <w:r w:rsidRPr="00FF4E93">
              <w:rPr>
                <w:i/>
                <w:color w:val="000000"/>
                <w:sz w:val="22"/>
                <w:szCs w:val="22"/>
                <w:lang w:eastAsia="en-US"/>
              </w:rPr>
              <w:t xml:space="preserve">. </w:t>
            </w:r>
            <w:proofErr w:type="spellStart"/>
            <w:r w:rsidRPr="00FF4E93">
              <w:rPr>
                <w:i/>
                <w:color w:val="000000"/>
                <w:sz w:val="22"/>
                <w:szCs w:val="22"/>
                <w:lang w:eastAsia="en-US"/>
              </w:rPr>
              <w:t>It</w:t>
            </w:r>
            <w:proofErr w:type="spellEnd"/>
            <w:r w:rsidRPr="00FF4E93">
              <w:rPr>
                <w:i/>
                <w:color w:val="000000"/>
                <w:sz w:val="22"/>
                <w:szCs w:val="22"/>
                <w:lang w:eastAsia="en-US"/>
              </w:rPr>
              <w:t xml:space="preserve"> </w:t>
            </w:r>
            <w:proofErr w:type="spellStart"/>
            <w:r w:rsidRPr="00FF4E93">
              <w:rPr>
                <w:b/>
                <w:bCs/>
                <w:i/>
                <w:color w:val="000000"/>
                <w:sz w:val="22"/>
                <w:szCs w:val="22"/>
                <w:lang w:eastAsia="en-US"/>
              </w:rPr>
              <w:t>improves</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patients</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motivation</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and</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engagement</w:t>
            </w:r>
            <w:proofErr w:type="spellEnd"/>
            <w:r w:rsidRPr="00FF4E93">
              <w:rPr>
                <w:i/>
                <w:color w:val="000000"/>
                <w:sz w:val="22"/>
                <w:szCs w:val="22"/>
                <w:lang w:eastAsia="en-US"/>
              </w:rPr>
              <w:t xml:space="preserve"> </w:t>
            </w:r>
            <w:proofErr w:type="spellStart"/>
            <w:r w:rsidRPr="00FF4E93">
              <w:rPr>
                <w:i/>
                <w:color w:val="000000"/>
                <w:sz w:val="22"/>
                <w:szCs w:val="22"/>
                <w:lang w:eastAsia="en-US"/>
              </w:rPr>
              <w:t>towards</w:t>
            </w:r>
            <w:proofErr w:type="spellEnd"/>
            <w:r w:rsidRPr="00FF4E93">
              <w:rPr>
                <w:i/>
                <w:color w:val="000000"/>
                <w:sz w:val="22"/>
                <w:szCs w:val="22"/>
                <w:lang w:eastAsia="en-US"/>
              </w:rPr>
              <w:t xml:space="preserve"> </w:t>
            </w:r>
            <w:proofErr w:type="spellStart"/>
            <w:r w:rsidRPr="00FF4E93">
              <w:rPr>
                <w:i/>
                <w:color w:val="000000"/>
                <w:sz w:val="22"/>
                <w:szCs w:val="22"/>
                <w:lang w:eastAsia="en-US"/>
              </w:rPr>
              <w:t>their</w:t>
            </w:r>
            <w:proofErr w:type="spellEnd"/>
            <w:r w:rsidRPr="00FF4E93">
              <w:rPr>
                <w:i/>
                <w:color w:val="000000"/>
                <w:sz w:val="22"/>
                <w:szCs w:val="22"/>
                <w:lang w:eastAsia="en-US"/>
              </w:rPr>
              <w:t xml:space="preserve"> </w:t>
            </w:r>
            <w:proofErr w:type="spellStart"/>
            <w:r w:rsidRPr="00FF4E93">
              <w:rPr>
                <w:i/>
                <w:color w:val="000000"/>
                <w:sz w:val="22"/>
                <w:szCs w:val="22"/>
                <w:lang w:eastAsia="en-US"/>
              </w:rPr>
              <w:t>recovery</w:t>
            </w:r>
            <w:proofErr w:type="spellEnd"/>
            <w:r w:rsidRPr="00FF4E93">
              <w:rPr>
                <w:i/>
                <w:color w:val="000000"/>
                <w:sz w:val="22"/>
                <w:szCs w:val="22"/>
                <w:lang w:eastAsia="en-US"/>
              </w:rPr>
              <w:t xml:space="preserve">. </w:t>
            </w:r>
            <w:proofErr w:type="spellStart"/>
            <w:r w:rsidRPr="00FF4E93">
              <w:rPr>
                <w:i/>
                <w:color w:val="000000"/>
                <w:sz w:val="22"/>
                <w:szCs w:val="22"/>
                <w:lang w:eastAsia="en-US"/>
              </w:rPr>
              <w:t>It</w:t>
            </w:r>
            <w:proofErr w:type="spellEnd"/>
            <w:r w:rsidRPr="00FF4E93">
              <w:rPr>
                <w:i/>
                <w:color w:val="000000"/>
                <w:sz w:val="22"/>
                <w:szCs w:val="22"/>
                <w:lang w:eastAsia="en-US"/>
              </w:rPr>
              <w:t xml:space="preserve"> </w:t>
            </w:r>
            <w:proofErr w:type="spellStart"/>
            <w:r w:rsidRPr="00FF4E93">
              <w:rPr>
                <w:b/>
                <w:bCs/>
                <w:i/>
                <w:color w:val="000000"/>
                <w:sz w:val="22"/>
                <w:szCs w:val="22"/>
                <w:lang w:eastAsia="en-US"/>
              </w:rPr>
              <w:t>helps</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healthcare</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providers</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to</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deliver</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optimized</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therapy</w:t>
            </w:r>
            <w:proofErr w:type="spellEnd"/>
            <w:r w:rsidRPr="00FF4E93">
              <w:rPr>
                <w:i/>
                <w:color w:val="000000"/>
                <w:sz w:val="22"/>
                <w:szCs w:val="22"/>
                <w:lang w:eastAsia="en-US"/>
              </w:rPr>
              <w:t xml:space="preserve"> </w:t>
            </w:r>
            <w:proofErr w:type="spellStart"/>
            <w:r w:rsidRPr="00FF4E93">
              <w:rPr>
                <w:i/>
                <w:color w:val="000000"/>
                <w:sz w:val="22"/>
                <w:szCs w:val="22"/>
                <w:lang w:eastAsia="en-US"/>
              </w:rPr>
              <w:t>throughout</w:t>
            </w:r>
            <w:proofErr w:type="spellEnd"/>
            <w:r w:rsidRPr="00FF4E93">
              <w:rPr>
                <w:i/>
                <w:color w:val="000000"/>
                <w:sz w:val="22"/>
                <w:szCs w:val="22"/>
                <w:lang w:eastAsia="en-US"/>
              </w:rPr>
              <w:t xml:space="preserve"> </w:t>
            </w:r>
            <w:proofErr w:type="spellStart"/>
            <w:r w:rsidRPr="00FF4E93">
              <w:rPr>
                <w:i/>
                <w:color w:val="000000"/>
                <w:sz w:val="22"/>
                <w:szCs w:val="22"/>
                <w:lang w:eastAsia="en-US"/>
              </w:rPr>
              <w:t>the</w:t>
            </w:r>
            <w:proofErr w:type="spellEnd"/>
            <w:r w:rsidRPr="00FF4E93">
              <w:rPr>
                <w:i/>
                <w:color w:val="000000"/>
                <w:sz w:val="22"/>
                <w:szCs w:val="22"/>
                <w:lang w:eastAsia="en-US"/>
              </w:rPr>
              <w:t xml:space="preserve"> </w:t>
            </w:r>
            <w:proofErr w:type="spellStart"/>
            <w:r w:rsidRPr="00FF4E93">
              <w:rPr>
                <w:i/>
                <w:color w:val="000000"/>
                <w:sz w:val="22"/>
                <w:szCs w:val="22"/>
                <w:lang w:eastAsia="en-US"/>
              </w:rPr>
              <w:t>patient</w:t>
            </w:r>
            <w:proofErr w:type="spellEnd"/>
            <w:r w:rsidRPr="00FF4E93">
              <w:rPr>
                <w:i/>
                <w:color w:val="000000"/>
                <w:sz w:val="22"/>
                <w:szCs w:val="22"/>
                <w:lang w:eastAsia="en-US"/>
              </w:rPr>
              <w:t xml:space="preserve"> </w:t>
            </w:r>
            <w:proofErr w:type="spellStart"/>
            <w:r w:rsidRPr="00FF4E93">
              <w:rPr>
                <w:i/>
                <w:color w:val="000000"/>
                <w:sz w:val="22"/>
                <w:szCs w:val="22"/>
                <w:lang w:eastAsia="en-US"/>
              </w:rPr>
              <w:t>continuum</w:t>
            </w:r>
            <w:proofErr w:type="spellEnd"/>
            <w:r w:rsidRPr="00FF4E93">
              <w:rPr>
                <w:i/>
                <w:color w:val="000000"/>
                <w:sz w:val="22"/>
                <w:szCs w:val="22"/>
                <w:lang w:eastAsia="en-US"/>
              </w:rPr>
              <w:t xml:space="preserve"> </w:t>
            </w:r>
            <w:proofErr w:type="spellStart"/>
            <w:r w:rsidRPr="00FF4E93">
              <w:rPr>
                <w:i/>
                <w:color w:val="000000"/>
                <w:sz w:val="22"/>
                <w:szCs w:val="22"/>
                <w:lang w:eastAsia="en-US"/>
              </w:rPr>
              <w:t>of</w:t>
            </w:r>
            <w:proofErr w:type="spellEnd"/>
            <w:r w:rsidRPr="00FF4E93">
              <w:rPr>
                <w:i/>
                <w:color w:val="000000"/>
                <w:sz w:val="22"/>
                <w:szCs w:val="22"/>
                <w:lang w:eastAsia="en-US"/>
              </w:rPr>
              <w:t xml:space="preserve"> care. </w:t>
            </w:r>
          </w:p>
        </w:tc>
      </w:tr>
      <w:tr w:rsidR="00151DC1" w:rsidRPr="00FF4E93" w14:paraId="415ED4DD" w14:textId="77777777" w:rsidTr="00C54569">
        <w:trPr>
          <w:trHeight w:val="181"/>
        </w:trPr>
        <w:tc>
          <w:tcPr>
            <w:tcW w:w="2405" w:type="dxa"/>
          </w:tcPr>
          <w:p w14:paraId="13BE8C28" w14:textId="77777777" w:rsidR="00151DC1" w:rsidRPr="00FF4E93" w:rsidRDefault="00151DC1" w:rsidP="00151DC1">
            <w:pPr>
              <w:spacing w:before="0" w:after="0"/>
              <w:rPr>
                <w:bCs/>
                <w:color w:val="000000"/>
                <w:sz w:val="22"/>
                <w:szCs w:val="22"/>
                <w:lang w:eastAsia="en-US"/>
              </w:rPr>
            </w:pPr>
            <w:r w:rsidRPr="00FF4E93">
              <w:rPr>
                <w:bCs/>
                <w:color w:val="000000"/>
                <w:sz w:val="22"/>
                <w:szCs w:val="22"/>
                <w:lang w:eastAsia="en-US"/>
              </w:rPr>
              <w:t xml:space="preserve">Sensor </w:t>
            </w:r>
            <w:proofErr w:type="spellStart"/>
            <w:r w:rsidRPr="00FF4E93">
              <w:rPr>
                <w:bCs/>
                <w:color w:val="000000"/>
                <w:sz w:val="22"/>
                <w:szCs w:val="22"/>
                <w:lang w:eastAsia="en-US"/>
              </w:rPr>
              <w:t>as</w:t>
            </w:r>
            <w:proofErr w:type="spellEnd"/>
            <w:r w:rsidRPr="00FF4E93">
              <w:rPr>
                <w:bCs/>
                <w:color w:val="000000"/>
                <w:sz w:val="22"/>
                <w:szCs w:val="22"/>
                <w:lang w:eastAsia="en-US"/>
              </w:rPr>
              <w:t xml:space="preserve"> a Service</w:t>
            </w:r>
          </w:p>
          <w:p w14:paraId="1013894A" w14:textId="77777777" w:rsidR="00151DC1" w:rsidRPr="00FF4E93" w:rsidRDefault="00151DC1" w:rsidP="00151DC1">
            <w:pPr>
              <w:widowControl w:val="0"/>
              <w:autoSpaceDE w:val="0"/>
              <w:autoSpaceDN w:val="0"/>
              <w:adjustRightInd w:val="0"/>
              <w:spacing w:before="0" w:after="0" w:line="200" w:lineRule="atLeast"/>
              <w:jc w:val="left"/>
              <w:rPr>
                <w:color w:val="000000"/>
                <w:sz w:val="22"/>
                <w:szCs w:val="22"/>
                <w:lang w:eastAsia="en-US"/>
              </w:rPr>
            </w:pPr>
            <w:proofErr w:type="spellStart"/>
            <w:r w:rsidRPr="00FF4E93">
              <w:rPr>
                <w:i/>
                <w:iCs/>
                <w:color w:val="000000"/>
                <w:sz w:val="22"/>
                <w:szCs w:val="22"/>
                <w:lang w:eastAsia="en-US"/>
              </w:rPr>
              <w:t>Streetline</w:t>
            </w:r>
            <w:proofErr w:type="spellEnd"/>
            <w:r w:rsidRPr="00FF4E93">
              <w:rPr>
                <w:i/>
                <w:iCs/>
                <w:color w:val="000000"/>
                <w:sz w:val="22"/>
                <w:szCs w:val="22"/>
                <w:lang w:eastAsia="en-US"/>
              </w:rPr>
              <w:t>, Google Nest</w:t>
            </w:r>
          </w:p>
        </w:tc>
        <w:tc>
          <w:tcPr>
            <w:tcW w:w="5670" w:type="dxa"/>
          </w:tcPr>
          <w:p w14:paraId="58869C8B" w14:textId="77777777" w:rsidR="00151DC1" w:rsidRPr="00FF4E93" w:rsidRDefault="00151DC1" w:rsidP="00151DC1">
            <w:pPr>
              <w:widowControl w:val="0"/>
              <w:autoSpaceDE w:val="0"/>
              <w:autoSpaceDN w:val="0"/>
              <w:adjustRightInd w:val="0"/>
              <w:spacing w:before="0" w:after="0" w:line="200" w:lineRule="atLeast"/>
              <w:rPr>
                <w:color w:val="000000"/>
                <w:sz w:val="22"/>
                <w:szCs w:val="22"/>
                <w:lang w:eastAsia="en-US"/>
              </w:rPr>
            </w:pPr>
            <w:r w:rsidRPr="00FF4E93">
              <w:rPr>
                <w:color w:val="000000"/>
                <w:sz w:val="22"/>
                <w:szCs w:val="22"/>
                <w:lang w:eastAsia="en-US"/>
              </w:rPr>
              <w:t xml:space="preserve">The </w:t>
            </w:r>
            <w:proofErr w:type="spellStart"/>
            <w:r w:rsidRPr="00FF4E93">
              <w:rPr>
                <w:color w:val="000000"/>
                <w:sz w:val="22"/>
                <w:szCs w:val="22"/>
                <w:lang w:eastAsia="en-US"/>
              </w:rPr>
              <w:t>use</w:t>
            </w:r>
            <w:proofErr w:type="spellEnd"/>
            <w:r w:rsidRPr="00FF4E93">
              <w:rPr>
                <w:color w:val="000000"/>
                <w:sz w:val="22"/>
                <w:szCs w:val="22"/>
                <w:lang w:eastAsia="en-US"/>
              </w:rPr>
              <w:t xml:space="preserve"> </w:t>
            </w:r>
            <w:proofErr w:type="spellStart"/>
            <w:r w:rsidRPr="00FF4E93">
              <w:rPr>
                <w:color w:val="000000"/>
                <w:sz w:val="22"/>
                <w:szCs w:val="22"/>
                <w:lang w:eastAsia="en-US"/>
              </w:rPr>
              <w:t>of</w:t>
            </w:r>
            <w:proofErr w:type="spellEnd"/>
            <w:r w:rsidRPr="00FF4E93">
              <w:rPr>
                <w:color w:val="000000"/>
                <w:sz w:val="22"/>
                <w:szCs w:val="22"/>
                <w:lang w:eastAsia="en-US"/>
              </w:rPr>
              <w:t xml:space="preserve"> </w:t>
            </w:r>
            <w:proofErr w:type="spellStart"/>
            <w:r w:rsidRPr="00FF4E93">
              <w:rPr>
                <w:color w:val="000000"/>
                <w:sz w:val="22"/>
                <w:szCs w:val="22"/>
                <w:lang w:eastAsia="en-US"/>
              </w:rPr>
              <w:t>sensors</w:t>
            </w:r>
            <w:proofErr w:type="spellEnd"/>
            <w:r w:rsidRPr="00FF4E93">
              <w:rPr>
                <w:color w:val="000000"/>
                <w:sz w:val="22"/>
                <w:szCs w:val="22"/>
                <w:lang w:eastAsia="en-US"/>
              </w:rPr>
              <w:t xml:space="preserve"> </w:t>
            </w:r>
            <w:proofErr w:type="spellStart"/>
            <w:r w:rsidRPr="00FF4E93">
              <w:rPr>
                <w:color w:val="000000"/>
                <w:sz w:val="22"/>
                <w:szCs w:val="22"/>
                <w:lang w:eastAsia="en-US"/>
              </w:rPr>
              <w:t>permits</w:t>
            </w:r>
            <w:proofErr w:type="spellEnd"/>
            <w:r w:rsidRPr="00FF4E93">
              <w:rPr>
                <w:color w:val="000000"/>
                <w:sz w:val="22"/>
                <w:szCs w:val="22"/>
                <w:lang w:eastAsia="en-US"/>
              </w:rPr>
              <w:t xml:space="preserve"> additional </w:t>
            </w:r>
            <w:proofErr w:type="spellStart"/>
            <w:r w:rsidRPr="00FF4E93">
              <w:rPr>
                <w:color w:val="000000"/>
                <w:sz w:val="22"/>
                <w:szCs w:val="22"/>
                <w:lang w:eastAsia="en-US"/>
              </w:rPr>
              <w:t>services</w:t>
            </w:r>
            <w:proofErr w:type="spellEnd"/>
            <w:r w:rsidRPr="00FF4E93">
              <w:rPr>
                <w:color w:val="000000"/>
                <w:sz w:val="22"/>
                <w:szCs w:val="22"/>
                <w:lang w:eastAsia="en-US"/>
              </w:rPr>
              <w:t xml:space="preserve"> </w:t>
            </w:r>
            <w:proofErr w:type="spellStart"/>
            <w:r w:rsidRPr="00FF4E93">
              <w:rPr>
                <w:color w:val="000000"/>
                <w:sz w:val="22"/>
                <w:szCs w:val="22"/>
                <w:lang w:eastAsia="en-US"/>
              </w:rPr>
              <w:t>for</w:t>
            </w:r>
            <w:proofErr w:type="spellEnd"/>
            <w:r w:rsidRPr="00FF4E93">
              <w:rPr>
                <w:color w:val="000000"/>
                <w:sz w:val="22"/>
                <w:szCs w:val="22"/>
                <w:lang w:eastAsia="en-US"/>
              </w:rPr>
              <w:t xml:space="preserve"> </w:t>
            </w:r>
            <w:proofErr w:type="spellStart"/>
            <w:r w:rsidRPr="00FF4E93">
              <w:rPr>
                <w:color w:val="000000"/>
                <w:sz w:val="22"/>
                <w:szCs w:val="22"/>
                <w:lang w:eastAsia="en-US"/>
              </w:rPr>
              <w:t>physical</w:t>
            </w:r>
            <w:proofErr w:type="spellEnd"/>
            <w:r w:rsidRPr="00FF4E93">
              <w:rPr>
                <w:color w:val="000000"/>
                <w:sz w:val="22"/>
                <w:szCs w:val="22"/>
                <w:lang w:eastAsia="en-US"/>
              </w:rPr>
              <w:t xml:space="preserve"> </w:t>
            </w:r>
            <w:proofErr w:type="spellStart"/>
            <w:r w:rsidRPr="00FF4E93">
              <w:rPr>
                <w:color w:val="000000"/>
                <w:sz w:val="22"/>
                <w:szCs w:val="22"/>
                <w:lang w:eastAsia="en-US"/>
              </w:rPr>
              <w:t>offerings</w:t>
            </w:r>
            <w:proofErr w:type="spellEnd"/>
            <w:r w:rsidRPr="00FF4E93">
              <w:rPr>
                <w:color w:val="000000"/>
                <w:sz w:val="22"/>
                <w:szCs w:val="22"/>
                <w:lang w:eastAsia="en-US"/>
              </w:rPr>
              <w:t xml:space="preserve">, </w:t>
            </w:r>
            <w:proofErr w:type="spellStart"/>
            <w:r w:rsidRPr="00FF4E93">
              <w:rPr>
                <w:color w:val="000000"/>
                <w:sz w:val="22"/>
                <w:szCs w:val="22"/>
                <w:lang w:eastAsia="en-US"/>
              </w:rPr>
              <w:t>or</w:t>
            </w:r>
            <w:proofErr w:type="spellEnd"/>
            <w:r w:rsidRPr="00FF4E93">
              <w:rPr>
                <w:color w:val="000000"/>
                <w:sz w:val="22"/>
                <w:szCs w:val="22"/>
                <w:lang w:eastAsia="en-US"/>
              </w:rPr>
              <w:t xml:space="preserve"> </w:t>
            </w:r>
            <w:proofErr w:type="spellStart"/>
            <w:r w:rsidRPr="00FF4E93">
              <w:rPr>
                <w:color w:val="000000"/>
                <w:sz w:val="22"/>
                <w:szCs w:val="22"/>
                <w:lang w:eastAsia="en-US"/>
              </w:rPr>
              <w:t>wholly</w:t>
            </w:r>
            <w:proofErr w:type="spellEnd"/>
            <w:r w:rsidRPr="00FF4E93">
              <w:rPr>
                <w:color w:val="000000"/>
                <w:sz w:val="22"/>
                <w:szCs w:val="22"/>
                <w:lang w:eastAsia="en-US"/>
              </w:rPr>
              <w:t xml:space="preserve"> </w:t>
            </w:r>
            <w:proofErr w:type="spellStart"/>
            <w:r w:rsidRPr="00FF4E93">
              <w:rPr>
                <w:color w:val="000000"/>
                <w:sz w:val="22"/>
                <w:szCs w:val="22"/>
                <w:lang w:eastAsia="en-US"/>
              </w:rPr>
              <w:t>new</w:t>
            </w:r>
            <w:proofErr w:type="spellEnd"/>
            <w:r w:rsidRPr="00FF4E93">
              <w:rPr>
                <w:color w:val="000000"/>
                <w:sz w:val="22"/>
                <w:szCs w:val="22"/>
                <w:lang w:eastAsia="en-US"/>
              </w:rPr>
              <w:t xml:space="preserve"> </w:t>
            </w:r>
            <w:proofErr w:type="spellStart"/>
            <w:r w:rsidRPr="00FF4E93">
              <w:rPr>
                <w:color w:val="000000"/>
                <w:sz w:val="22"/>
                <w:szCs w:val="22"/>
                <w:lang w:eastAsia="en-US"/>
              </w:rPr>
              <w:t>independent</w:t>
            </w:r>
            <w:proofErr w:type="spellEnd"/>
            <w:r w:rsidRPr="00FF4E93">
              <w:rPr>
                <w:color w:val="000000"/>
                <w:sz w:val="22"/>
                <w:szCs w:val="22"/>
                <w:lang w:eastAsia="en-US"/>
              </w:rPr>
              <w:t xml:space="preserve"> </w:t>
            </w:r>
            <w:proofErr w:type="spellStart"/>
            <w:r w:rsidRPr="00FF4E93">
              <w:rPr>
                <w:color w:val="000000"/>
                <w:sz w:val="22"/>
                <w:szCs w:val="22"/>
                <w:lang w:eastAsia="en-US"/>
              </w:rPr>
              <w:t>services</w:t>
            </w:r>
            <w:proofErr w:type="spellEnd"/>
            <w:r w:rsidRPr="00FF4E93">
              <w:rPr>
                <w:color w:val="000000"/>
                <w:sz w:val="22"/>
                <w:szCs w:val="22"/>
                <w:lang w:eastAsia="en-US"/>
              </w:rPr>
              <w:t xml:space="preserve">. </w:t>
            </w:r>
            <w:proofErr w:type="spellStart"/>
            <w:r w:rsidRPr="00FF4E93">
              <w:rPr>
                <w:color w:val="000000"/>
                <w:sz w:val="22"/>
                <w:szCs w:val="22"/>
                <w:lang w:eastAsia="en-US"/>
              </w:rPr>
              <w:t>It</w:t>
            </w:r>
            <w:proofErr w:type="spellEnd"/>
            <w:r w:rsidRPr="00FF4E93">
              <w:rPr>
                <w:color w:val="000000"/>
                <w:sz w:val="22"/>
                <w:szCs w:val="22"/>
                <w:lang w:eastAsia="en-US"/>
              </w:rPr>
              <w:t xml:space="preserve"> </w:t>
            </w:r>
            <w:proofErr w:type="spellStart"/>
            <w:r w:rsidRPr="00FF4E93">
              <w:rPr>
                <w:color w:val="000000"/>
                <w:sz w:val="22"/>
                <w:szCs w:val="22"/>
                <w:lang w:eastAsia="en-US"/>
              </w:rPr>
              <w:t>is</w:t>
            </w:r>
            <w:proofErr w:type="spellEnd"/>
            <w:r w:rsidRPr="00FF4E93">
              <w:rPr>
                <w:color w:val="000000"/>
                <w:sz w:val="22"/>
                <w:szCs w:val="22"/>
                <w:lang w:eastAsia="en-US"/>
              </w:rPr>
              <w:t xml:space="preserve"> not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sensor</w:t>
            </w:r>
            <w:proofErr w:type="spellEnd"/>
            <w:r w:rsidRPr="00FF4E93">
              <w:rPr>
                <w:color w:val="000000"/>
                <w:sz w:val="22"/>
                <w:szCs w:val="22"/>
                <w:lang w:eastAsia="en-US"/>
              </w:rPr>
              <w:t xml:space="preserve"> </w:t>
            </w:r>
            <w:proofErr w:type="spellStart"/>
            <w:r w:rsidRPr="00FF4E93">
              <w:rPr>
                <w:color w:val="000000"/>
                <w:sz w:val="22"/>
                <w:szCs w:val="22"/>
                <w:lang w:eastAsia="en-US"/>
              </w:rPr>
              <w:t>that</w:t>
            </w:r>
            <w:proofErr w:type="spellEnd"/>
            <w:r w:rsidRPr="00FF4E93">
              <w:rPr>
                <w:color w:val="000000"/>
                <w:sz w:val="22"/>
                <w:szCs w:val="22"/>
                <w:lang w:eastAsia="en-US"/>
              </w:rPr>
              <w:t xml:space="preserve"> </w:t>
            </w:r>
            <w:proofErr w:type="spellStart"/>
            <w:r w:rsidRPr="00FF4E93">
              <w:rPr>
                <w:color w:val="000000"/>
                <w:sz w:val="22"/>
                <w:szCs w:val="22"/>
                <w:lang w:eastAsia="en-US"/>
              </w:rPr>
              <w:t>generates</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primary</w:t>
            </w:r>
            <w:proofErr w:type="spellEnd"/>
            <w:r w:rsidRPr="00FF4E93">
              <w:rPr>
                <w:color w:val="000000"/>
                <w:sz w:val="22"/>
                <w:szCs w:val="22"/>
                <w:lang w:eastAsia="en-US"/>
              </w:rPr>
              <w:t xml:space="preserve"> </w:t>
            </w:r>
            <w:proofErr w:type="spellStart"/>
            <w:r w:rsidRPr="00FF4E93">
              <w:rPr>
                <w:color w:val="000000"/>
                <w:sz w:val="22"/>
                <w:szCs w:val="22"/>
                <w:lang w:eastAsia="en-US"/>
              </w:rPr>
              <w:t>revenue</w:t>
            </w:r>
            <w:proofErr w:type="spellEnd"/>
            <w:r w:rsidRPr="00FF4E93">
              <w:rPr>
                <w:color w:val="000000"/>
                <w:sz w:val="22"/>
                <w:szCs w:val="22"/>
                <w:lang w:eastAsia="en-US"/>
              </w:rPr>
              <w:t xml:space="preserve">, but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analysis</w:t>
            </w:r>
            <w:proofErr w:type="spellEnd"/>
            <w:r w:rsidRPr="00FF4E93">
              <w:rPr>
                <w:color w:val="000000"/>
                <w:sz w:val="22"/>
                <w:szCs w:val="22"/>
                <w:lang w:eastAsia="en-US"/>
              </w:rPr>
              <w:t xml:space="preserve"> </w:t>
            </w:r>
            <w:proofErr w:type="spellStart"/>
            <w:r w:rsidRPr="00FF4E93">
              <w:rPr>
                <w:color w:val="000000"/>
                <w:sz w:val="22"/>
                <w:szCs w:val="22"/>
                <w:lang w:eastAsia="en-US"/>
              </w:rPr>
              <w:t>of</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data</w:t>
            </w:r>
            <w:proofErr w:type="spellEnd"/>
            <w:r w:rsidRPr="00FF4E93">
              <w:rPr>
                <w:color w:val="000000"/>
                <w:sz w:val="22"/>
                <w:szCs w:val="22"/>
                <w:lang w:eastAsia="en-US"/>
              </w:rPr>
              <w:t xml:space="preserve"> </w:t>
            </w:r>
            <w:proofErr w:type="spellStart"/>
            <w:r w:rsidRPr="00FF4E93">
              <w:rPr>
                <w:color w:val="000000"/>
                <w:sz w:val="22"/>
                <w:szCs w:val="22"/>
                <w:lang w:eastAsia="en-US"/>
              </w:rPr>
              <w:t>that</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sensor</w:t>
            </w:r>
            <w:proofErr w:type="spellEnd"/>
            <w:r w:rsidRPr="00FF4E93">
              <w:rPr>
                <w:color w:val="000000"/>
                <w:sz w:val="22"/>
                <w:szCs w:val="22"/>
                <w:lang w:eastAsia="en-US"/>
              </w:rPr>
              <w:t xml:space="preserve"> </w:t>
            </w:r>
            <w:proofErr w:type="spellStart"/>
            <w:r w:rsidRPr="00FF4E93">
              <w:rPr>
                <w:color w:val="000000"/>
                <w:sz w:val="22"/>
                <w:szCs w:val="22"/>
                <w:lang w:eastAsia="en-US"/>
              </w:rPr>
              <w:t>creates</w:t>
            </w:r>
            <w:proofErr w:type="spellEnd"/>
            <w:r w:rsidRPr="00FF4E93">
              <w:rPr>
                <w:color w:val="000000"/>
                <w:sz w:val="22"/>
                <w:szCs w:val="22"/>
                <w:lang w:eastAsia="en-US"/>
              </w:rPr>
              <w:t xml:space="preserve">. </w:t>
            </w:r>
            <w:proofErr w:type="spellStart"/>
            <w:r w:rsidRPr="00FF4E93">
              <w:rPr>
                <w:color w:val="000000"/>
                <w:sz w:val="22"/>
                <w:szCs w:val="22"/>
                <w:lang w:eastAsia="en-US"/>
              </w:rPr>
              <w:t>Possibilities</w:t>
            </w:r>
            <w:proofErr w:type="spellEnd"/>
            <w:r w:rsidRPr="00FF4E93">
              <w:rPr>
                <w:color w:val="000000"/>
                <w:sz w:val="22"/>
                <w:szCs w:val="22"/>
                <w:lang w:eastAsia="en-US"/>
              </w:rPr>
              <w:t xml:space="preserve"> </w:t>
            </w:r>
            <w:proofErr w:type="spellStart"/>
            <w:r w:rsidRPr="00FF4E93">
              <w:rPr>
                <w:color w:val="000000"/>
                <w:sz w:val="22"/>
                <w:szCs w:val="22"/>
                <w:lang w:eastAsia="en-US"/>
              </w:rPr>
              <w:t>for</w:t>
            </w:r>
            <w:proofErr w:type="spellEnd"/>
            <w:r w:rsidRPr="00FF4E93">
              <w:rPr>
                <w:color w:val="000000"/>
                <w:sz w:val="22"/>
                <w:szCs w:val="22"/>
                <w:lang w:eastAsia="en-US"/>
              </w:rPr>
              <w:t xml:space="preserve"> real-time </w:t>
            </w:r>
            <w:proofErr w:type="spellStart"/>
            <w:r w:rsidRPr="00FF4E93">
              <w:rPr>
                <w:color w:val="000000"/>
                <w:sz w:val="22"/>
                <w:szCs w:val="22"/>
                <w:lang w:eastAsia="en-US"/>
              </w:rPr>
              <w:t>information</w:t>
            </w:r>
            <w:proofErr w:type="spellEnd"/>
            <w:r w:rsidRPr="00FF4E93">
              <w:rPr>
                <w:color w:val="000000"/>
                <w:sz w:val="22"/>
                <w:szCs w:val="22"/>
                <w:lang w:eastAsia="en-US"/>
              </w:rPr>
              <w:t xml:space="preserve"> </w:t>
            </w:r>
            <w:proofErr w:type="spellStart"/>
            <w:r w:rsidRPr="00FF4E93">
              <w:rPr>
                <w:color w:val="000000"/>
                <w:sz w:val="22"/>
                <w:szCs w:val="22"/>
                <w:lang w:eastAsia="en-US"/>
              </w:rPr>
              <w:t>can</w:t>
            </w:r>
            <w:proofErr w:type="spellEnd"/>
            <w:r w:rsidRPr="00FF4E93">
              <w:rPr>
                <w:color w:val="000000"/>
                <w:sz w:val="22"/>
                <w:szCs w:val="22"/>
                <w:lang w:eastAsia="en-US"/>
              </w:rPr>
              <w:t xml:space="preserve"> </w:t>
            </w:r>
            <w:proofErr w:type="spellStart"/>
            <w:r w:rsidRPr="00FF4E93">
              <w:rPr>
                <w:color w:val="000000"/>
                <w:sz w:val="22"/>
                <w:szCs w:val="22"/>
                <w:lang w:eastAsia="en-US"/>
              </w:rPr>
              <w:t>further</w:t>
            </w:r>
            <w:proofErr w:type="spellEnd"/>
            <w:r w:rsidRPr="00FF4E93">
              <w:rPr>
                <w:color w:val="000000"/>
                <w:sz w:val="22"/>
                <w:szCs w:val="22"/>
                <w:lang w:eastAsia="en-US"/>
              </w:rPr>
              <w:t xml:space="preserve"> </w:t>
            </w:r>
            <w:proofErr w:type="spellStart"/>
            <w:r w:rsidRPr="00FF4E93">
              <w:rPr>
                <w:color w:val="000000"/>
                <w:sz w:val="22"/>
                <w:szCs w:val="22"/>
                <w:lang w:eastAsia="en-US"/>
              </w:rPr>
              <w:t>strengthen</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value</w:t>
            </w:r>
            <w:proofErr w:type="spellEnd"/>
            <w:r w:rsidRPr="00FF4E93">
              <w:rPr>
                <w:color w:val="000000"/>
                <w:sz w:val="22"/>
                <w:szCs w:val="22"/>
                <w:lang w:eastAsia="en-US"/>
              </w:rPr>
              <w:t xml:space="preserve"> </w:t>
            </w:r>
            <w:proofErr w:type="spellStart"/>
            <w:r w:rsidRPr="00FF4E93">
              <w:rPr>
                <w:color w:val="000000"/>
                <w:sz w:val="22"/>
                <w:szCs w:val="22"/>
                <w:lang w:eastAsia="en-US"/>
              </w:rPr>
              <w:t>proposition</w:t>
            </w:r>
            <w:proofErr w:type="spellEnd"/>
            <w:r w:rsidRPr="00FF4E93">
              <w:rPr>
                <w:color w:val="000000"/>
                <w:sz w:val="22"/>
                <w:szCs w:val="22"/>
                <w:lang w:eastAsia="en-US"/>
              </w:rPr>
              <w:t>.</w:t>
            </w:r>
          </w:p>
        </w:tc>
        <w:tc>
          <w:tcPr>
            <w:tcW w:w="6202" w:type="dxa"/>
          </w:tcPr>
          <w:p w14:paraId="3F307755" w14:textId="77777777" w:rsidR="00151DC1" w:rsidRPr="00FF4E93" w:rsidRDefault="00151DC1" w:rsidP="00151DC1">
            <w:pPr>
              <w:widowControl w:val="0"/>
              <w:autoSpaceDE w:val="0"/>
              <w:autoSpaceDN w:val="0"/>
              <w:adjustRightInd w:val="0"/>
              <w:spacing w:before="0" w:after="0" w:line="200" w:lineRule="atLeast"/>
              <w:rPr>
                <w:i/>
                <w:color w:val="000000"/>
                <w:sz w:val="22"/>
                <w:szCs w:val="22"/>
                <w:lang w:eastAsia="en-US"/>
              </w:rPr>
            </w:pPr>
            <w:proofErr w:type="spellStart"/>
            <w:r w:rsidRPr="00FF4E93">
              <w:rPr>
                <w:i/>
                <w:color w:val="000000"/>
                <w:sz w:val="22"/>
                <w:szCs w:val="22"/>
                <w:lang w:eastAsia="en-US"/>
              </w:rPr>
              <w:t>Our</w:t>
            </w:r>
            <w:proofErr w:type="spellEnd"/>
            <w:r w:rsidRPr="00FF4E93">
              <w:rPr>
                <w:i/>
                <w:color w:val="000000"/>
                <w:sz w:val="22"/>
                <w:szCs w:val="22"/>
                <w:lang w:eastAsia="en-US"/>
              </w:rPr>
              <w:t xml:space="preserve"> </w:t>
            </w:r>
            <w:proofErr w:type="spellStart"/>
            <w:r w:rsidRPr="00FF4E93">
              <w:rPr>
                <w:b/>
                <w:bCs/>
                <w:i/>
                <w:color w:val="000000"/>
                <w:sz w:val="22"/>
                <w:szCs w:val="22"/>
                <w:lang w:eastAsia="en-US"/>
              </w:rPr>
              <w:t>highly</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accurate</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motion</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capture</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sensors</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enable</w:t>
            </w:r>
            <w:proofErr w:type="spellEnd"/>
            <w:r w:rsidRPr="00FF4E93">
              <w:rPr>
                <w:b/>
                <w:bCs/>
                <w:i/>
                <w:color w:val="000000"/>
                <w:sz w:val="22"/>
                <w:szCs w:val="22"/>
                <w:lang w:eastAsia="en-US"/>
              </w:rPr>
              <w:t xml:space="preserve"> real time </w:t>
            </w:r>
            <w:proofErr w:type="spellStart"/>
            <w:r w:rsidRPr="00FF4E93">
              <w:rPr>
                <w:b/>
                <w:bCs/>
                <w:i/>
                <w:color w:val="000000"/>
                <w:sz w:val="22"/>
                <w:szCs w:val="22"/>
                <w:lang w:eastAsia="en-US"/>
              </w:rPr>
              <w:t>mapping</w:t>
            </w:r>
            <w:proofErr w:type="spellEnd"/>
            <w:r w:rsidRPr="00FF4E93">
              <w:rPr>
                <w:b/>
                <w:bCs/>
                <w:i/>
                <w:color w:val="000000"/>
                <w:sz w:val="22"/>
                <w:szCs w:val="22"/>
                <w:lang w:eastAsia="en-US"/>
              </w:rPr>
              <w:t xml:space="preserve"> </w:t>
            </w:r>
            <w:proofErr w:type="spellStart"/>
            <w:r w:rsidRPr="00FF4E93">
              <w:rPr>
                <w:i/>
                <w:color w:val="000000"/>
                <w:sz w:val="22"/>
                <w:szCs w:val="22"/>
                <w:lang w:eastAsia="en-US"/>
              </w:rPr>
              <w:t>onto</w:t>
            </w:r>
            <w:proofErr w:type="spellEnd"/>
            <w:r w:rsidRPr="00FF4E93">
              <w:rPr>
                <w:i/>
                <w:color w:val="000000"/>
                <w:sz w:val="22"/>
                <w:szCs w:val="22"/>
                <w:lang w:eastAsia="en-US"/>
              </w:rPr>
              <w:t xml:space="preserve"> a </w:t>
            </w:r>
            <w:proofErr w:type="spellStart"/>
            <w:r w:rsidRPr="00FF4E93">
              <w:rPr>
                <w:i/>
                <w:color w:val="000000"/>
                <w:sz w:val="22"/>
                <w:szCs w:val="22"/>
                <w:lang w:eastAsia="en-US"/>
              </w:rPr>
              <w:t>virtual</w:t>
            </w:r>
            <w:proofErr w:type="spellEnd"/>
            <w:r w:rsidRPr="00FF4E93">
              <w:rPr>
                <w:i/>
                <w:color w:val="000000"/>
                <w:sz w:val="22"/>
                <w:szCs w:val="22"/>
                <w:lang w:eastAsia="en-US"/>
              </w:rPr>
              <w:t xml:space="preserve"> </w:t>
            </w:r>
            <w:proofErr w:type="spellStart"/>
            <w:r w:rsidRPr="00FF4E93">
              <w:rPr>
                <w:i/>
                <w:color w:val="000000"/>
                <w:sz w:val="22"/>
                <w:szCs w:val="22"/>
                <w:lang w:eastAsia="en-US"/>
              </w:rPr>
              <w:t>character</w:t>
            </w:r>
            <w:proofErr w:type="spellEnd"/>
            <w:r w:rsidRPr="00FF4E93">
              <w:rPr>
                <w:i/>
                <w:color w:val="000000"/>
                <w:sz w:val="22"/>
                <w:szCs w:val="22"/>
                <w:lang w:eastAsia="en-US"/>
              </w:rPr>
              <w:t xml:space="preserve"> (</w:t>
            </w:r>
            <w:proofErr w:type="spellStart"/>
            <w:r w:rsidRPr="00FF4E93">
              <w:rPr>
                <w:i/>
                <w:color w:val="000000"/>
                <w:sz w:val="22"/>
                <w:szCs w:val="22"/>
                <w:lang w:eastAsia="en-US"/>
              </w:rPr>
              <w:t>avatar</w:t>
            </w:r>
            <w:proofErr w:type="spellEnd"/>
            <w:r w:rsidRPr="00FF4E93">
              <w:rPr>
                <w:i/>
                <w:color w:val="000000"/>
                <w:sz w:val="22"/>
                <w:szCs w:val="22"/>
                <w:lang w:eastAsia="en-US"/>
              </w:rPr>
              <w:t xml:space="preserve">), in different </w:t>
            </w:r>
            <w:proofErr w:type="spellStart"/>
            <w:r w:rsidRPr="00FF4E93">
              <w:rPr>
                <w:i/>
                <w:color w:val="000000"/>
                <w:sz w:val="22"/>
                <w:szCs w:val="22"/>
                <w:lang w:eastAsia="en-US"/>
              </w:rPr>
              <w:t>postures</w:t>
            </w:r>
            <w:proofErr w:type="spellEnd"/>
            <w:r w:rsidRPr="00FF4E93">
              <w:rPr>
                <w:i/>
                <w:color w:val="000000"/>
                <w:sz w:val="22"/>
                <w:szCs w:val="22"/>
                <w:lang w:eastAsia="en-US"/>
              </w:rPr>
              <w:t xml:space="preserve"> (</w:t>
            </w:r>
            <w:proofErr w:type="spellStart"/>
            <w:r w:rsidRPr="00FF4E93">
              <w:rPr>
                <w:i/>
                <w:color w:val="000000"/>
                <w:sz w:val="22"/>
                <w:szCs w:val="22"/>
                <w:lang w:eastAsia="en-US"/>
              </w:rPr>
              <w:t>lying</w:t>
            </w:r>
            <w:proofErr w:type="spellEnd"/>
            <w:r w:rsidRPr="00FF4E93">
              <w:rPr>
                <w:i/>
                <w:color w:val="000000"/>
                <w:sz w:val="22"/>
                <w:szCs w:val="22"/>
                <w:lang w:eastAsia="en-US"/>
              </w:rPr>
              <w:t xml:space="preserve">, </w:t>
            </w:r>
            <w:proofErr w:type="spellStart"/>
            <w:r w:rsidRPr="00FF4E93">
              <w:rPr>
                <w:i/>
                <w:color w:val="000000"/>
                <w:sz w:val="22"/>
                <w:szCs w:val="22"/>
                <w:lang w:eastAsia="en-US"/>
              </w:rPr>
              <w:t>sitting</w:t>
            </w:r>
            <w:proofErr w:type="spellEnd"/>
            <w:r w:rsidRPr="00FF4E93">
              <w:rPr>
                <w:i/>
                <w:color w:val="000000"/>
                <w:sz w:val="22"/>
                <w:szCs w:val="22"/>
                <w:lang w:eastAsia="en-US"/>
              </w:rPr>
              <w:t xml:space="preserve"> </w:t>
            </w:r>
            <w:proofErr w:type="spellStart"/>
            <w:r w:rsidRPr="00FF4E93">
              <w:rPr>
                <w:i/>
                <w:color w:val="000000"/>
                <w:sz w:val="22"/>
                <w:szCs w:val="22"/>
                <w:lang w:eastAsia="en-US"/>
              </w:rPr>
              <w:t>and</w:t>
            </w:r>
            <w:proofErr w:type="spellEnd"/>
            <w:r w:rsidRPr="00FF4E93">
              <w:rPr>
                <w:i/>
                <w:color w:val="000000"/>
                <w:sz w:val="22"/>
                <w:szCs w:val="22"/>
                <w:lang w:eastAsia="en-US"/>
              </w:rPr>
              <w:t xml:space="preserve"> </w:t>
            </w:r>
            <w:proofErr w:type="spellStart"/>
            <w:r w:rsidRPr="00FF4E93">
              <w:rPr>
                <w:i/>
                <w:color w:val="000000"/>
                <w:sz w:val="22"/>
                <w:szCs w:val="22"/>
                <w:lang w:eastAsia="en-US"/>
              </w:rPr>
              <w:t>standing</w:t>
            </w:r>
            <w:proofErr w:type="spellEnd"/>
            <w:r w:rsidRPr="00FF4E93">
              <w:rPr>
                <w:i/>
                <w:color w:val="000000"/>
                <w:sz w:val="22"/>
                <w:szCs w:val="22"/>
                <w:lang w:eastAsia="en-US"/>
              </w:rPr>
              <w:t xml:space="preserve">). Body </w:t>
            </w:r>
            <w:proofErr w:type="spellStart"/>
            <w:r w:rsidRPr="00FF4E93">
              <w:rPr>
                <w:i/>
                <w:color w:val="000000"/>
                <w:sz w:val="22"/>
                <w:szCs w:val="22"/>
                <w:lang w:eastAsia="en-US"/>
              </w:rPr>
              <w:t>sway</w:t>
            </w:r>
            <w:proofErr w:type="spellEnd"/>
            <w:r w:rsidRPr="00FF4E93">
              <w:rPr>
                <w:i/>
                <w:color w:val="000000"/>
                <w:sz w:val="22"/>
                <w:szCs w:val="22"/>
                <w:lang w:eastAsia="en-US"/>
              </w:rPr>
              <w:t xml:space="preserve"> </w:t>
            </w:r>
            <w:proofErr w:type="spellStart"/>
            <w:r w:rsidRPr="00FF4E93">
              <w:rPr>
                <w:i/>
                <w:color w:val="000000"/>
                <w:sz w:val="22"/>
                <w:szCs w:val="22"/>
                <w:lang w:eastAsia="en-US"/>
              </w:rPr>
              <w:t>and</w:t>
            </w:r>
            <w:proofErr w:type="spellEnd"/>
            <w:r w:rsidRPr="00FF4E93">
              <w:rPr>
                <w:i/>
                <w:color w:val="000000"/>
                <w:sz w:val="22"/>
                <w:szCs w:val="22"/>
                <w:lang w:eastAsia="en-US"/>
              </w:rPr>
              <w:t xml:space="preserve"> </w:t>
            </w:r>
            <w:proofErr w:type="spellStart"/>
            <w:r w:rsidRPr="00FF4E93">
              <w:rPr>
                <w:i/>
                <w:color w:val="000000"/>
                <w:sz w:val="22"/>
                <w:szCs w:val="22"/>
                <w:lang w:eastAsia="en-US"/>
              </w:rPr>
              <w:t>posture</w:t>
            </w:r>
            <w:proofErr w:type="spellEnd"/>
            <w:r w:rsidRPr="00FF4E93">
              <w:rPr>
                <w:i/>
                <w:color w:val="000000"/>
                <w:sz w:val="22"/>
                <w:szCs w:val="22"/>
                <w:lang w:eastAsia="en-US"/>
              </w:rPr>
              <w:t xml:space="preserve"> </w:t>
            </w:r>
            <w:proofErr w:type="spellStart"/>
            <w:r w:rsidRPr="00FF4E93">
              <w:rPr>
                <w:i/>
                <w:color w:val="000000"/>
                <w:sz w:val="22"/>
                <w:szCs w:val="22"/>
                <w:lang w:eastAsia="en-US"/>
              </w:rPr>
              <w:t>are</w:t>
            </w:r>
            <w:proofErr w:type="spellEnd"/>
            <w:r w:rsidRPr="00FF4E93">
              <w:rPr>
                <w:i/>
                <w:color w:val="000000"/>
                <w:sz w:val="22"/>
                <w:szCs w:val="22"/>
                <w:lang w:eastAsia="en-US"/>
              </w:rPr>
              <w:t xml:space="preserve"> </w:t>
            </w:r>
            <w:proofErr w:type="spellStart"/>
            <w:r w:rsidRPr="00FF4E93">
              <w:rPr>
                <w:b/>
                <w:bCs/>
                <w:i/>
                <w:color w:val="000000"/>
                <w:sz w:val="22"/>
                <w:szCs w:val="22"/>
                <w:lang w:eastAsia="en-US"/>
              </w:rPr>
              <w:t>monitored</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to</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optimize</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the</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visual</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feedback</w:t>
            </w:r>
            <w:proofErr w:type="spellEnd"/>
            <w:r w:rsidRPr="00FF4E93">
              <w:rPr>
                <w:b/>
                <w:bCs/>
                <w:i/>
                <w:color w:val="000000"/>
                <w:sz w:val="22"/>
                <w:szCs w:val="22"/>
                <w:lang w:eastAsia="en-US"/>
              </w:rPr>
              <w:t xml:space="preserve"> </w:t>
            </w:r>
            <w:proofErr w:type="spellStart"/>
            <w:r w:rsidRPr="00FF4E93">
              <w:rPr>
                <w:i/>
                <w:color w:val="000000"/>
                <w:sz w:val="22"/>
                <w:szCs w:val="22"/>
                <w:lang w:eastAsia="en-US"/>
              </w:rPr>
              <w:t>to</w:t>
            </w:r>
            <w:proofErr w:type="spellEnd"/>
            <w:r w:rsidRPr="00FF4E93">
              <w:rPr>
                <w:i/>
                <w:color w:val="000000"/>
                <w:sz w:val="22"/>
                <w:szCs w:val="22"/>
                <w:lang w:eastAsia="en-US"/>
              </w:rPr>
              <w:t xml:space="preserve"> </w:t>
            </w:r>
            <w:proofErr w:type="spellStart"/>
            <w:r w:rsidRPr="00FF4E93">
              <w:rPr>
                <w:i/>
                <w:color w:val="000000"/>
                <w:sz w:val="22"/>
                <w:szCs w:val="22"/>
                <w:lang w:eastAsia="en-US"/>
              </w:rPr>
              <w:t>the</w:t>
            </w:r>
            <w:proofErr w:type="spellEnd"/>
            <w:r w:rsidRPr="00FF4E93">
              <w:rPr>
                <w:i/>
                <w:color w:val="000000"/>
                <w:sz w:val="22"/>
                <w:szCs w:val="22"/>
                <w:lang w:eastAsia="en-US"/>
              </w:rPr>
              <w:t xml:space="preserve"> </w:t>
            </w:r>
            <w:proofErr w:type="spellStart"/>
            <w:r w:rsidRPr="00FF4E93">
              <w:rPr>
                <w:i/>
                <w:color w:val="000000"/>
                <w:sz w:val="22"/>
                <w:szCs w:val="22"/>
                <w:lang w:eastAsia="en-US"/>
              </w:rPr>
              <w:t>patient</w:t>
            </w:r>
            <w:proofErr w:type="spellEnd"/>
            <w:r w:rsidRPr="00FF4E93">
              <w:rPr>
                <w:i/>
                <w:color w:val="000000"/>
                <w:sz w:val="22"/>
                <w:szCs w:val="22"/>
                <w:lang w:eastAsia="en-US"/>
              </w:rPr>
              <w:t xml:space="preserve">. </w:t>
            </w:r>
            <w:proofErr w:type="spellStart"/>
            <w:r w:rsidRPr="00FF4E93">
              <w:rPr>
                <w:i/>
                <w:color w:val="000000"/>
                <w:sz w:val="22"/>
                <w:szCs w:val="22"/>
                <w:lang w:eastAsia="en-US"/>
              </w:rPr>
              <w:t>Our</w:t>
            </w:r>
            <w:proofErr w:type="spellEnd"/>
            <w:r w:rsidRPr="00FF4E93">
              <w:rPr>
                <w:i/>
                <w:color w:val="000000"/>
                <w:sz w:val="22"/>
                <w:szCs w:val="22"/>
                <w:lang w:eastAsia="en-US"/>
              </w:rPr>
              <w:t xml:space="preserve"> </w:t>
            </w:r>
            <w:proofErr w:type="spellStart"/>
            <w:r w:rsidRPr="00FF4E93">
              <w:rPr>
                <w:i/>
                <w:color w:val="000000"/>
                <w:sz w:val="22"/>
                <w:szCs w:val="22"/>
                <w:lang w:eastAsia="en-US"/>
              </w:rPr>
              <w:t>system</w:t>
            </w:r>
            <w:proofErr w:type="spellEnd"/>
            <w:r w:rsidRPr="00FF4E93">
              <w:rPr>
                <w:i/>
                <w:color w:val="000000"/>
                <w:sz w:val="22"/>
                <w:szCs w:val="22"/>
                <w:lang w:eastAsia="en-US"/>
              </w:rPr>
              <w:t xml:space="preserve"> </w:t>
            </w:r>
            <w:proofErr w:type="spellStart"/>
            <w:r w:rsidRPr="00FF4E93">
              <w:rPr>
                <w:i/>
                <w:color w:val="000000"/>
                <w:sz w:val="22"/>
                <w:szCs w:val="22"/>
                <w:lang w:eastAsia="en-US"/>
              </w:rPr>
              <w:t>provides</w:t>
            </w:r>
            <w:proofErr w:type="spellEnd"/>
            <w:r w:rsidRPr="00FF4E93">
              <w:rPr>
                <w:i/>
                <w:color w:val="000000"/>
                <w:sz w:val="22"/>
                <w:szCs w:val="22"/>
                <w:lang w:eastAsia="en-US"/>
              </w:rPr>
              <w:t xml:space="preserve"> </w:t>
            </w:r>
            <w:proofErr w:type="spellStart"/>
            <w:r w:rsidRPr="00FF4E93">
              <w:rPr>
                <w:b/>
                <w:bCs/>
                <w:i/>
                <w:color w:val="000000"/>
                <w:sz w:val="22"/>
                <w:szCs w:val="22"/>
                <w:lang w:eastAsia="en-US"/>
              </w:rPr>
              <w:t>post</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session</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analysis</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to</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track</w:t>
            </w:r>
            <w:proofErr w:type="spellEnd"/>
            <w:r w:rsidRPr="00FF4E93">
              <w:rPr>
                <w:i/>
                <w:color w:val="000000"/>
                <w:sz w:val="22"/>
                <w:szCs w:val="22"/>
                <w:lang w:eastAsia="en-US"/>
              </w:rPr>
              <w:t xml:space="preserve"> </w:t>
            </w:r>
            <w:proofErr w:type="spellStart"/>
            <w:r w:rsidRPr="00FF4E93">
              <w:rPr>
                <w:i/>
                <w:color w:val="000000"/>
                <w:sz w:val="22"/>
                <w:szCs w:val="22"/>
                <w:lang w:eastAsia="en-US"/>
              </w:rPr>
              <w:t>each</w:t>
            </w:r>
            <w:proofErr w:type="spellEnd"/>
            <w:r w:rsidRPr="00FF4E93">
              <w:rPr>
                <w:i/>
                <w:color w:val="000000"/>
                <w:sz w:val="22"/>
                <w:szCs w:val="22"/>
                <w:lang w:eastAsia="en-US"/>
              </w:rPr>
              <w:t xml:space="preserve"> </w:t>
            </w:r>
            <w:proofErr w:type="spellStart"/>
            <w:r w:rsidRPr="00FF4E93">
              <w:rPr>
                <w:i/>
                <w:color w:val="000000"/>
                <w:sz w:val="22"/>
                <w:szCs w:val="22"/>
                <w:lang w:eastAsia="en-US"/>
              </w:rPr>
              <w:t>patient’s</w:t>
            </w:r>
            <w:proofErr w:type="spellEnd"/>
            <w:r w:rsidRPr="00FF4E93">
              <w:rPr>
                <w:i/>
                <w:color w:val="000000"/>
                <w:sz w:val="22"/>
                <w:szCs w:val="22"/>
                <w:lang w:eastAsia="en-US"/>
              </w:rPr>
              <w:t xml:space="preserve"> </w:t>
            </w:r>
            <w:proofErr w:type="spellStart"/>
            <w:r w:rsidRPr="00FF4E93">
              <w:rPr>
                <w:b/>
                <w:bCs/>
                <w:i/>
                <w:color w:val="000000"/>
                <w:sz w:val="22"/>
                <w:szCs w:val="22"/>
                <w:lang w:eastAsia="en-US"/>
              </w:rPr>
              <w:t>performance</w:t>
            </w:r>
            <w:proofErr w:type="spellEnd"/>
            <w:r w:rsidRPr="00FF4E93">
              <w:rPr>
                <w:i/>
                <w:color w:val="000000"/>
                <w:sz w:val="22"/>
                <w:szCs w:val="22"/>
                <w:lang w:eastAsia="en-US"/>
              </w:rPr>
              <w:t xml:space="preserve"> </w:t>
            </w:r>
            <w:proofErr w:type="spellStart"/>
            <w:r w:rsidRPr="00FF4E93">
              <w:rPr>
                <w:i/>
                <w:color w:val="000000"/>
                <w:sz w:val="22"/>
                <w:szCs w:val="22"/>
                <w:lang w:eastAsia="en-US"/>
              </w:rPr>
              <w:t>and</w:t>
            </w:r>
            <w:proofErr w:type="spellEnd"/>
            <w:r w:rsidRPr="00FF4E93">
              <w:rPr>
                <w:i/>
                <w:color w:val="000000"/>
                <w:sz w:val="22"/>
                <w:szCs w:val="22"/>
                <w:lang w:eastAsia="en-US"/>
              </w:rPr>
              <w:t xml:space="preserve"> </w:t>
            </w:r>
            <w:proofErr w:type="spellStart"/>
            <w:r w:rsidRPr="00FF4E93">
              <w:rPr>
                <w:b/>
                <w:bCs/>
                <w:i/>
                <w:color w:val="000000"/>
                <w:sz w:val="22"/>
                <w:szCs w:val="22"/>
                <w:lang w:eastAsia="en-US"/>
              </w:rPr>
              <w:t>progress</w:t>
            </w:r>
            <w:proofErr w:type="spellEnd"/>
            <w:r w:rsidRPr="00FF4E93">
              <w:rPr>
                <w:i/>
                <w:color w:val="000000"/>
                <w:sz w:val="22"/>
                <w:szCs w:val="22"/>
                <w:lang w:eastAsia="en-US"/>
              </w:rPr>
              <w:t xml:space="preserve"> </w:t>
            </w:r>
            <w:proofErr w:type="spellStart"/>
            <w:r w:rsidRPr="00FF4E93">
              <w:rPr>
                <w:i/>
                <w:color w:val="000000"/>
                <w:sz w:val="22"/>
                <w:szCs w:val="22"/>
                <w:lang w:eastAsia="en-US"/>
              </w:rPr>
              <w:t>over</w:t>
            </w:r>
            <w:proofErr w:type="spellEnd"/>
            <w:r w:rsidRPr="00FF4E93">
              <w:rPr>
                <w:i/>
                <w:color w:val="000000"/>
                <w:sz w:val="22"/>
                <w:szCs w:val="22"/>
                <w:lang w:eastAsia="en-US"/>
              </w:rPr>
              <w:t xml:space="preserve"> time.</w:t>
            </w:r>
          </w:p>
        </w:tc>
      </w:tr>
      <w:tr w:rsidR="00151DC1" w:rsidRPr="00FF4E93" w14:paraId="1644A050" w14:textId="77777777" w:rsidTr="00C54569">
        <w:trPr>
          <w:trHeight w:val="181"/>
        </w:trPr>
        <w:tc>
          <w:tcPr>
            <w:tcW w:w="2405" w:type="dxa"/>
          </w:tcPr>
          <w:p w14:paraId="6E190C15" w14:textId="77777777" w:rsidR="00151DC1" w:rsidRPr="00FF4E93" w:rsidRDefault="00151DC1" w:rsidP="00151DC1">
            <w:pPr>
              <w:spacing w:before="0" w:after="0"/>
              <w:rPr>
                <w:bCs/>
                <w:color w:val="000000"/>
                <w:sz w:val="22"/>
                <w:szCs w:val="22"/>
              </w:rPr>
            </w:pPr>
            <w:proofErr w:type="spellStart"/>
            <w:r w:rsidRPr="00FF4E93">
              <w:rPr>
                <w:bCs/>
                <w:color w:val="000000"/>
                <w:sz w:val="22"/>
                <w:szCs w:val="22"/>
              </w:rPr>
              <w:t>Virtualization</w:t>
            </w:r>
            <w:proofErr w:type="spellEnd"/>
          </w:p>
          <w:p w14:paraId="51F16DC0" w14:textId="77777777" w:rsidR="00151DC1" w:rsidRPr="00FF4E93" w:rsidRDefault="00151DC1" w:rsidP="00151DC1">
            <w:pPr>
              <w:widowControl w:val="0"/>
              <w:autoSpaceDE w:val="0"/>
              <w:autoSpaceDN w:val="0"/>
              <w:adjustRightInd w:val="0"/>
              <w:spacing w:before="0" w:after="0" w:line="200" w:lineRule="atLeast"/>
              <w:jc w:val="left"/>
              <w:rPr>
                <w:color w:val="000000"/>
                <w:sz w:val="22"/>
                <w:szCs w:val="22"/>
                <w:lang w:eastAsia="en-US"/>
              </w:rPr>
            </w:pPr>
            <w:r w:rsidRPr="00FF4E93">
              <w:rPr>
                <w:i/>
                <w:iCs/>
                <w:color w:val="000000"/>
                <w:sz w:val="22"/>
                <w:szCs w:val="22"/>
                <w:lang w:eastAsia="en-US"/>
              </w:rPr>
              <w:t xml:space="preserve">Amazon </w:t>
            </w:r>
            <w:proofErr w:type="spellStart"/>
            <w:r w:rsidRPr="00FF4E93">
              <w:rPr>
                <w:i/>
                <w:iCs/>
                <w:color w:val="000000"/>
                <w:sz w:val="22"/>
                <w:szCs w:val="22"/>
                <w:lang w:eastAsia="en-US"/>
              </w:rPr>
              <w:t>Workspaces</w:t>
            </w:r>
            <w:proofErr w:type="spellEnd"/>
            <w:r w:rsidRPr="00FF4E93">
              <w:rPr>
                <w:i/>
                <w:iCs/>
                <w:color w:val="000000"/>
                <w:sz w:val="22"/>
                <w:szCs w:val="22"/>
                <w:lang w:eastAsia="en-US"/>
              </w:rPr>
              <w:t>, DUFL</w:t>
            </w:r>
          </w:p>
        </w:tc>
        <w:tc>
          <w:tcPr>
            <w:tcW w:w="5670" w:type="dxa"/>
          </w:tcPr>
          <w:p w14:paraId="360C3CC9" w14:textId="77777777" w:rsidR="00151DC1" w:rsidRPr="00FF4E93" w:rsidRDefault="00151DC1" w:rsidP="00151DC1">
            <w:pPr>
              <w:widowControl w:val="0"/>
              <w:autoSpaceDE w:val="0"/>
              <w:autoSpaceDN w:val="0"/>
              <w:adjustRightInd w:val="0"/>
              <w:spacing w:before="0" w:after="0" w:line="200" w:lineRule="atLeast"/>
              <w:rPr>
                <w:color w:val="000000"/>
                <w:sz w:val="22"/>
                <w:szCs w:val="22"/>
                <w:lang w:eastAsia="en-US"/>
              </w:rPr>
            </w:pPr>
            <w:r w:rsidRPr="00FF4E93">
              <w:rPr>
                <w:color w:val="000000"/>
                <w:sz w:val="22"/>
                <w:szCs w:val="22"/>
                <w:lang w:eastAsia="en-US"/>
              </w:rPr>
              <w:t xml:space="preserve">This </w:t>
            </w:r>
            <w:proofErr w:type="spellStart"/>
            <w:r w:rsidRPr="00FF4E93">
              <w:rPr>
                <w:color w:val="000000"/>
                <w:sz w:val="22"/>
                <w:szCs w:val="22"/>
                <w:lang w:eastAsia="en-US"/>
              </w:rPr>
              <w:t>pattern</w:t>
            </w:r>
            <w:proofErr w:type="spellEnd"/>
            <w:r w:rsidRPr="00FF4E93">
              <w:rPr>
                <w:color w:val="000000"/>
                <w:sz w:val="22"/>
                <w:szCs w:val="22"/>
                <w:lang w:eastAsia="en-US"/>
              </w:rPr>
              <w:t xml:space="preserve"> </w:t>
            </w:r>
            <w:proofErr w:type="spellStart"/>
            <w:r w:rsidRPr="00FF4E93">
              <w:rPr>
                <w:color w:val="000000"/>
                <w:sz w:val="22"/>
                <w:szCs w:val="22"/>
                <w:lang w:eastAsia="en-US"/>
              </w:rPr>
              <w:t>describes</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imitation</w:t>
            </w:r>
            <w:proofErr w:type="spellEnd"/>
            <w:r w:rsidRPr="00FF4E93">
              <w:rPr>
                <w:color w:val="000000"/>
                <w:sz w:val="22"/>
                <w:szCs w:val="22"/>
                <w:lang w:eastAsia="en-US"/>
              </w:rPr>
              <w:t xml:space="preserve"> </w:t>
            </w:r>
            <w:proofErr w:type="spellStart"/>
            <w:r w:rsidRPr="00FF4E93">
              <w:rPr>
                <w:color w:val="000000"/>
                <w:sz w:val="22"/>
                <w:szCs w:val="22"/>
                <w:lang w:eastAsia="en-US"/>
              </w:rPr>
              <w:t>of</w:t>
            </w:r>
            <w:proofErr w:type="spellEnd"/>
            <w:r w:rsidRPr="00FF4E93">
              <w:rPr>
                <w:color w:val="000000"/>
                <w:sz w:val="22"/>
                <w:szCs w:val="22"/>
                <w:lang w:eastAsia="en-US"/>
              </w:rPr>
              <w:t xml:space="preserve"> a </w:t>
            </w:r>
            <w:proofErr w:type="spellStart"/>
            <w:r w:rsidRPr="00FF4E93">
              <w:rPr>
                <w:color w:val="000000"/>
                <w:sz w:val="22"/>
                <w:szCs w:val="22"/>
                <w:lang w:eastAsia="en-US"/>
              </w:rPr>
              <w:t>traditionally</w:t>
            </w:r>
            <w:proofErr w:type="spellEnd"/>
            <w:r w:rsidRPr="00FF4E93">
              <w:rPr>
                <w:color w:val="000000"/>
                <w:sz w:val="22"/>
                <w:szCs w:val="22"/>
                <w:lang w:eastAsia="en-US"/>
              </w:rPr>
              <w:t xml:space="preserve"> </w:t>
            </w:r>
            <w:proofErr w:type="spellStart"/>
            <w:r w:rsidRPr="00FF4E93">
              <w:rPr>
                <w:color w:val="000000"/>
                <w:sz w:val="22"/>
                <w:szCs w:val="22"/>
                <w:lang w:eastAsia="en-US"/>
              </w:rPr>
              <w:t>physically</w:t>
            </w:r>
            <w:proofErr w:type="spellEnd"/>
            <w:r w:rsidRPr="00FF4E93">
              <w:rPr>
                <w:color w:val="000000"/>
                <w:sz w:val="22"/>
                <w:szCs w:val="22"/>
                <w:lang w:eastAsia="en-US"/>
              </w:rPr>
              <w:t xml:space="preserve"> </w:t>
            </w:r>
            <w:proofErr w:type="spellStart"/>
            <w:r w:rsidRPr="00FF4E93">
              <w:rPr>
                <w:color w:val="000000"/>
                <w:sz w:val="22"/>
                <w:szCs w:val="22"/>
                <w:lang w:eastAsia="en-US"/>
              </w:rPr>
              <w:t>process</w:t>
            </w:r>
            <w:proofErr w:type="spellEnd"/>
            <w:r w:rsidRPr="00FF4E93">
              <w:rPr>
                <w:color w:val="000000"/>
                <w:sz w:val="22"/>
                <w:szCs w:val="22"/>
                <w:lang w:eastAsia="en-US"/>
              </w:rPr>
              <w:t xml:space="preserve"> in a </w:t>
            </w:r>
            <w:proofErr w:type="spellStart"/>
            <w:r w:rsidRPr="00FF4E93">
              <w:rPr>
                <w:color w:val="000000"/>
                <w:sz w:val="22"/>
                <w:szCs w:val="22"/>
                <w:lang w:eastAsia="en-US"/>
              </w:rPr>
              <w:t>virtual</w:t>
            </w:r>
            <w:proofErr w:type="spellEnd"/>
            <w:r w:rsidRPr="00FF4E93">
              <w:rPr>
                <w:color w:val="000000"/>
                <w:sz w:val="22"/>
                <w:szCs w:val="22"/>
                <w:lang w:eastAsia="en-US"/>
              </w:rPr>
              <w:t xml:space="preserve"> </w:t>
            </w:r>
            <w:proofErr w:type="spellStart"/>
            <w:r w:rsidRPr="00FF4E93">
              <w:rPr>
                <w:color w:val="000000"/>
                <w:sz w:val="22"/>
                <w:szCs w:val="22"/>
                <w:lang w:eastAsia="en-US"/>
              </w:rPr>
              <w:t>environment</w:t>
            </w:r>
            <w:proofErr w:type="spellEnd"/>
            <w:r w:rsidRPr="00FF4E93">
              <w:rPr>
                <w:color w:val="000000"/>
                <w:sz w:val="22"/>
                <w:szCs w:val="22"/>
                <w:lang w:eastAsia="en-US"/>
              </w:rPr>
              <w:t xml:space="preserve">, e.g., a </w:t>
            </w:r>
            <w:proofErr w:type="spellStart"/>
            <w:r w:rsidRPr="00FF4E93">
              <w:rPr>
                <w:color w:val="000000"/>
                <w:sz w:val="22"/>
                <w:szCs w:val="22"/>
                <w:lang w:eastAsia="en-US"/>
              </w:rPr>
              <w:t>virtual</w:t>
            </w:r>
            <w:proofErr w:type="spellEnd"/>
            <w:r w:rsidRPr="00FF4E93">
              <w:rPr>
                <w:color w:val="000000"/>
                <w:sz w:val="22"/>
                <w:szCs w:val="22"/>
                <w:lang w:eastAsia="en-US"/>
              </w:rPr>
              <w:t xml:space="preserve"> </w:t>
            </w:r>
            <w:proofErr w:type="spellStart"/>
            <w:r w:rsidRPr="00FF4E93">
              <w:rPr>
                <w:color w:val="000000"/>
                <w:sz w:val="22"/>
                <w:szCs w:val="22"/>
                <w:lang w:eastAsia="en-US"/>
              </w:rPr>
              <w:t>workspace</w:t>
            </w:r>
            <w:proofErr w:type="spellEnd"/>
            <w:r w:rsidRPr="00FF4E93">
              <w:rPr>
                <w:color w:val="000000"/>
                <w:sz w:val="22"/>
                <w:szCs w:val="22"/>
                <w:lang w:eastAsia="en-US"/>
              </w:rPr>
              <w:t xml:space="preserve">. The </w:t>
            </w:r>
            <w:proofErr w:type="spellStart"/>
            <w:r w:rsidRPr="00FF4E93">
              <w:rPr>
                <w:color w:val="000000"/>
                <w:sz w:val="22"/>
                <w:szCs w:val="22"/>
                <w:lang w:eastAsia="en-US"/>
              </w:rPr>
              <w:t>advantage</w:t>
            </w:r>
            <w:proofErr w:type="spellEnd"/>
            <w:r w:rsidRPr="00FF4E93">
              <w:rPr>
                <w:color w:val="000000"/>
                <w:sz w:val="22"/>
                <w:szCs w:val="22"/>
                <w:lang w:eastAsia="en-US"/>
              </w:rPr>
              <w:t xml:space="preserve"> </w:t>
            </w:r>
            <w:proofErr w:type="spellStart"/>
            <w:r w:rsidRPr="00FF4E93">
              <w:rPr>
                <w:color w:val="000000"/>
                <w:sz w:val="22"/>
                <w:szCs w:val="22"/>
                <w:lang w:eastAsia="en-US"/>
              </w:rPr>
              <w:t>for</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customer</w:t>
            </w:r>
            <w:proofErr w:type="spellEnd"/>
            <w:r w:rsidRPr="00FF4E93">
              <w:rPr>
                <w:color w:val="000000"/>
                <w:sz w:val="22"/>
                <w:szCs w:val="22"/>
                <w:lang w:eastAsia="en-US"/>
              </w:rPr>
              <w:t xml:space="preserve"> </w:t>
            </w:r>
            <w:proofErr w:type="spellStart"/>
            <w:r w:rsidRPr="00FF4E93">
              <w:rPr>
                <w:color w:val="000000"/>
                <w:sz w:val="22"/>
                <w:szCs w:val="22"/>
                <w:lang w:eastAsia="en-US"/>
              </w:rPr>
              <w:t>is</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ability</w:t>
            </w:r>
            <w:proofErr w:type="spellEnd"/>
            <w:r w:rsidRPr="00FF4E93">
              <w:rPr>
                <w:color w:val="000000"/>
                <w:sz w:val="22"/>
                <w:szCs w:val="22"/>
                <w:lang w:eastAsia="en-US"/>
              </w:rPr>
              <w:t xml:space="preserve"> </w:t>
            </w:r>
            <w:proofErr w:type="spellStart"/>
            <w:r w:rsidRPr="00FF4E93">
              <w:rPr>
                <w:color w:val="000000"/>
                <w:sz w:val="22"/>
                <w:szCs w:val="22"/>
                <w:lang w:eastAsia="en-US"/>
              </w:rPr>
              <w:t>to</w:t>
            </w:r>
            <w:proofErr w:type="spellEnd"/>
            <w:r w:rsidRPr="00FF4E93">
              <w:rPr>
                <w:color w:val="000000"/>
                <w:sz w:val="22"/>
                <w:szCs w:val="22"/>
                <w:lang w:eastAsia="en-US"/>
              </w:rPr>
              <w:t xml:space="preserve"> </w:t>
            </w:r>
            <w:proofErr w:type="spellStart"/>
            <w:r w:rsidRPr="00FF4E93">
              <w:rPr>
                <w:color w:val="000000"/>
                <w:sz w:val="22"/>
                <w:szCs w:val="22"/>
                <w:lang w:eastAsia="en-US"/>
              </w:rPr>
              <w:t>interact</w:t>
            </w:r>
            <w:proofErr w:type="spellEnd"/>
            <w:r w:rsidRPr="00FF4E93">
              <w:rPr>
                <w:color w:val="000000"/>
                <w:sz w:val="22"/>
                <w:szCs w:val="22"/>
                <w:lang w:eastAsia="en-US"/>
              </w:rPr>
              <w:t xml:space="preserve"> </w:t>
            </w:r>
            <w:proofErr w:type="spellStart"/>
            <w:r w:rsidRPr="00FF4E93">
              <w:rPr>
                <w:color w:val="000000"/>
                <w:sz w:val="22"/>
                <w:szCs w:val="22"/>
                <w:lang w:eastAsia="en-US"/>
              </w:rPr>
              <w:t>with</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process</w:t>
            </w:r>
            <w:proofErr w:type="spellEnd"/>
            <w:r w:rsidRPr="00FF4E93">
              <w:rPr>
                <w:color w:val="000000"/>
                <w:sz w:val="22"/>
                <w:szCs w:val="22"/>
                <w:lang w:eastAsia="en-US"/>
              </w:rPr>
              <w:t xml:space="preserve"> </w:t>
            </w:r>
            <w:proofErr w:type="spellStart"/>
            <w:r w:rsidRPr="00FF4E93">
              <w:rPr>
                <w:color w:val="000000"/>
                <w:sz w:val="22"/>
                <w:szCs w:val="22"/>
                <w:lang w:eastAsia="en-US"/>
              </w:rPr>
              <w:t>from</w:t>
            </w:r>
            <w:proofErr w:type="spellEnd"/>
            <w:r w:rsidRPr="00FF4E93">
              <w:rPr>
                <w:color w:val="000000"/>
                <w:sz w:val="22"/>
                <w:szCs w:val="22"/>
                <w:lang w:eastAsia="en-US"/>
              </w:rPr>
              <w:t xml:space="preserve"> </w:t>
            </w:r>
            <w:proofErr w:type="spellStart"/>
            <w:r w:rsidRPr="00FF4E93">
              <w:rPr>
                <w:color w:val="000000"/>
                <w:sz w:val="22"/>
                <w:szCs w:val="22"/>
                <w:lang w:eastAsia="en-US"/>
              </w:rPr>
              <w:t>any</w:t>
            </w:r>
            <w:proofErr w:type="spellEnd"/>
            <w:r w:rsidRPr="00FF4E93">
              <w:rPr>
                <w:color w:val="000000"/>
                <w:sz w:val="22"/>
                <w:szCs w:val="22"/>
                <w:lang w:eastAsia="en-US"/>
              </w:rPr>
              <w:t xml:space="preserve"> </w:t>
            </w:r>
            <w:proofErr w:type="spellStart"/>
            <w:r w:rsidRPr="00FF4E93">
              <w:rPr>
                <w:color w:val="000000"/>
                <w:sz w:val="22"/>
                <w:szCs w:val="22"/>
                <w:lang w:eastAsia="en-US"/>
              </w:rPr>
              <w:t>location</w:t>
            </w:r>
            <w:proofErr w:type="spellEnd"/>
            <w:r w:rsidRPr="00FF4E93">
              <w:rPr>
                <w:color w:val="000000"/>
                <w:sz w:val="22"/>
                <w:szCs w:val="22"/>
                <w:lang w:eastAsia="en-US"/>
              </w:rPr>
              <w:t xml:space="preserve"> </w:t>
            </w:r>
            <w:proofErr w:type="spellStart"/>
            <w:r w:rsidRPr="00FF4E93">
              <w:rPr>
                <w:color w:val="000000"/>
                <w:sz w:val="22"/>
                <w:szCs w:val="22"/>
                <w:lang w:eastAsia="en-US"/>
              </w:rPr>
              <w:t>or</w:t>
            </w:r>
            <w:proofErr w:type="spellEnd"/>
            <w:r w:rsidRPr="00FF4E93">
              <w:rPr>
                <w:color w:val="000000"/>
                <w:sz w:val="22"/>
                <w:szCs w:val="22"/>
                <w:lang w:eastAsia="en-US"/>
              </w:rPr>
              <w:t xml:space="preserve"> </w:t>
            </w:r>
            <w:proofErr w:type="spellStart"/>
            <w:r w:rsidRPr="00FF4E93">
              <w:rPr>
                <w:color w:val="000000"/>
                <w:sz w:val="22"/>
                <w:szCs w:val="22"/>
                <w:lang w:eastAsia="en-US"/>
              </w:rPr>
              <w:t>device</w:t>
            </w:r>
            <w:proofErr w:type="spellEnd"/>
            <w:r w:rsidRPr="00FF4E93">
              <w:rPr>
                <w:color w:val="000000"/>
                <w:sz w:val="22"/>
                <w:szCs w:val="22"/>
                <w:lang w:eastAsia="en-US"/>
              </w:rPr>
              <w:t xml:space="preserve">. In </w:t>
            </w:r>
            <w:proofErr w:type="spellStart"/>
            <w:r w:rsidRPr="00FF4E93">
              <w:rPr>
                <w:color w:val="000000"/>
                <w:sz w:val="22"/>
                <w:szCs w:val="22"/>
                <w:lang w:eastAsia="en-US"/>
              </w:rPr>
              <w:t>exchange</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customer</w:t>
            </w:r>
            <w:proofErr w:type="spellEnd"/>
            <w:r w:rsidRPr="00FF4E93">
              <w:rPr>
                <w:color w:val="000000"/>
                <w:sz w:val="22"/>
                <w:szCs w:val="22"/>
                <w:lang w:eastAsia="en-US"/>
              </w:rPr>
              <w:t xml:space="preserve"> </w:t>
            </w:r>
            <w:proofErr w:type="spellStart"/>
            <w:r w:rsidRPr="00FF4E93">
              <w:rPr>
                <w:color w:val="000000"/>
                <w:sz w:val="22"/>
                <w:szCs w:val="22"/>
                <w:lang w:eastAsia="en-US"/>
              </w:rPr>
              <w:t>pays</w:t>
            </w:r>
            <w:proofErr w:type="spellEnd"/>
            <w:r w:rsidRPr="00FF4E93">
              <w:rPr>
                <w:color w:val="000000"/>
                <w:sz w:val="22"/>
                <w:szCs w:val="22"/>
                <w:lang w:eastAsia="en-US"/>
              </w:rPr>
              <w:t xml:space="preserve"> </w:t>
            </w:r>
            <w:proofErr w:type="spellStart"/>
            <w:r w:rsidRPr="00FF4E93">
              <w:rPr>
                <w:color w:val="000000"/>
                <w:sz w:val="22"/>
                <w:szCs w:val="22"/>
                <w:lang w:eastAsia="en-US"/>
              </w:rPr>
              <w:t>for</w:t>
            </w:r>
            <w:proofErr w:type="spellEnd"/>
            <w:r w:rsidRPr="00FF4E93">
              <w:rPr>
                <w:color w:val="000000"/>
                <w:sz w:val="22"/>
                <w:szCs w:val="22"/>
                <w:lang w:eastAsia="en-US"/>
              </w:rPr>
              <w:t xml:space="preserve"> </w:t>
            </w:r>
            <w:proofErr w:type="spellStart"/>
            <w:r w:rsidRPr="00FF4E93">
              <w:rPr>
                <w:color w:val="000000"/>
                <w:sz w:val="22"/>
                <w:szCs w:val="22"/>
                <w:lang w:eastAsia="en-US"/>
              </w:rPr>
              <w:t>access</w:t>
            </w:r>
            <w:proofErr w:type="spellEnd"/>
            <w:r w:rsidRPr="00FF4E93">
              <w:rPr>
                <w:color w:val="000000"/>
                <w:sz w:val="22"/>
                <w:szCs w:val="22"/>
                <w:lang w:eastAsia="en-US"/>
              </w:rPr>
              <w:t xml:space="preserve"> </w:t>
            </w:r>
            <w:proofErr w:type="spellStart"/>
            <w:r w:rsidRPr="00FF4E93">
              <w:rPr>
                <w:color w:val="000000"/>
                <w:sz w:val="22"/>
                <w:szCs w:val="22"/>
                <w:lang w:eastAsia="en-US"/>
              </w:rPr>
              <w:t>to</w:t>
            </w:r>
            <w:proofErr w:type="spellEnd"/>
            <w:r w:rsidRPr="00FF4E93">
              <w:rPr>
                <w:color w:val="000000"/>
                <w:sz w:val="22"/>
                <w:szCs w:val="22"/>
                <w:lang w:eastAsia="en-US"/>
              </w:rPr>
              <w:t xml:space="preserve"> </w:t>
            </w:r>
            <w:proofErr w:type="spellStart"/>
            <w:r w:rsidRPr="00FF4E93">
              <w:rPr>
                <w:color w:val="000000"/>
                <w:sz w:val="22"/>
                <w:szCs w:val="22"/>
                <w:lang w:eastAsia="en-US"/>
              </w:rPr>
              <w:t>the</w:t>
            </w:r>
            <w:proofErr w:type="spellEnd"/>
            <w:r w:rsidRPr="00FF4E93">
              <w:rPr>
                <w:color w:val="000000"/>
                <w:sz w:val="22"/>
                <w:szCs w:val="22"/>
                <w:lang w:eastAsia="en-US"/>
              </w:rPr>
              <w:t xml:space="preserve"> </w:t>
            </w:r>
            <w:proofErr w:type="spellStart"/>
            <w:r w:rsidRPr="00FF4E93">
              <w:rPr>
                <w:color w:val="000000"/>
                <w:sz w:val="22"/>
                <w:szCs w:val="22"/>
                <w:lang w:eastAsia="en-US"/>
              </w:rPr>
              <w:t>virtual</w:t>
            </w:r>
            <w:proofErr w:type="spellEnd"/>
            <w:r w:rsidRPr="00FF4E93">
              <w:rPr>
                <w:color w:val="000000"/>
                <w:sz w:val="22"/>
                <w:szCs w:val="22"/>
                <w:lang w:eastAsia="en-US"/>
              </w:rPr>
              <w:t xml:space="preserve"> </w:t>
            </w:r>
            <w:proofErr w:type="spellStart"/>
            <w:r w:rsidRPr="00FF4E93">
              <w:rPr>
                <w:color w:val="000000"/>
                <w:sz w:val="22"/>
                <w:szCs w:val="22"/>
                <w:lang w:eastAsia="en-US"/>
              </w:rPr>
              <w:t>service</w:t>
            </w:r>
            <w:proofErr w:type="spellEnd"/>
            <w:r w:rsidRPr="00FF4E93">
              <w:rPr>
                <w:color w:val="000000"/>
                <w:sz w:val="22"/>
                <w:szCs w:val="22"/>
                <w:lang w:eastAsia="en-US"/>
              </w:rPr>
              <w:t>.</w:t>
            </w:r>
          </w:p>
        </w:tc>
        <w:tc>
          <w:tcPr>
            <w:tcW w:w="6202" w:type="dxa"/>
          </w:tcPr>
          <w:p w14:paraId="0E84C34A" w14:textId="77777777" w:rsidR="00151DC1" w:rsidRPr="00FF4E93" w:rsidRDefault="00151DC1" w:rsidP="00151DC1">
            <w:pPr>
              <w:widowControl w:val="0"/>
              <w:autoSpaceDE w:val="0"/>
              <w:autoSpaceDN w:val="0"/>
              <w:adjustRightInd w:val="0"/>
              <w:spacing w:before="0" w:after="0" w:line="200" w:lineRule="atLeast"/>
              <w:rPr>
                <w:i/>
                <w:color w:val="000000"/>
                <w:sz w:val="22"/>
                <w:szCs w:val="22"/>
                <w:lang w:eastAsia="en-US"/>
              </w:rPr>
            </w:pPr>
            <w:proofErr w:type="spellStart"/>
            <w:r w:rsidRPr="00FF4E93">
              <w:rPr>
                <w:i/>
                <w:color w:val="000000"/>
                <w:sz w:val="22"/>
                <w:szCs w:val="22"/>
                <w:lang w:eastAsia="en-US"/>
              </w:rPr>
              <w:t>MindMaze</w:t>
            </w:r>
            <w:proofErr w:type="spellEnd"/>
            <w:r w:rsidRPr="00FF4E93">
              <w:rPr>
                <w:i/>
                <w:color w:val="000000"/>
                <w:sz w:val="22"/>
                <w:szCs w:val="22"/>
                <w:lang w:eastAsia="en-US"/>
              </w:rPr>
              <w:t xml:space="preserve"> </w:t>
            </w:r>
            <w:proofErr w:type="spellStart"/>
            <w:r w:rsidRPr="00FF4E93">
              <w:rPr>
                <w:i/>
                <w:color w:val="000000"/>
                <w:sz w:val="22"/>
                <w:szCs w:val="22"/>
                <w:lang w:eastAsia="en-US"/>
              </w:rPr>
              <w:t>offers</w:t>
            </w:r>
            <w:proofErr w:type="spellEnd"/>
            <w:r w:rsidRPr="00FF4E93">
              <w:rPr>
                <w:i/>
                <w:color w:val="000000"/>
                <w:sz w:val="22"/>
                <w:szCs w:val="22"/>
                <w:lang w:eastAsia="en-US"/>
              </w:rPr>
              <w:t xml:space="preserve"> </w:t>
            </w:r>
            <w:proofErr w:type="spellStart"/>
            <w:r w:rsidRPr="00FF4E93">
              <w:rPr>
                <w:i/>
                <w:color w:val="000000"/>
                <w:sz w:val="22"/>
                <w:szCs w:val="22"/>
                <w:lang w:eastAsia="en-US"/>
              </w:rPr>
              <w:t>MindMotionPRO</w:t>
            </w:r>
            <w:proofErr w:type="spellEnd"/>
            <w:r w:rsidRPr="00FF4E93">
              <w:rPr>
                <w:i/>
                <w:color w:val="000000"/>
                <w:sz w:val="22"/>
                <w:szCs w:val="22"/>
                <w:lang w:eastAsia="en-US"/>
              </w:rPr>
              <w:t xml:space="preserve">, </w:t>
            </w:r>
            <w:proofErr w:type="spellStart"/>
            <w:r w:rsidRPr="00FF4E93">
              <w:rPr>
                <w:i/>
                <w:color w:val="000000"/>
                <w:sz w:val="22"/>
                <w:szCs w:val="22"/>
                <w:lang w:eastAsia="en-US"/>
              </w:rPr>
              <w:t>which</w:t>
            </w:r>
            <w:proofErr w:type="spellEnd"/>
            <w:r w:rsidRPr="00FF4E93">
              <w:rPr>
                <w:i/>
                <w:color w:val="000000"/>
                <w:sz w:val="22"/>
                <w:szCs w:val="22"/>
                <w:lang w:eastAsia="en-US"/>
              </w:rPr>
              <w:t xml:space="preserve"> </w:t>
            </w:r>
            <w:proofErr w:type="spellStart"/>
            <w:r w:rsidRPr="00FF4E93">
              <w:rPr>
                <w:i/>
                <w:color w:val="000000"/>
                <w:sz w:val="22"/>
                <w:szCs w:val="22"/>
                <w:lang w:eastAsia="en-US"/>
              </w:rPr>
              <w:t>provides</w:t>
            </w:r>
            <w:proofErr w:type="spellEnd"/>
            <w:r w:rsidRPr="00FF4E93">
              <w:rPr>
                <w:i/>
                <w:color w:val="000000"/>
                <w:sz w:val="22"/>
                <w:szCs w:val="22"/>
                <w:lang w:eastAsia="en-US"/>
              </w:rPr>
              <w:t xml:space="preserve"> </w:t>
            </w:r>
            <w:proofErr w:type="spellStart"/>
            <w:r w:rsidRPr="00FF4E93">
              <w:rPr>
                <w:i/>
                <w:color w:val="000000"/>
                <w:sz w:val="22"/>
                <w:szCs w:val="22"/>
                <w:lang w:eastAsia="en-US"/>
              </w:rPr>
              <w:t>patients</w:t>
            </w:r>
            <w:proofErr w:type="spellEnd"/>
            <w:r w:rsidRPr="00FF4E93">
              <w:rPr>
                <w:i/>
                <w:color w:val="000000"/>
                <w:sz w:val="22"/>
                <w:szCs w:val="22"/>
                <w:lang w:eastAsia="en-US"/>
              </w:rPr>
              <w:t xml:space="preserve"> </w:t>
            </w:r>
            <w:proofErr w:type="spellStart"/>
            <w:r w:rsidRPr="00FF4E93">
              <w:rPr>
                <w:i/>
                <w:color w:val="000000"/>
                <w:sz w:val="22"/>
                <w:szCs w:val="22"/>
                <w:lang w:eastAsia="en-US"/>
              </w:rPr>
              <w:t>with</w:t>
            </w:r>
            <w:proofErr w:type="spellEnd"/>
            <w:r w:rsidRPr="00FF4E93">
              <w:rPr>
                <w:i/>
                <w:color w:val="000000"/>
                <w:sz w:val="22"/>
                <w:szCs w:val="22"/>
                <w:lang w:eastAsia="en-US"/>
              </w:rPr>
              <w:t xml:space="preserve"> </w:t>
            </w:r>
            <w:proofErr w:type="spellStart"/>
            <w:r w:rsidRPr="00FF4E93">
              <w:rPr>
                <w:b/>
                <w:bCs/>
                <w:i/>
                <w:color w:val="000000"/>
                <w:sz w:val="22"/>
                <w:szCs w:val="22"/>
                <w:lang w:eastAsia="en-US"/>
              </w:rPr>
              <w:t>engaging</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and</w:t>
            </w:r>
            <w:proofErr w:type="spellEnd"/>
            <w:r w:rsidRPr="00FF4E93">
              <w:rPr>
                <w:b/>
                <w:bCs/>
                <w:i/>
                <w:color w:val="000000"/>
                <w:sz w:val="22"/>
                <w:szCs w:val="22"/>
                <w:lang w:eastAsia="en-US"/>
              </w:rPr>
              <w:t xml:space="preserve"> motivational </w:t>
            </w:r>
            <w:proofErr w:type="spellStart"/>
            <w:r w:rsidRPr="00FF4E93">
              <w:rPr>
                <w:b/>
                <w:bCs/>
                <w:i/>
                <w:color w:val="000000"/>
                <w:sz w:val="22"/>
                <w:szCs w:val="22"/>
                <w:lang w:eastAsia="en-US"/>
              </w:rPr>
              <w:t>virtual</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reality</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rehabilitation</w:t>
            </w:r>
            <w:proofErr w:type="spellEnd"/>
            <w:r w:rsidRPr="00FF4E93">
              <w:rPr>
                <w:b/>
                <w:bCs/>
                <w:i/>
                <w:color w:val="000000"/>
                <w:sz w:val="22"/>
                <w:szCs w:val="22"/>
                <w:lang w:eastAsia="en-US"/>
              </w:rPr>
              <w:t xml:space="preserve"> </w:t>
            </w:r>
            <w:proofErr w:type="spellStart"/>
            <w:r w:rsidRPr="00FF4E93">
              <w:rPr>
                <w:b/>
                <w:bCs/>
                <w:i/>
                <w:color w:val="000000"/>
                <w:sz w:val="22"/>
                <w:szCs w:val="22"/>
                <w:lang w:eastAsia="en-US"/>
              </w:rPr>
              <w:t>programs</w:t>
            </w:r>
            <w:proofErr w:type="spellEnd"/>
            <w:r w:rsidRPr="00FF4E93">
              <w:rPr>
                <w:i/>
                <w:color w:val="000000"/>
                <w:sz w:val="22"/>
                <w:szCs w:val="22"/>
                <w:lang w:eastAsia="en-US"/>
              </w:rPr>
              <w:t xml:space="preserve"> </w:t>
            </w:r>
            <w:proofErr w:type="spellStart"/>
            <w:r w:rsidRPr="00FF4E93">
              <w:rPr>
                <w:i/>
                <w:color w:val="000000"/>
                <w:sz w:val="22"/>
                <w:szCs w:val="22"/>
                <w:lang w:eastAsia="en-US"/>
              </w:rPr>
              <w:t>that</w:t>
            </w:r>
            <w:proofErr w:type="spellEnd"/>
            <w:r w:rsidRPr="00FF4E93">
              <w:rPr>
                <w:i/>
                <w:color w:val="000000"/>
                <w:sz w:val="22"/>
                <w:szCs w:val="22"/>
                <w:lang w:eastAsia="en-US"/>
              </w:rPr>
              <w:t xml:space="preserve"> </w:t>
            </w:r>
            <w:proofErr w:type="spellStart"/>
            <w:r w:rsidRPr="00FF4E93">
              <w:rPr>
                <w:i/>
                <w:color w:val="000000"/>
                <w:sz w:val="22"/>
                <w:szCs w:val="22"/>
                <w:lang w:eastAsia="en-US"/>
              </w:rPr>
              <w:t>support</w:t>
            </w:r>
            <w:proofErr w:type="spellEnd"/>
            <w:r w:rsidRPr="00FF4E93">
              <w:rPr>
                <w:i/>
                <w:color w:val="000000"/>
                <w:sz w:val="22"/>
                <w:szCs w:val="22"/>
                <w:lang w:eastAsia="en-US"/>
              </w:rPr>
              <w:t xml:space="preserve"> </w:t>
            </w:r>
            <w:proofErr w:type="spellStart"/>
            <w:r w:rsidRPr="00FF4E93">
              <w:rPr>
                <w:i/>
                <w:color w:val="000000"/>
                <w:sz w:val="22"/>
                <w:szCs w:val="22"/>
                <w:lang w:eastAsia="en-US"/>
              </w:rPr>
              <w:t>their</w:t>
            </w:r>
            <w:proofErr w:type="spellEnd"/>
            <w:r w:rsidRPr="00FF4E93">
              <w:rPr>
                <w:i/>
                <w:color w:val="000000"/>
                <w:sz w:val="22"/>
                <w:szCs w:val="22"/>
                <w:lang w:eastAsia="en-US"/>
              </w:rPr>
              <w:t xml:space="preserve"> </w:t>
            </w:r>
            <w:proofErr w:type="spellStart"/>
            <w:r w:rsidRPr="00FF4E93">
              <w:rPr>
                <w:i/>
                <w:color w:val="000000"/>
                <w:sz w:val="22"/>
                <w:szCs w:val="22"/>
                <w:lang w:eastAsia="en-US"/>
              </w:rPr>
              <w:t>recovery</w:t>
            </w:r>
            <w:proofErr w:type="spellEnd"/>
            <w:r w:rsidRPr="00FF4E93">
              <w:rPr>
                <w:i/>
                <w:color w:val="000000"/>
                <w:sz w:val="22"/>
                <w:szCs w:val="22"/>
                <w:lang w:eastAsia="en-US"/>
              </w:rPr>
              <w:t xml:space="preserve"> </w:t>
            </w:r>
            <w:proofErr w:type="spellStart"/>
            <w:r w:rsidRPr="00FF4E93">
              <w:rPr>
                <w:i/>
                <w:color w:val="000000"/>
                <w:sz w:val="22"/>
                <w:szCs w:val="22"/>
                <w:lang w:eastAsia="en-US"/>
              </w:rPr>
              <w:t>goals</w:t>
            </w:r>
            <w:proofErr w:type="spellEnd"/>
            <w:r w:rsidRPr="00FF4E93">
              <w:rPr>
                <w:i/>
                <w:color w:val="000000"/>
                <w:sz w:val="22"/>
                <w:szCs w:val="22"/>
                <w:lang w:eastAsia="en-US"/>
              </w:rPr>
              <w:t xml:space="preserve"> </w:t>
            </w:r>
            <w:proofErr w:type="spellStart"/>
            <w:r w:rsidRPr="00FF4E93">
              <w:rPr>
                <w:i/>
                <w:color w:val="000000"/>
                <w:sz w:val="22"/>
                <w:szCs w:val="22"/>
                <w:lang w:eastAsia="en-US"/>
              </w:rPr>
              <w:t>enabling</w:t>
            </w:r>
            <w:proofErr w:type="spellEnd"/>
            <w:r w:rsidRPr="00FF4E93">
              <w:rPr>
                <w:i/>
                <w:color w:val="000000"/>
                <w:sz w:val="22"/>
                <w:szCs w:val="22"/>
                <w:lang w:eastAsia="en-US"/>
              </w:rPr>
              <w:t xml:space="preserve"> </w:t>
            </w:r>
            <w:proofErr w:type="spellStart"/>
            <w:r w:rsidRPr="00FF4E93">
              <w:rPr>
                <w:i/>
                <w:color w:val="000000"/>
                <w:sz w:val="22"/>
                <w:szCs w:val="22"/>
                <w:lang w:eastAsia="en-US"/>
              </w:rPr>
              <w:t>them</w:t>
            </w:r>
            <w:proofErr w:type="spellEnd"/>
            <w:r w:rsidRPr="00FF4E93">
              <w:rPr>
                <w:i/>
                <w:color w:val="000000"/>
                <w:sz w:val="22"/>
                <w:szCs w:val="22"/>
                <w:lang w:eastAsia="en-US"/>
              </w:rPr>
              <w:t xml:space="preserve"> </w:t>
            </w:r>
            <w:proofErr w:type="spellStart"/>
            <w:r w:rsidRPr="00FF4E93">
              <w:rPr>
                <w:i/>
                <w:color w:val="000000"/>
                <w:sz w:val="22"/>
                <w:szCs w:val="22"/>
                <w:lang w:eastAsia="en-US"/>
              </w:rPr>
              <w:t>to</w:t>
            </w:r>
            <w:proofErr w:type="spellEnd"/>
            <w:r w:rsidRPr="00FF4E93">
              <w:rPr>
                <w:i/>
                <w:color w:val="000000"/>
                <w:sz w:val="22"/>
                <w:szCs w:val="22"/>
                <w:lang w:eastAsia="en-US"/>
              </w:rPr>
              <w:t xml:space="preserve"> follow a </w:t>
            </w:r>
            <w:proofErr w:type="spellStart"/>
            <w:r w:rsidRPr="00FF4E93">
              <w:rPr>
                <w:i/>
                <w:color w:val="000000"/>
                <w:sz w:val="22"/>
                <w:szCs w:val="22"/>
                <w:lang w:eastAsia="en-US"/>
              </w:rPr>
              <w:t>personalized</w:t>
            </w:r>
            <w:proofErr w:type="spellEnd"/>
            <w:r w:rsidRPr="00FF4E93">
              <w:rPr>
                <w:i/>
                <w:color w:val="000000"/>
                <w:sz w:val="22"/>
                <w:szCs w:val="22"/>
                <w:lang w:eastAsia="en-US"/>
              </w:rPr>
              <w:t xml:space="preserve"> </w:t>
            </w:r>
            <w:proofErr w:type="spellStart"/>
            <w:r w:rsidRPr="00FF4E93">
              <w:rPr>
                <w:i/>
                <w:color w:val="000000"/>
                <w:sz w:val="22"/>
                <w:szCs w:val="22"/>
                <w:lang w:eastAsia="en-US"/>
              </w:rPr>
              <w:t>exercise</w:t>
            </w:r>
            <w:proofErr w:type="spellEnd"/>
            <w:r w:rsidRPr="00FF4E93">
              <w:rPr>
                <w:i/>
                <w:color w:val="000000"/>
                <w:sz w:val="22"/>
                <w:szCs w:val="22"/>
                <w:lang w:eastAsia="en-US"/>
              </w:rPr>
              <w:t xml:space="preserve"> </w:t>
            </w:r>
            <w:proofErr w:type="spellStart"/>
            <w:r w:rsidRPr="00FF4E93">
              <w:rPr>
                <w:i/>
                <w:color w:val="000000"/>
                <w:sz w:val="22"/>
                <w:szCs w:val="22"/>
                <w:lang w:eastAsia="en-US"/>
              </w:rPr>
              <w:t>regimen</w:t>
            </w:r>
            <w:proofErr w:type="spellEnd"/>
            <w:r w:rsidRPr="00FF4E93">
              <w:rPr>
                <w:i/>
                <w:color w:val="000000"/>
                <w:sz w:val="22"/>
                <w:szCs w:val="22"/>
                <w:lang w:eastAsia="en-US"/>
              </w:rPr>
              <w:t xml:space="preserve"> </w:t>
            </w:r>
            <w:proofErr w:type="spellStart"/>
            <w:r w:rsidRPr="00FF4E93">
              <w:rPr>
                <w:i/>
                <w:color w:val="000000"/>
                <w:sz w:val="22"/>
                <w:szCs w:val="22"/>
                <w:lang w:eastAsia="en-US"/>
              </w:rPr>
              <w:t>prescribed</w:t>
            </w:r>
            <w:proofErr w:type="spellEnd"/>
            <w:r w:rsidRPr="00FF4E93">
              <w:rPr>
                <w:i/>
                <w:color w:val="000000"/>
                <w:sz w:val="22"/>
                <w:szCs w:val="22"/>
                <w:lang w:eastAsia="en-US"/>
              </w:rPr>
              <w:t xml:space="preserve"> </w:t>
            </w:r>
            <w:proofErr w:type="spellStart"/>
            <w:r w:rsidRPr="00FF4E93">
              <w:rPr>
                <w:i/>
                <w:color w:val="000000"/>
                <w:sz w:val="22"/>
                <w:szCs w:val="22"/>
                <w:lang w:eastAsia="en-US"/>
              </w:rPr>
              <w:t>by</w:t>
            </w:r>
            <w:proofErr w:type="spellEnd"/>
            <w:r w:rsidRPr="00FF4E93">
              <w:rPr>
                <w:i/>
                <w:color w:val="000000"/>
                <w:sz w:val="22"/>
                <w:szCs w:val="22"/>
                <w:lang w:eastAsia="en-US"/>
              </w:rPr>
              <w:t xml:space="preserve"> </w:t>
            </w:r>
            <w:proofErr w:type="spellStart"/>
            <w:r w:rsidRPr="00FF4E93">
              <w:rPr>
                <w:i/>
                <w:color w:val="000000"/>
                <w:sz w:val="22"/>
                <w:szCs w:val="22"/>
                <w:lang w:eastAsia="en-US"/>
              </w:rPr>
              <w:t>the</w:t>
            </w:r>
            <w:proofErr w:type="spellEnd"/>
            <w:r w:rsidRPr="00FF4E93">
              <w:rPr>
                <w:i/>
                <w:color w:val="000000"/>
                <w:sz w:val="22"/>
                <w:szCs w:val="22"/>
                <w:lang w:eastAsia="en-US"/>
              </w:rPr>
              <w:t xml:space="preserve"> </w:t>
            </w:r>
            <w:proofErr w:type="spellStart"/>
            <w:r w:rsidRPr="00FF4E93">
              <w:rPr>
                <w:i/>
                <w:color w:val="000000"/>
                <w:sz w:val="22"/>
                <w:szCs w:val="22"/>
                <w:lang w:eastAsia="en-US"/>
              </w:rPr>
              <w:t>rehabilitation</w:t>
            </w:r>
            <w:proofErr w:type="spellEnd"/>
            <w:r w:rsidRPr="00FF4E93">
              <w:rPr>
                <w:i/>
                <w:color w:val="000000"/>
                <w:sz w:val="22"/>
                <w:szCs w:val="22"/>
                <w:lang w:eastAsia="en-US"/>
              </w:rPr>
              <w:t xml:space="preserve"> expert.</w:t>
            </w:r>
          </w:p>
        </w:tc>
      </w:tr>
    </w:tbl>
    <w:p w14:paraId="61C6D9E7" w14:textId="77777777" w:rsidR="00151DC1" w:rsidRPr="00FF4E93" w:rsidRDefault="00151DC1" w:rsidP="00151DC1">
      <w:pPr>
        <w:spacing w:after="0"/>
        <w:rPr>
          <w:rFonts w:eastAsia="Times New Roman"/>
          <w:sz w:val="26"/>
          <w:lang w:eastAsia="de-AT"/>
        </w:rPr>
        <w:sectPr w:rsidR="00151DC1" w:rsidRPr="00FF4E93" w:rsidSect="00C54569">
          <w:headerReference w:type="default" r:id="rId10"/>
          <w:headerReference w:type="first" r:id="rId11"/>
          <w:pgSz w:w="16838" w:h="11906" w:orient="landscape"/>
          <w:pgMar w:top="1417" w:right="1417" w:bottom="1417" w:left="1134" w:header="708" w:footer="708" w:gutter="0"/>
          <w:cols w:space="708"/>
          <w:docGrid w:linePitch="360"/>
        </w:sectPr>
      </w:pPr>
    </w:p>
    <w:p w14:paraId="24A25FA4" w14:textId="77777777" w:rsidR="00151DC1" w:rsidRPr="00FF4E93" w:rsidRDefault="00151DC1" w:rsidP="00151DC1">
      <w:pPr>
        <w:keepNext/>
        <w:spacing w:after="0"/>
        <w:ind w:left="720" w:hanging="720"/>
        <w:outlineLvl w:val="2"/>
        <w:rPr>
          <w:rFonts w:eastAsia="Times New Roman"/>
          <w:bCs/>
          <w:i/>
          <w:sz w:val="26"/>
          <w:szCs w:val="26"/>
          <w:lang w:eastAsia="de-AT"/>
        </w:rPr>
      </w:pPr>
      <w:r w:rsidRPr="00FF4E93">
        <w:rPr>
          <w:rFonts w:eastAsia="Times New Roman"/>
          <w:bCs/>
          <w:i/>
          <w:sz w:val="26"/>
          <w:szCs w:val="26"/>
          <w:lang w:eastAsia="de-AT"/>
        </w:rPr>
        <w:lastRenderedPageBreak/>
        <w:t>Analysis of configurations</w:t>
      </w:r>
    </w:p>
    <w:p w14:paraId="043BDF90" w14:textId="77777777" w:rsidR="00151DC1" w:rsidRPr="00FF4E93" w:rsidRDefault="00151DC1" w:rsidP="00151DC1">
      <w:pPr>
        <w:spacing w:after="0"/>
        <w:rPr>
          <w:rFonts w:eastAsia="Times New Roman"/>
          <w:sz w:val="26"/>
        </w:rPr>
      </w:pPr>
      <w:r w:rsidRPr="00FF4E93">
        <w:rPr>
          <w:rFonts w:eastAsia="Times New Roman"/>
          <w:sz w:val="26"/>
        </w:rPr>
        <w:t xml:space="preserve">The next step aimed for the identification of pattern configurations based on the analysis of the frequency of pattern co-occurrences in the sample. The identification of configurations inevitably involves design trade-offs between </w:t>
      </w:r>
      <w:r w:rsidRPr="00FF4E93">
        <w:rPr>
          <w:rFonts w:eastAsia="Times New Roman"/>
          <w:i/>
          <w:sz w:val="26"/>
        </w:rPr>
        <w:t>generalizability, accuracy, and simplicity</w:t>
      </w:r>
      <w:r w:rsidRPr="00FF4E93">
        <w:rPr>
          <w:rFonts w:eastAsia="Times New Roman"/>
          <w:sz w:val="26"/>
        </w:rPr>
        <w:t xml:space="preserve">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{"citationItems":[{"id":"ITEM-1","itemData":{"author":[{"dropping-particle":"","family":"Weick","given":"Karl E.","non-dropping-particle":"","parse-names":false,"suffix":""}],"edition":"2nd","id":"ITEM-1","issued":{"date-parts":[["1979"]]},"publisher":"Addison-Wesley","publisher-place":"Reading, MA","title":"The Social Psychology of Organizing","type":"book"},"uris":["http://www.mendeley.com/documents/?uuid=afd3b2a6-503c-499c-8b58-f7bc7d65cd9d"]}],"mendeley":{"formattedCitation":"(Weick, 1979)","plainTextFormattedCitation":"(Weick, 1979)","previouslyFormattedCitation":"(Weick, 1979)"},"properties":{"noteIndex":0},"schema":"https://github.com/citation-style-language/schema/raw/master/csl-citation.json"}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(Weick, 1979)</w:t>
      </w:r>
      <w:r w:rsidRPr="00FF4E93">
        <w:rPr>
          <w:rFonts w:eastAsia="Times New Roman"/>
          <w:sz w:val="26"/>
        </w:rPr>
        <w:fldChar w:fldCharType="end"/>
      </w:r>
      <w:r w:rsidRPr="00FF4E93">
        <w:rPr>
          <w:rFonts w:eastAsia="Times New Roman"/>
          <w:sz w:val="26"/>
        </w:rPr>
        <w:t xml:space="preserve">. Generalizability refers to the robustness of configurations across different contexts, such as (technology) domains. Accuracy refers to the level of richness a configuration captures. Simplicity refers to the number of variables a researcher must contend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Dess","given":"G","non-dropping-particle":"","parse-names":false,"suffix":""},{"dropping-particle":"","family":"Newport","given":"S","non-dropping-particle":"","parse-names":false,"suffix":""},{"dropping-particle":"","family":"Rasheed","given":"A","non-dropping-particle":"","parse-names":false,"suffix":""}],"container-title":"Journal of Management","id":"ITEM-1","issue":"4","issued":{"date-parts":[["1993"]]},"page":"775-795","title":"Configuration research in strategic management: Key issues and suggestions","type":"article-journal","volume":"19"},"uris":["http://www.mendeley.com/documents/?uuid=99e810af-c71d-4236-b9b9-891fed9ab369"]}],"mendeley":{"formattedCitation":"(Dess et al., 1993)","plainTextFormattedCitation":"(Dess et al., 1993)","previouslyFormattedCitation":"(Dess et al., 1993)"},"properties":{"noteIndex":0},"schema":"https://github.com/citation-style-language/schema/raw/master/csl-citation.json"}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(Dess et al., 1993)</w:t>
      </w:r>
      <w:r w:rsidRPr="00FF4E93">
        <w:rPr>
          <w:rFonts w:eastAsia="Times New Roman"/>
          <w:sz w:val="26"/>
        </w:rPr>
        <w:fldChar w:fldCharType="end"/>
      </w:r>
      <w:r w:rsidRPr="00FF4E93">
        <w:rPr>
          <w:rFonts w:eastAsia="Times New Roman"/>
          <w:sz w:val="26"/>
        </w:rPr>
        <w:t>. In the course of our study, the trade-off between accuracy and simplicity prove particularly relevant when deciding for the number of patterns a configuration constitutes:</w:t>
      </w:r>
    </w:p>
    <w:p w14:paraId="07FC47A5" w14:textId="77777777" w:rsidR="00151DC1" w:rsidRPr="00FF4E93" w:rsidRDefault="00151DC1" w:rsidP="00151DC1">
      <w:pPr>
        <w:spacing w:after="0"/>
        <w:rPr>
          <w:rFonts w:eastAsia="Times New Roman"/>
          <w:sz w:val="26"/>
        </w:rPr>
      </w:pPr>
      <w:r w:rsidRPr="00FF4E93">
        <w:rPr>
          <w:rFonts w:eastAsia="Times New Roman"/>
          <w:sz w:val="26"/>
        </w:rPr>
        <w:t xml:space="preserve">A set of configurations is intended to represent a large fraction of an observed population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{"citationItems":[{"id":"ITEM-1","itemData":{"author":[{"dropping-particle":"","family":"Miller","given":"D.","non-dropping-particle":"","parse-names":false,"suffix":""},{"dropping-particle":"","family":"Friesen","given":"P. H.","non-dropping-particle":"","parse-names":false,"suffix":""}],"id":"ITEM-1","issued":{"date-parts":[["1984"]]},"publisher":"Prentice-Hall","publisher-place":"Englewood Cliffs, NJ","title":"Organizations: A quantum view","type":"book"},"uris":["http://www.mendeley.com/documents/?uuid=4a06ffcf-13da-4a18-9210-7f08973bb343"]}],"mendeley":{"formattedCitation":"(D. Miller &amp; Friesen, 1984)","manualFormatting":"(Miller &amp; Friesen, 1984)","plainTextFormattedCitation":"(D. Miller &amp; Friesen, 1984)","previouslyFormattedCitation":"(D. Miller &amp; Friesen, 1984)"},"properties":{"noteIndex":0},"schema":"https://github.com/citation-style-language/schema/raw/master/csl-citation.json"}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(Miller &amp; Friesen, 1984)</w:t>
      </w:r>
      <w:r w:rsidRPr="00FF4E93">
        <w:rPr>
          <w:rFonts w:eastAsia="Times New Roman"/>
          <w:sz w:val="26"/>
        </w:rPr>
        <w:fldChar w:fldCharType="end"/>
      </w:r>
      <w:r w:rsidRPr="00FF4E93">
        <w:rPr>
          <w:rFonts w:eastAsia="Times New Roman"/>
          <w:sz w:val="26"/>
        </w:rPr>
        <w:t xml:space="preserve">, which favours bivariate configurations, since any multivariate configuration only represents a subset that covers the same or less number of sampled ventures. Seeking to achieve high coverage in the set of ventures through many multivariate configurations is contradicting simplicity. However, when reducing the number of patterns a configuration entails, it is less capable of describing fitness in a venture’s business model; it loses its </w:t>
      </w:r>
      <w:r w:rsidRPr="00FF4E93">
        <w:rPr>
          <w:rFonts w:eastAsia="Times New Roman"/>
          <w:i/>
          <w:sz w:val="26"/>
        </w:rPr>
        <w:t>‘richness’</w:t>
      </w:r>
      <w:r w:rsidRPr="00FF4E93">
        <w:rPr>
          <w:rFonts w:eastAsia="Times New Roman"/>
          <w:sz w:val="26"/>
        </w:rPr>
        <w:t xml:space="preserve">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Dess","given":"G","non-dropping-particle":"","parse-names":false,"suffix":""},{"dropping-particle":"","family":"Newport","given":"S","non-dropping-particle":"","parse-names":false,"suffix":""},{"dropping-particle":"","family":"Rasheed","given":"A","non-dropping-particle":"","parse-names":false,"suffix":""}],"container-title":"Journal of Management","id":"ITEM-1","issue":"4","issued":{"date-parts":[["1993"]]},"page":"775-795","title":"Configuration research in strategic management: Key issues and suggestions","type":"article-journal","volume":"19"},"uris":["http://www.mendeley.com/documents/?uuid=99e810af-c71d-4236-b9b9-891fed9ab369"]}],"mendeley":{"formattedCitation":"(Dess et al., 1993)","plainTextFormattedCitation":"(Dess et al., 1993)","previouslyFormattedCitation":"(Dess et al., 1993)"},"properties":{"noteIndex":0},"schema":"https://github.com/citation-style-language/schema/raw/master/csl-citation.json"}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(Dess et al., 1993)</w:t>
      </w:r>
      <w:r w:rsidRPr="00FF4E93">
        <w:rPr>
          <w:rFonts w:eastAsia="Times New Roman"/>
          <w:sz w:val="26"/>
        </w:rPr>
        <w:fldChar w:fldCharType="end"/>
      </w:r>
      <w:r w:rsidRPr="00FF4E93">
        <w:rPr>
          <w:rFonts w:eastAsia="Times New Roman"/>
          <w:sz w:val="26"/>
        </w:rPr>
        <w:t xml:space="preserve">. </w:t>
      </w:r>
    </w:p>
    <w:p w14:paraId="74553E7C" w14:textId="77777777" w:rsidR="00151DC1" w:rsidRPr="00FF4E93" w:rsidRDefault="00151DC1" w:rsidP="00151DC1">
      <w:pPr>
        <w:spacing w:after="0"/>
        <w:rPr>
          <w:rFonts w:eastAsia="Times New Roman"/>
          <w:i/>
          <w:sz w:val="26"/>
        </w:rPr>
      </w:pPr>
      <w:r w:rsidRPr="00FF4E93">
        <w:rPr>
          <w:rFonts w:eastAsia="Times New Roman"/>
          <w:sz w:val="26"/>
        </w:rPr>
        <w:t>In order to resolve this trade-off, we looked at the weighted relative frequency of every bivariate and multivariate pattern combination as well as their cumulative coverage within our sample. The weighted relative frequency is used to accommodate the differences in sampled ventures for the technology domains</w:t>
      </w:r>
      <w:r w:rsidRPr="00FF4E93">
        <w:rPr>
          <w:rFonts w:eastAsia="Times New Roman"/>
          <w:i/>
          <w:sz w:val="26"/>
        </w:rPr>
        <w:t xml:space="preserve">. </w:t>
      </w:r>
    </w:p>
    <w:p w14:paraId="054B0812" w14:textId="22F2F547" w:rsidR="00151DC1" w:rsidRPr="00FF4E93" w:rsidRDefault="00151DC1" w:rsidP="00151DC1">
      <w:pPr>
        <w:spacing w:after="0"/>
        <w:rPr>
          <w:rFonts w:eastAsia="Times New Roman"/>
          <w:sz w:val="26"/>
        </w:rPr>
      </w:pPr>
      <w:r w:rsidRPr="00FF4E93">
        <w:rPr>
          <w:rFonts w:eastAsia="Times New Roman"/>
          <w:i/>
          <w:sz w:val="26"/>
        </w:rPr>
        <w:fldChar w:fldCharType="begin"/>
      </w:r>
      <w:r w:rsidRPr="00FF4E93">
        <w:rPr>
          <w:rFonts w:eastAsia="Times New Roman"/>
          <w:i/>
          <w:sz w:val="26"/>
        </w:rPr>
        <w:instrText xml:space="preserve"> REF _Ref532285890 \h  \* MERGEFORMAT </w:instrText>
      </w:r>
      <w:r w:rsidRPr="00FF4E93">
        <w:rPr>
          <w:rFonts w:eastAsia="Times New Roman"/>
          <w:i/>
          <w:sz w:val="26"/>
        </w:rPr>
      </w:r>
      <w:r w:rsidRPr="00FF4E93">
        <w:rPr>
          <w:rFonts w:eastAsia="Times New Roman"/>
          <w:i/>
          <w:sz w:val="26"/>
        </w:rPr>
        <w:fldChar w:fldCharType="separate"/>
      </w:r>
      <w:r w:rsidR="00D231CD" w:rsidRPr="00FF4E93">
        <w:rPr>
          <w:rFonts w:eastAsia="Times New Roman"/>
          <w:i/>
          <w:sz w:val="26"/>
        </w:rPr>
        <w:t>Table 3</w:t>
      </w:r>
      <w:r w:rsidR="00D231CD" w:rsidRPr="00FF4E93">
        <w:rPr>
          <w:rFonts w:eastAsia="Times New Roman"/>
          <w:i/>
          <w:sz w:val="26"/>
        </w:rPr>
        <w:noBreakHyphen/>
        <w:t>2</w:t>
      </w:r>
      <w:r w:rsidRPr="00FF4E93">
        <w:rPr>
          <w:rFonts w:eastAsia="Times New Roman"/>
          <w:i/>
          <w:sz w:val="26"/>
        </w:rPr>
        <w:fldChar w:fldCharType="end"/>
      </w:r>
      <w:r w:rsidRPr="00FF4E93">
        <w:rPr>
          <w:rFonts w:eastAsia="Times New Roman"/>
          <w:sz w:val="26"/>
        </w:rPr>
        <w:t xml:space="preserve"> displays these combinations comprising two, three, and four patterns, respectively. This analysis held two main insights: First, covering the majority of sampled ventures is possible based on only three pattern pairs. I contrast, the most common combinations of three, or four patterns collectively cover less than 50%. In particular, the ten most common quadruples collectively only cover 14.6% of the sampled ventures, while all but two combinations occur in less than 3% of the cases. Second, all combinations rely on a small number of different patterns. The most common combinations displayed in </w:t>
      </w:r>
      <w:r w:rsidRPr="00FF4E93">
        <w:rPr>
          <w:rFonts w:eastAsia="Times New Roman"/>
          <w:i/>
          <w:sz w:val="26"/>
        </w:rPr>
        <w:fldChar w:fldCharType="begin"/>
      </w:r>
      <w:r w:rsidRPr="00FF4E93">
        <w:rPr>
          <w:rFonts w:eastAsia="Times New Roman"/>
          <w:i/>
          <w:sz w:val="26"/>
        </w:rPr>
        <w:instrText xml:space="preserve"> REF _Ref532285890 \h  \* MERGEFORMAT </w:instrText>
      </w:r>
      <w:r w:rsidRPr="00FF4E93">
        <w:rPr>
          <w:rFonts w:eastAsia="Times New Roman"/>
          <w:i/>
          <w:sz w:val="26"/>
        </w:rPr>
      </w:r>
      <w:r w:rsidRPr="00FF4E93">
        <w:rPr>
          <w:rFonts w:eastAsia="Times New Roman"/>
          <w:i/>
          <w:sz w:val="26"/>
        </w:rPr>
        <w:fldChar w:fldCharType="separate"/>
      </w:r>
      <w:r w:rsidR="00D231CD" w:rsidRPr="00FF4E93">
        <w:rPr>
          <w:rFonts w:eastAsia="Times New Roman"/>
          <w:i/>
          <w:sz w:val="26"/>
        </w:rPr>
        <w:t>Table 3</w:t>
      </w:r>
      <w:r w:rsidR="00D231CD" w:rsidRPr="00FF4E93">
        <w:rPr>
          <w:rFonts w:eastAsia="Times New Roman"/>
          <w:i/>
          <w:sz w:val="26"/>
        </w:rPr>
        <w:noBreakHyphen/>
        <w:t>2</w:t>
      </w:r>
      <w:r w:rsidRPr="00FF4E93">
        <w:rPr>
          <w:rFonts w:eastAsia="Times New Roman"/>
          <w:i/>
          <w:sz w:val="26"/>
        </w:rPr>
        <w:fldChar w:fldCharType="end"/>
      </w:r>
      <w:r w:rsidRPr="00FF4E93">
        <w:rPr>
          <w:rFonts w:eastAsia="Times New Roman"/>
          <w:sz w:val="26"/>
        </w:rPr>
        <w:t xml:space="preserve"> comprise only nine different patterns. Based on this insight we conceptualized configurations as combinations of two patterns comprising a set of different, more accurate variants. This allows us to cover a wide range of ventures with few configurations while maintaining accuracy.</w:t>
      </w:r>
    </w:p>
    <w:p w14:paraId="2A81591B" w14:textId="77777777" w:rsidR="00151DC1" w:rsidRPr="00FF4E93" w:rsidRDefault="00151DC1" w:rsidP="00151DC1">
      <w:pPr>
        <w:spacing w:before="0" w:after="0" w:line="240" w:lineRule="auto"/>
        <w:jc w:val="left"/>
        <w:rPr>
          <w:rFonts w:eastAsia="Times New Roman"/>
          <w:sz w:val="26"/>
        </w:rPr>
      </w:pPr>
      <w:r w:rsidRPr="00FF4E93">
        <w:rPr>
          <w:rFonts w:eastAsia="Times New Roman"/>
          <w:sz w:val="26"/>
        </w:rPr>
        <w:br w:type="page"/>
      </w:r>
    </w:p>
    <w:p w14:paraId="3F442DFC" w14:textId="05AC7CFF" w:rsidR="00151DC1" w:rsidRPr="00FF4E93" w:rsidRDefault="00151DC1" w:rsidP="00151DC1">
      <w:pPr>
        <w:spacing w:before="240" w:after="240"/>
        <w:ind w:right="521"/>
        <w:rPr>
          <w:rFonts w:eastAsia="Times New Roman"/>
          <w:iCs/>
          <w:color w:val="000000"/>
          <w:szCs w:val="18"/>
          <w:lang w:eastAsia="de-DE"/>
        </w:rPr>
      </w:pPr>
      <w:bookmarkStart w:id="6" w:name="_Ref532285890"/>
      <w:bookmarkStart w:id="7" w:name="_Toc536101330"/>
      <w:r w:rsidRPr="00FF4E93">
        <w:rPr>
          <w:rFonts w:eastAsia="Calibri"/>
          <w:b/>
          <w:iCs/>
          <w:color w:val="000000"/>
          <w:szCs w:val="18"/>
          <w:lang w:eastAsia="de-DE"/>
        </w:rPr>
        <w:lastRenderedPageBreak/>
        <w:t xml:space="preserve">Table </w:t>
      </w:r>
      <w:r w:rsidRPr="00FF4E93">
        <w:rPr>
          <w:rFonts w:eastAsia="Calibri"/>
          <w:b/>
          <w:iCs/>
          <w:color w:val="000000"/>
          <w:szCs w:val="18"/>
          <w:lang w:eastAsia="de-DE"/>
        </w:rPr>
        <w:fldChar w:fldCharType="begin"/>
      </w:r>
      <w:r w:rsidRPr="00FF4E93">
        <w:rPr>
          <w:rFonts w:eastAsia="Calibri"/>
          <w:b/>
          <w:iCs/>
          <w:color w:val="000000"/>
          <w:szCs w:val="18"/>
          <w:lang w:eastAsia="de-DE"/>
        </w:rPr>
        <w:instrText xml:space="preserve"> STYLEREF 1 \s </w:instrText>
      </w:r>
      <w:r w:rsidRPr="00FF4E93">
        <w:rPr>
          <w:rFonts w:eastAsia="Calibri"/>
          <w:b/>
          <w:iCs/>
          <w:color w:val="000000"/>
          <w:szCs w:val="18"/>
          <w:lang w:eastAsia="de-DE"/>
        </w:rPr>
        <w:fldChar w:fldCharType="separate"/>
      </w:r>
      <w:r w:rsidR="00D231CD" w:rsidRPr="00FF4E93">
        <w:rPr>
          <w:rFonts w:eastAsia="Calibri"/>
          <w:b/>
          <w:iCs/>
          <w:noProof/>
          <w:color w:val="000000"/>
          <w:szCs w:val="18"/>
          <w:lang w:eastAsia="de-DE"/>
        </w:rPr>
        <w:t>3</w:t>
      </w:r>
      <w:r w:rsidRPr="00FF4E93">
        <w:rPr>
          <w:rFonts w:eastAsia="Calibri"/>
          <w:b/>
          <w:iCs/>
          <w:color w:val="000000"/>
          <w:szCs w:val="18"/>
          <w:lang w:eastAsia="de-DE"/>
        </w:rPr>
        <w:fldChar w:fldCharType="end"/>
      </w:r>
      <w:r w:rsidRPr="00FF4E93">
        <w:rPr>
          <w:rFonts w:eastAsia="Calibri"/>
          <w:b/>
          <w:iCs/>
          <w:color w:val="000000"/>
          <w:szCs w:val="18"/>
          <w:lang w:eastAsia="de-DE"/>
        </w:rPr>
        <w:noBreakHyphen/>
      </w:r>
      <w:r w:rsidRPr="00FF4E93">
        <w:rPr>
          <w:rFonts w:eastAsia="Calibri"/>
          <w:b/>
          <w:iCs/>
          <w:color w:val="000000"/>
          <w:szCs w:val="18"/>
          <w:lang w:eastAsia="de-DE"/>
        </w:rPr>
        <w:fldChar w:fldCharType="begin"/>
      </w:r>
      <w:r w:rsidRPr="00FF4E93">
        <w:rPr>
          <w:rFonts w:eastAsia="Calibri"/>
          <w:b/>
          <w:iCs/>
          <w:color w:val="000000"/>
          <w:szCs w:val="18"/>
          <w:lang w:eastAsia="de-DE"/>
        </w:rPr>
        <w:instrText xml:space="preserve"> SEQ Table \* ARABIC \s 1 </w:instrText>
      </w:r>
      <w:r w:rsidRPr="00FF4E93">
        <w:rPr>
          <w:rFonts w:eastAsia="Calibri"/>
          <w:b/>
          <w:iCs/>
          <w:color w:val="000000"/>
          <w:szCs w:val="18"/>
          <w:lang w:eastAsia="de-DE"/>
        </w:rPr>
        <w:fldChar w:fldCharType="separate"/>
      </w:r>
      <w:r w:rsidR="00D231CD" w:rsidRPr="00FF4E93">
        <w:rPr>
          <w:rFonts w:eastAsia="Calibri"/>
          <w:b/>
          <w:iCs/>
          <w:noProof/>
          <w:color w:val="000000"/>
          <w:szCs w:val="18"/>
          <w:lang w:eastAsia="de-DE"/>
        </w:rPr>
        <w:t>2</w:t>
      </w:r>
      <w:r w:rsidRPr="00FF4E93">
        <w:rPr>
          <w:rFonts w:eastAsia="Calibri"/>
          <w:b/>
          <w:iCs/>
          <w:color w:val="000000"/>
          <w:szCs w:val="18"/>
          <w:lang w:eastAsia="de-DE"/>
        </w:rPr>
        <w:fldChar w:fldCharType="end"/>
      </w:r>
      <w:bookmarkEnd w:id="6"/>
      <w:r w:rsidRPr="00FF4E93">
        <w:rPr>
          <w:rFonts w:eastAsia="Calibri"/>
          <w:iCs/>
          <w:color w:val="000000"/>
          <w:szCs w:val="18"/>
          <w:lang w:eastAsia="de-DE"/>
        </w:rPr>
        <w:t>: Relative frequency and cumulative</w:t>
      </w:r>
      <w:r w:rsidRPr="00FF4E93">
        <w:rPr>
          <w:rFonts w:eastAsia="Times New Roman"/>
          <w:iCs/>
          <w:color w:val="000000"/>
          <w:szCs w:val="18"/>
          <w:lang w:eastAsia="de-DE"/>
        </w:rPr>
        <w:t xml:space="preserve"> coverage of pattern combinations</w:t>
      </w:r>
      <w:bookmarkEnd w:id="7"/>
    </w:p>
    <w:tbl>
      <w:tblPr>
        <w:tblW w:w="9077" w:type="dxa"/>
        <w:tblBorders>
          <w:top w:val="single" w:sz="4" w:space="0" w:color="auto"/>
          <w:bottom w:val="single" w:sz="4" w:space="0" w:color="auto"/>
        </w:tblBorders>
        <w:tblCellMar>
          <w:left w:w="28" w:type="dxa"/>
          <w:right w:w="28" w:type="dxa"/>
        </w:tblCellMar>
        <w:tblLook w:val="04A0" w:firstRow="1" w:lastRow="0" w:firstColumn="1" w:lastColumn="0" w:noHBand="0" w:noVBand="1"/>
      </w:tblPr>
      <w:tblGrid>
        <w:gridCol w:w="365"/>
        <w:gridCol w:w="5879"/>
        <w:gridCol w:w="1560"/>
        <w:gridCol w:w="1273"/>
      </w:tblGrid>
      <w:tr w:rsidR="00151DC1" w:rsidRPr="00FF4E93" w14:paraId="41E9FD7F" w14:textId="77777777" w:rsidTr="00C54569">
        <w:trPr>
          <w:trHeight w:val="320"/>
        </w:trPr>
        <w:tc>
          <w:tcPr>
            <w:tcW w:w="365" w:type="dxa"/>
            <w:shd w:val="clear" w:color="auto" w:fill="auto"/>
            <w:noWrap/>
            <w:vAlign w:val="bottom"/>
            <w:hideMark/>
          </w:tcPr>
          <w:p w14:paraId="35A4F9D5" w14:textId="77777777" w:rsidR="00151DC1" w:rsidRPr="00FF4E93" w:rsidRDefault="00151DC1" w:rsidP="00151DC1">
            <w:pPr>
              <w:spacing w:before="0" w:after="160" w:line="259" w:lineRule="auto"/>
              <w:jc w:val="left"/>
              <w:rPr>
                <w:rFonts w:eastAsia="Times New Roman"/>
                <w:sz w:val="22"/>
                <w:szCs w:val="22"/>
              </w:rPr>
            </w:pPr>
            <w:bookmarkStart w:id="8" w:name="_Ref531355560"/>
          </w:p>
        </w:tc>
        <w:tc>
          <w:tcPr>
            <w:tcW w:w="5879" w:type="dxa"/>
            <w:shd w:val="clear" w:color="auto" w:fill="auto"/>
            <w:noWrap/>
            <w:vAlign w:val="bottom"/>
            <w:hideMark/>
          </w:tcPr>
          <w:p w14:paraId="15113FB1" w14:textId="77777777" w:rsidR="00151DC1" w:rsidRPr="00FF4E93" w:rsidRDefault="00151DC1" w:rsidP="00151DC1">
            <w:pPr>
              <w:spacing w:before="0" w:after="0" w:line="240" w:lineRule="auto"/>
              <w:jc w:val="left"/>
              <w:rPr>
                <w:rFonts w:eastAsia="Times New Roman"/>
                <w:i/>
                <w:iCs/>
                <w:color w:val="000000"/>
                <w:sz w:val="22"/>
                <w:szCs w:val="22"/>
              </w:rPr>
            </w:pPr>
            <w:r w:rsidRPr="00FF4E93">
              <w:rPr>
                <w:rFonts w:eastAsia="Times New Roman"/>
                <w:i/>
                <w:iCs/>
                <w:color w:val="000000"/>
                <w:sz w:val="22"/>
                <w:szCs w:val="22"/>
              </w:rPr>
              <w:t>Pairs</w:t>
            </w:r>
          </w:p>
        </w:tc>
        <w:tc>
          <w:tcPr>
            <w:tcW w:w="1560" w:type="dxa"/>
            <w:shd w:val="clear" w:color="auto" w:fill="auto"/>
            <w:noWrap/>
            <w:vAlign w:val="bottom"/>
            <w:hideMark/>
          </w:tcPr>
          <w:p w14:paraId="51C51E93" w14:textId="77777777" w:rsidR="00151DC1" w:rsidRPr="00FF4E93" w:rsidRDefault="00151DC1" w:rsidP="00151DC1">
            <w:pPr>
              <w:spacing w:before="0" w:after="0" w:line="240" w:lineRule="auto"/>
              <w:jc w:val="right"/>
              <w:rPr>
                <w:rFonts w:eastAsia="Times New Roman"/>
                <w:iCs/>
                <w:color w:val="000000"/>
                <w:sz w:val="22"/>
                <w:szCs w:val="22"/>
              </w:rPr>
            </w:pPr>
            <w:r w:rsidRPr="00FF4E93">
              <w:rPr>
                <w:rFonts w:eastAsia="Times New Roman"/>
                <w:iCs/>
                <w:color w:val="000000"/>
                <w:sz w:val="22"/>
                <w:szCs w:val="22"/>
              </w:rPr>
              <w:t>Weighted relative frequency</w:t>
            </w:r>
          </w:p>
        </w:tc>
        <w:tc>
          <w:tcPr>
            <w:tcW w:w="1273" w:type="dxa"/>
            <w:shd w:val="clear" w:color="auto" w:fill="auto"/>
            <w:noWrap/>
            <w:vAlign w:val="bottom"/>
            <w:hideMark/>
          </w:tcPr>
          <w:p w14:paraId="1232CCDD" w14:textId="77777777" w:rsidR="00151DC1" w:rsidRPr="00FF4E93" w:rsidRDefault="00151DC1" w:rsidP="00151DC1">
            <w:pPr>
              <w:spacing w:before="0" w:after="0" w:line="240" w:lineRule="auto"/>
              <w:ind w:left="-36"/>
              <w:jc w:val="center"/>
              <w:rPr>
                <w:rFonts w:eastAsia="Times New Roman"/>
                <w:sz w:val="22"/>
                <w:szCs w:val="22"/>
              </w:rPr>
            </w:pPr>
            <w:r w:rsidRPr="00FF4E93">
              <w:rPr>
                <w:rFonts w:eastAsia="Times New Roman"/>
                <w:sz w:val="22"/>
                <w:szCs w:val="22"/>
              </w:rPr>
              <w:t>Cumulative coverage</w:t>
            </w:r>
          </w:p>
        </w:tc>
      </w:tr>
      <w:tr w:rsidR="00151DC1" w:rsidRPr="00FF4E93" w14:paraId="2EFAE8A1" w14:textId="77777777" w:rsidTr="00C54569">
        <w:trPr>
          <w:trHeight w:val="320"/>
        </w:trPr>
        <w:tc>
          <w:tcPr>
            <w:tcW w:w="365" w:type="dxa"/>
            <w:shd w:val="clear" w:color="auto" w:fill="auto"/>
            <w:noWrap/>
            <w:hideMark/>
          </w:tcPr>
          <w:p w14:paraId="48AEC85A"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1</w:t>
            </w:r>
          </w:p>
        </w:tc>
        <w:tc>
          <w:tcPr>
            <w:tcW w:w="5879" w:type="dxa"/>
            <w:shd w:val="clear" w:color="auto" w:fill="auto"/>
            <w:noWrap/>
            <w:hideMark/>
          </w:tcPr>
          <w:p w14:paraId="74490F04"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Solution Provider</w:t>
            </w:r>
          </w:p>
        </w:tc>
        <w:tc>
          <w:tcPr>
            <w:tcW w:w="1560" w:type="dxa"/>
            <w:shd w:val="clear" w:color="auto" w:fill="auto"/>
            <w:noWrap/>
            <w:hideMark/>
          </w:tcPr>
          <w:p w14:paraId="31D202FE"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36.25%</w:t>
            </w:r>
          </w:p>
        </w:tc>
        <w:tc>
          <w:tcPr>
            <w:tcW w:w="1273" w:type="dxa"/>
            <w:shd w:val="clear" w:color="auto" w:fill="auto"/>
            <w:noWrap/>
            <w:hideMark/>
          </w:tcPr>
          <w:p w14:paraId="60C98B89"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36.25%</w:t>
            </w:r>
          </w:p>
        </w:tc>
      </w:tr>
      <w:tr w:rsidR="00151DC1" w:rsidRPr="00FF4E93" w14:paraId="21566C6B" w14:textId="77777777" w:rsidTr="00C54569">
        <w:trPr>
          <w:trHeight w:val="320"/>
        </w:trPr>
        <w:tc>
          <w:tcPr>
            <w:tcW w:w="365" w:type="dxa"/>
            <w:shd w:val="clear" w:color="auto" w:fill="auto"/>
            <w:noWrap/>
            <w:hideMark/>
          </w:tcPr>
          <w:p w14:paraId="6ABB2481"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2</w:t>
            </w:r>
          </w:p>
        </w:tc>
        <w:tc>
          <w:tcPr>
            <w:tcW w:w="5879" w:type="dxa"/>
            <w:shd w:val="clear" w:color="auto" w:fill="auto"/>
            <w:noWrap/>
            <w:hideMark/>
          </w:tcPr>
          <w:p w14:paraId="287455A9"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OBM</w:t>
            </w:r>
          </w:p>
        </w:tc>
        <w:tc>
          <w:tcPr>
            <w:tcW w:w="1560" w:type="dxa"/>
            <w:shd w:val="clear" w:color="auto" w:fill="auto"/>
            <w:noWrap/>
            <w:hideMark/>
          </w:tcPr>
          <w:p w14:paraId="12070459"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26.81%</w:t>
            </w:r>
          </w:p>
        </w:tc>
        <w:tc>
          <w:tcPr>
            <w:tcW w:w="1273" w:type="dxa"/>
            <w:shd w:val="clear" w:color="auto" w:fill="auto"/>
            <w:noWrap/>
            <w:hideMark/>
          </w:tcPr>
          <w:p w14:paraId="323E768A"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47.33%</w:t>
            </w:r>
          </w:p>
        </w:tc>
      </w:tr>
      <w:tr w:rsidR="00151DC1" w:rsidRPr="00FF4E93" w14:paraId="07D3B27B" w14:textId="77777777" w:rsidTr="00C54569">
        <w:trPr>
          <w:trHeight w:val="320"/>
        </w:trPr>
        <w:tc>
          <w:tcPr>
            <w:tcW w:w="365" w:type="dxa"/>
            <w:shd w:val="clear" w:color="auto" w:fill="auto"/>
            <w:noWrap/>
            <w:hideMark/>
          </w:tcPr>
          <w:p w14:paraId="0B8A0803"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3</w:t>
            </w:r>
          </w:p>
        </w:tc>
        <w:tc>
          <w:tcPr>
            <w:tcW w:w="5879" w:type="dxa"/>
            <w:shd w:val="clear" w:color="auto" w:fill="auto"/>
            <w:noWrap/>
            <w:hideMark/>
          </w:tcPr>
          <w:p w14:paraId="496204F9"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OBM, Solution Provider</w:t>
            </w:r>
          </w:p>
        </w:tc>
        <w:tc>
          <w:tcPr>
            <w:tcW w:w="1560" w:type="dxa"/>
            <w:shd w:val="clear" w:color="auto" w:fill="auto"/>
            <w:noWrap/>
            <w:hideMark/>
          </w:tcPr>
          <w:p w14:paraId="5065B2E7"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23.26%</w:t>
            </w:r>
          </w:p>
        </w:tc>
        <w:tc>
          <w:tcPr>
            <w:tcW w:w="1273" w:type="dxa"/>
            <w:shd w:val="clear" w:color="auto" w:fill="auto"/>
            <w:noWrap/>
            <w:hideMark/>
          </w:tcPr>
          <w:p w14:paraId="688D17B7"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54.86%</w:t>
            </w:r>
          </w:p>
        </w:tc>
      </w:tr>
      <w:tr w:rsidR="00151DC1" w:rsidRPr="00FF4E93" w14:paraId="41F65F7E" w14:textId="77777777" w:rsidTr="00C54569">
        <w:trPr>
          <w:trHeight w:val="320"/>
        </w:trPr>
        <w:tc>
          <w:tcPr>
            <w:tcW w:w="365" w:type="dxa"/>
            <w:shd w:val="clear" w:color="auto" w:fill="auto"/>
            <w:noWrap/>
            <w:hideMark/>
          </w:tcPr>
          <w:p w14:paraId="5F72DAD8"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4</w:t>
            </w:r>
          </w:p>
        </w:tc>
        <w:tc>
          <w:tcPr>
            <w:tcW w:w="5879" w:type="dxa"/>
            <w:shd w:val="clear" w:color="auto" w:fill="auto"/>
            <w:noWrap/>
            <w:hideMark/>
          </w:tcPr>
          <w:p w14:paraId="54427938"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Self-Service</w:t>
            </w:r>
          </w:p>
        </w:tc>
        <w:tc>
          <w:tcPr>
            <w:tcW w:w="1560" w:type="dxa"/>
            <w:shd w:val="clear" w:color="auto" w:fill="auto"/>
            <w:noWrap/>
            <w:hideMark/>
          </w:tcPr>
          <w:p w14:paraId="153130A3"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19.15%</w:t>
            </w:r>
          </w:p>
        </w:tc>
        <w:tc>
          <w:tcPr>
            <w:tcW w:w="1273" w:type="dxa"/>
            <w:shd w:val="clear" w:color="auto" w:fill="auto"/>
            <w:noWrap/>
            <w:hideMark/>
          </w:tcPr>
          <w:p w14:paraId="1B23A825"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61.15%</w:t>
            </w:r>
          </w:p>
        </w:tc>
      </w:tr>
      <w:tr w:rsidR="00151DC1" w:rsidRPr="00FF4E93" w14:paraId="6C2FE9E0" w14:textId="77777777" w:rsidTr="00C54569">
        <w:trPr>
          <w:trHeight w:val="320"/>
        </w:trPr>
        <w:tc>
          <w:tcPr>
            <w:tcW w:w="365" w:type="dxa"/>
            <w:shd w:val="clear" w:color="auto" w:fill="auto"/>
            <w:noWrap/>
            <w:hideMark/>
          </w:tcPr>
          <w:p w14:paraId="23BA4CA0"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5</w:t>
            </w:r>
          </w:p>
        </w:tc>
        <w:tc>
          <w:tcPr>
            <w:tcW w:w="5879" w:type="dxa"/>
            <w:shd w:val="clear" w:color="auto" w:fill="auto"/>
            <w:noWrap/>
            <w:hideMark/>
          </w:tcPr>
          <w:p w14:paraId="3D1A6686"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Solution Provider, Subscription</w:t>
            </w:r>
          </w:p>
        </w:tc>
        <w:tc>
          <w:tcPr>
            <w:tcW w:w="1560" w:type="dxa"/>
            <w:shd w:val="clear" w:color="auto" w:fill="auto"/>
            <w:noWrap/>
            <w:hideMark/>
          </w:tcPr>
          <w:p w14:paraId="38DBF8B3"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14.23%</w:t>
            </w:r>
          </w:p>
        </w:tc>
        <w:tc>
          <w:tcPr>
            <w:tcW w:w="1273" w:type="dxa"/>
            <w:shd w:val="clear" w:color="auto" w:fill="auto"/>
            <w:noWrap/>
            <w:hideMark/>
          </w:tcPr>
          <w:p w14:paraId="69E0B295"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64.57%</w:t>
            </w:r>
          </w:p>
        </w:tc>
      </w:tr>
      <w:tr w:rsidR="00151DC1" w:rsidRPr="00FF4E93" w14:paraId="0595CC72" w14:textId="77777777" w:rsidTr="00C54569">
        <w:trPr>
          <w:trHeight w:val="320"/>
        </w:trPr>
        <w:tc>
          <w:tcPr>
            <w:tcW w:w="365" w:type="dxa"/>
            <w:shd w:val="clear" w:color="auto" w:fill="auto"/>
            <w:noWrap/>
            <w:hideMark/>
          </w:tcPr>
          <w:p w14:paraId="052C17DC"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6</w:t>
            </w:r>
          </w:p>
        </w:tc>
        <w:tc>
          <w:tcPr>
            <w:tcW w:w="5879" w:type="dxa"/>
            <w:shd w:val="clear" w:color="auto" w:fill="auto"/>
            <w:noWrap/>
            <w:hideMark/>
          </w:tcPr>
          <w:p w14:paraId="079C128A"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Subscription</w:t>
            </w:r>
          </w:p>
        </w:tc>
        <w:tc>
          <w:tcPr>
            <w:tcW w:w="1560" w:type="dxa"/>
            <w:shd w:val="clear" w:color="auto" w:fill="auto"/>
            <w:noWrap/>
            <w:hideMark/>
          </w:tcPr>
          <w:p w14:paraId="097FF3C8"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13.41%</w:t>
            </w:r>
          </w:p>
        </w:tc>
        <w:tc>
          <w:tcPr>
            <w:tcW w:w="1273" w:type="dxa"/>
            <w:shd w:val="clear" w:color="auto" w:fill="auto"/>
            <w:noWrap/>
            <w:hideMark/>
          </w:tcPr>
          <w:p w14:paraId="0CB7E340"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66.07%</w:t>
            </w:r>
          </w:p>
        </w:tc>
      </w:tr>
      <w:tr w:rsidR="00151DC1" w:rsidRPr="00FF4E93" w14:paraId="5AD045D2" w14:textId="77777777" w:rsidTr="00C54569">
        <w:trPr>
          <w:trHeight w:val="320"/>
        </w:trPr>
        <w:tc>
          <w:tcPr>
            <w:tcW w:w="365" w:type="dxa"/>
            <w:shd w:val="clear" w:color="auto" w:fill="auto"/>
            <w:noWrap/>
            <w:hideMark/>
          </w:tcPr>
          <w:p w14:paraId="5ED0DBBF"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7</w:t>
            </w:r>
          </w:p>
        </w:tc>
        <w:tc>
          <w:tcPr>
            <w:tcW w:w="5879" w:type="dxa"/>
            <w:shd w:val="clear" w:color="auto" w:fill="auto"/>
            <w:noWrap/>
            <w:hideMark/>
          </w:tcPr>
          <w:p w14:paraId="0D8B2048"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Digitization, Solution Provider</w:t>
            </w:r>
          </w:p>
        </w:tc>
        <w:tc>
          <w:tcPr>
            <w:tcW w:w="1560" w:type="dxa"/>
            <w:shd w:val="clear" w:color="auto" w:fill="auto"/>
            <w:noWrap/>
            <w:hideMark/>
          </w:tcPr>
          <w:p w14:paraId="2D62213B"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13.00%</w:t>
            </w:r>
          </w:p>
        </w:tc>
        <w:tc>
          <w:tcPr>
            <w:tcW w:w="1273" w:type="dxa"/>
            <w:shd w:val="clear" w:color="auto" w:fill="auto"/>
            <w:noWrap/>
            <w:hideMark/>
          </w:tcPr>
          <w:p w14:paraId="28A19B51"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69.90%</w:t>
            </w:r>
          </w:p>
        </w:tc>
      </w:tr>
      <w:tr w:rsidR="00151DC1" w:rsidRPr="00FF4E93" w14:paraId="33847E4D" w14:textId="77777777" w:rsidTr="00C54569">
        <w:trPr>
          <w:trHeight w:val="320"/>
        </w:trPr>
        <w:tc>
          <w:tcPr>
            <w:tcW w:w="365" w:type="dxa"/>
            <w:shd w:val="clear" w:color="auto" w:fill="auto"/>
            <w:noWrap/>
            <w:hideMark/>
          </w:tcPr>
          <w:p w14:paraId="03136980"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8</w:t>
            </w:r>
          </w:p>
        </w:tc>
        <w:tc>
          <w:tcPr>
            <w:tcW w:w="5879" w:type="dxa"/>
            <w:shd w:val="clear" w:color="auto" w:fill="auto"/>
            <w:noWrap/>
            <w:hideMark/>
          </w:tcPr>
          <w:p w14:paraId="1AC30FAC"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Self-Service, Solution Provider</w:t>
            </w:r>
          </w:p>
        </w:tc>
        <w:tc>
          <w:tcPr>
            <w:tcW w:w="1560" w:type="dxa"/>
            <w:shd w:val="clear" w:color="auto" w:fill="auto"/>
            <w:noWrap/>
            <w:hideMark/>
          </w:tcPr>
          <w:p w14:paraId="483CE77E"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12.86%</w:t>
            </w:r>
          </w:p>
        </w:tc>
        <w:tc>
          <w:tcPr>
            <w:tcW w:w="1273" w:type="dxa"/>
            <w:shd w:val="clear" w:color="auto" w:fill="auto"/>
            <w:noWrap/>
            <w:hideMark/>
          </w:tcPr>
          <w:p w14:paraId="6389AB7B"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70.73%</w:t>
            </w:r>
          </w:p>
        </w:tc>
      </w:tr>
      <w:tr w:rsidR="00151DC1" w:rsidRPr="00FF4E93" w14:paraId="15C01183" w14:textId="77777777" w:rsidTr="00C54569">
        <w:trPr>
          <w:trHeight w:val="320"/>
        </w:trPr>
        <w:tc>
          <w:tcPr>
            <w:tcW w:w="365" w:type="dxa"/>
            <w:shd w:val="clear" w:color="auto" w:fill="auto"/>
            <w:noWrap/>
            <w:hideMark/>
          </w:tcPr>
          <w:p w14:paraId="7CEE2A08"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9</w:t>
            </w:r>
          </w:p>
        </w:tc>
        <w:tc>
          <w:tcPr>
            <w:tcW w:w="5879" w:type="dxa"/>
            <w:shd w:val="clear" w:color="auto" w:fill="auto"/>
            <w:noWrap/>
            <w:hideMark/>
          </w:tcPr>
          <w:p w14:paraId="57CF81D8"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OBM, Self-Service</w:t>
            </w:r>
          </w:p>
        </w:tc>
        <w:tc>
          <w:tcPr>
            <w:tcW w:w="1560" w:type="dxa"/>
            <w:shd w:val="clear" w:color="auto" w:fill="auto"/>
            <w:noWrap/>
            <w:hideMark/>
          </w:tcPr>
          <w:p w14:paraId="4EB52EEF"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11.35%</w:t>
            </w:r>
          </w:p>
        </w:tc>
        <w:tc>
          <w:tcPr>
            <w:tcW w:w="1273" w:type="dxa"/>
            <w:shd w:val="clear" w:color="auto" w:fill="auto"/>
            <w:noWrap/>
            <w:hideMark/>
          </w:tcPr>
          <w:p w14:paraId="17D65D25"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72.64%</w:t>
            </w:r>
          </w:p>
        </w:tc>
      </w:tr>
      <w:tr w:rsidR="00151DC1" w:rsidRPr="00FF4E93" w14:paraId="45CF51AA" w14:textId="77777777" w:rsidTr="00C54569">
        <w:trPr>
          <w:trHeight w:val="320"/>
        </w:trPr>
        <w:tc>
          <w:tcPr>
            <w:tcW w:w="365" w:type="dxa"/>
            <w:shd w:val="clear" w:color="auto" w:fill="auto"/>
            <w:noWrap/>
            <w:hideMark/>
          </w:tcPr>
          <w:p w14:paraId="046C837E"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10</w:t>
            </w:r>
          </w:p>
        </w:tc>
        <w:tc>
          <w:tcPr>
            <w:tcW w:w="5879" w:type="dxa"/>
            <w:shd w:val="clear" w:color="auto" w:fill="auto"/>
            <w:noWrap/>
            <w:hideMark/>
          </w:tcPr>
          <w:p w14:paraId="51FD3564"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 xml:space="preserve">Digitization, Layer Player </w:t>
            </w:r>
          </w:p>
        </w:tc>
        <w:tc>
          <w:tcPr>
            <w:tcW w:w="1560" w:type="dxa"/>
            <w:shd w:val="clear" w:color="auto" w:fill="auto"/>
            <w:noWrap/>
            <w:hideMark/>
          </w:tcPr>
          <w:p w14:paraId="79F61524"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9.71%</w:t>
            </w:r>
          </w:p>
        </w:tc>
        <w:tc>
          <w:tcPr>
            <w:tcW w:w="1273" w:type="dxa"/>
            <w:shd w:val="clear" w:color="auto" w:fill="auto"/>
            <w:noWrap/>
            <w:hideMark/>
          </w:tcPr>
          <w:p w14:paraId="709601C8"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73.60%</w:t>
            </w:r>
          </w:p>
        </w:tc>
      </w:tr>
      <w:tr w:rsidR="00151DC1" w:rsidRPr="00FF4E93" w14:paraId="2846AEC0" w14:textId="77777777" w:rsidTr="00C54569">
        <w:trPr>
          <w:trHeight w:val="320"/>
        </w:trPr>
        <w:tc>
          <w:tcPr>
            <w:tcW w:w="365" w:type="dxa"/>
            <w:shd w:val="clear" w:color="auto" w:fill="auto"/>
            <w:noWrap/>
            <w:hideMark/>
          </w:tcPr>
          <w:p w14:paraId="3D7CB1E9" w14:textId="77777777" w:rsidR="00151DC1" w:rsidRPr="00FF4E93" w:rsidRDefault="00151DC1" w:rsidP="00151DC1">
            <w:pPr>
              <w:spacing w:before="0" w:after="0" w:line="240" w:lineRule="auto"/>
              <w:jc w:val="left"/>
              <w:rPr>
                <w:rFonts w:eastAsia="Times New Roman"/>
                <w:sz w:val="22"/>
                <w:szCs w:val="22"/>
              </w:rPr>
            </w:pPr>
          </w:p>
        </w:tc>
        <w:tc>
          <w:tcPr>
            <w:tcW w:w="5879" w:type="dxa"/>
            <w:shd w:val="clear" w:color="auto" w:fill="auto"/>
            <w:noWrap/>
            <w:hideMark/>
          </w:tcPr>
          <w:p w14:paraId="73C21899" w14:textId="77777777" w:rsidR="00151DC1" w:rsidRPr="00FF4E93" w:rsidRDefault="00151DC1" w:rsidP="00151DC1">
            <w:pPr>
              <w:spacing w:before="0" w:after="0" w:line="240" w:lineRule="auto"/>
              <w:jc w:val="left"/>
              <w:rPr>
                <w:rFonts w:eastAsia="Times New Roman"/>
                <w:i/>
                <w:iCs/>
                <w:color w:val="000000"/>
                <w:sz w:val="22"/>
                <w:szCs w:val="22"/>
              </w:rPr>
            </w:pPr>
          </w:p>
          <w:p w14:paraId="7836A76E" w14:textId="77777777" w:rsidR="00151DC1" w:rsidRPr="00FF4E93" w:rsidRDefault="00151DC1" w:rsidP="00151DC1">
            <w:pPr>
              <w:spacing w:before="0" w:after="0" w:line="240" w:lineRule="auto"/>
              <w:jc w:val="left"/>
              <w:rPr>
                <w:rFonts w:eastAsia="Times New Roman"/>
                <w:i/>
                <w:iCs/>
                <w:color w:val="000000"/>
                <w:sz w:val="22"/>
                <w:szCs w:val="22"/>
              </w:rPr>
            </w:pPr>
            <w:r w:rsidRPr="00FF4E93">
              <w:rPr>
                <w:rFonts w:eastAsia="Times New Roman"/>
                <w:i/>
                <w:iCs/>
                <w:color w:val="000000"/>
                <w:sz w:val="22"/>
                <w:szCs w:val="22"/>
              </w:rPr>
              <w:t>Triplets</w:t>
            </w:r>
          </w:p>
        </w:tc>
        <w:tc>
          <w:tcPr>
            <w:tcW w:w="1560" w:type="dxa"/>
            <w:shd w:val="clear" w:color="auto" w:fill="auto"/>
            <w:noWrap/>
            <w:hideMark/>
          </w:tcPr>
          <w:p w14:paraId="63C21EEB" w14:textId="77777777" w:rsidR="00151DC1" w:rsidRPr="00FF4E93" w:rsidRDefault="00151DC1" w:rsidP="00151DC1">
            <w:pPr>
              <w:spacing w:before="0" w:after="0" w:line="240" w:lineRule="auto"/>
              <w:jc w:val="center"/>
              <w:rPr>
                <w:rFonts w:eastAsia="Times New Roman"/>
                <w:i/>
                <w:iCs/>
                <w:color w:val="000000"/>
                <w:sz w:val="22"/>
                <w:szCs w:val="22"/>
              </w:rPr>
            </w:pPr>
          </w:p>
        </w:tc>
        <w:tc>
          <w:tcPr>
            <w:tcW w:w="1273" w:type="dxa"/>
            <w:shd w:val="clear" w:color="auto" w:fill="auto"/>
            <w:noWrap/>
            <w:hideMark/>
          </w:tcPr>
          <w:p w14:paraId="2929163B" w14:textId="77777777" w:rsidR="00151DC1" w:rsidRPr="00FF4E93" w:rsidRDefault="00151DC1" w:rsidP="00151DC1">
            <w:pPr>
              <w:spacing w:before="0" w:after="0" w:line="240" w:lineRule="auto"/>
              <w:jc w:val="center"/>
              <w:rPr>
                <w:rFonts w:eastAsia="Times New Roman"/>
                <w:sz w:val="22"/>
                <w:szCs w:val="22"/>
              </w:rPr>
            </w:pPr>
          </w:p>
        </w:tc>
      </w:tr>
      <w:tr w:rsidR="00151DC1" w:rsidRPr="00FF4E93" w14:paraId="7C4BCC76" w14:textId="77777777" w:rsidTr="00C54569">
        <w:trPr>
          <w:trHeight w:val="320"/>
        </w:trPr>
        <w:tc>
          <w:tcPr>
            <w:tcW w:w="365" w:type="dxa"/>
            <w:shd w:val="clear" w:color="auto" w:fill="auto"/>
            <w:noWrap/>
            <w:hideMark/>
          </w:tcPr>
          <w:p w14:paraId="3AAAC302"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1</w:t>
            </w:r>
          </w:p>
        </w:tc>
        <w:tc>
          <w:tcPr>
            <w:tcW w:w="5879" w:type="dxa"/>
            <w:shd w:val="clear" w:color="auto" w:fill="auto"/>
            <w:noWrap/>
            <w:hideMark/>
          </w:tcPr>
          <w:p w14:paraId="4407F39A"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OBM, Solution Provider</w:t>
            </w:r>
          </w:p>
        </w:tc>
        <w:tc>
          <w:tcPr>
            <w:tcW w:w="1560" w:type="dxa"/>
            <w:shd w:val="clear" w:color="auto" w:fill="auto"/>
            <w:noWrap/>
            <w:hideMark/>
          </w:tcPr>
          <w:p w14:paraId="0019268D"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15.73%</w:t>
            </w:r>
          </w:p>
        </w:tc>
        <w:tc>
          <w:tcPr>
            <w:tcW w:w="1273" w:type="dxa"/>
            <w:shd w:val="clear" w:color="auto" w:fill="auto"/>
            <w:noWrap/>
            <w:hideMark/>
          </w:tcPr>
          <w:p w14:paraId="5FE8AD43"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15.73%</w:t>
            </w:r>
          </w:p>
        </w:tc>
      </w:tr>
      <w:tr w:rsidR="00151DC1" w:rsidRPr="00FF4E93" w14:paraId="3CF4C6F6" w14:textId="77777777" w:rsidTr="00C54569">
        <w:trPr>
          <w:trHeight w:val="320"/>
        </w:trPr>
        <w:tc>
          <w:tcPr>
            <w:tcW w:w="365" w:type="dxa"/>
            <w:shd w:val="clear" w:color="auto" w:fill="auto"/>
            <w:noWrap/>
            <w:hideMark/>
          </w:tcPr>
          <w:p w14:paraId="02EFD2A4"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2</w:t>
            </w:r>
          </w:p>
        </w:tc>
        <w:tc>
          <w:tcPr>
            <w:tcW w:w="5879" w:type="dxa"/>
            <w:shd w:val="clear" w:color="auto" w:fill="auto"/>
            <w:noWrap/>
            <w:hideMark/>
          </w:tcPr>
          <w:p w14:paraId="45709626"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Self-Service, Solution Provider</w:t>
            </w:r>
          </w:p>
        </w:tc>
        <w:tc>
          <w:tcPr>
            <w:tcW w:w="1560" w:type="dxa"/>
            <w:shd w:val="clear" w:color="auto" w:fill="auto"/>
            <w:noWrap/>
            <w:hideMark/>
          </w:tcPr>
          <w:p w14:paraId="0B3D0EF8"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9.71%</w:t>
            </w:r>
          </w:p>
        </w:tc>
        <w:tc>
          <w:tcPr>
            <w:tcW w:w="1273" w:type="dxa"/>
            <w:shd w:val="clear" w:color="auto" w:fill="auto"/>
            <w:noWrap/>
            <w:hideMark/>
          </w:tcPr>
          <w:p w14:paraId="4073FE6F"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20.25%</w:t>
            </w:r>
          </w:p>
        </w:tc>
      </w:tr>
      <w:tr w:rsidR="00151DC1" w:rsidRPr="00FF4E93" w14:paraId="46A747E6" w14:textId="77777777" w:rsidTr="00C54569">
        <w:trPr>
          <w:trHeight w:val="320"/>
        </w:trPr>
        <w:tc>
          <w:tcPr>
            <w:tcW w:w="365" w:type="dxa"/>
            <w:shd w:val="clear" w:color="auto" w:fill="auto"/>
            <w:noWrap/>
            <w:hideMark/>
          </w:tcPr>
          <w:p w14:paraId="15818EA8"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3</w:t>
            </w:r>
          </w:p>
        </w:tc>
        <w:tc>
          <w:tcPr>
            <w:tcW w:w="5879" w:type="dxa"/>
            <w:shd w:val="clear" w:color="auto" w:fill="auto"/>
            <w:noWrap/>
            <w:hideMark/>
          </w:tcPr>
          <w:p w14:paraId="264A7ADB"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OBM, Self-Service</w:t>
            </w:r>
          </w:p>
        </w:tc>
        <w:tc>
          <w:tcPr>
            <w:tcW w:w="1560" w:type="dxa"/>
            <w:shd w:val="clear" w:color="auto" w:fill="auto"/>
            <w:noWrap/>
            <w:hideMark/>
          </w:tcPr>
          <w:p w14:paraId="1257E367"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8.34%</w:t>
            </w:r>
          </w:p>
        </w:tc>
        <w:tc>
          <w:tcPr>
            <w:tcW w:w="1273" w:type="dxa"/>
            <w:shd w:val="clear" w:color="auto" w:fill="auto"/>
            <w:noWrap/>
            <w:hideMark/>
          </w:tcPr>
          <w:p w14:paraId="50BB909A"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23.39%</w:t>
            </w:r>
          </w:p>
        </w:tc>
      </w:tr>
      <w:tr w:rsidR="00151DC1" w:rsidRPr="00FF4E93" w14:paraId="4D1DEC67" w14:textId="77777777" w:rsidTr="00C54569">
        <w:trPr>
          <w:trHeight w:val="320"/>
        </w:trPr>
        <w:tc>
          <w:tcPr>
            <w:tcW w:w="365" w:type="dxa"/>
            <w:shd w:val="clear" w:color="auto" w:fill="auto"/>
            <w:noWrap/>
            <w:hideMark/>
          </w:tcPr>
          <w:p w14:paraId="1A7E283C"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4</w:t>
            </w:r>
          </w:p>
        </w:tc>
        <w:tc>
          <w:tcPr>
            <w:tcW w:w="5879" w:type="dxa"/>
            <w:shd w:val="clear" w:color="auto" w:fill="auto"/>
            <w:noWrap/>
            <w:hideMark/>
          </w:tcPr>
          <w:p w14:paraId="74DA4BED"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Solution Provider, Subscription</w:t>
            </w:r>
          </w:p>
        </w:tc>
        <w:tc>
          <w:tcPr>
            <w:tcW w:w="1560" w:type="dxa"/>
            <w:shd w:val="clear" w:color="auto" w:fill="auto"/>
            <w:noWrap/>
            <w:hideMark/>
          </w:tcPr>
          <w:p w14:paraId="759FC3E5"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8.34%</w:t>
            </w:r>
          </w:p>
        </w:tc>
        <w:tc>
          <w:tcPr>
            <w:tcW w:w="1273" w:type="dxa"/>
            <w:shd w:val="clear" w:color="auto" w:fill="auto"/>
            <w:noWrap/>
            <w:hideMark/>
          </w:tcPr>
          <w:p w14:paraId="0D2B31B0"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27.09%</w:t>
            </w:r>
          </w:p>
        </w:tc>
      </w:tr>
      <w:tr w:rsidR="00151DC1" w:rsidRPr="00FF4E93" w14:paraId="64C8602B" w14:textId="77777777" w:rsidTr="00C54569">
        <w:trPr>
          <w:trHeight w:val="320"/>
        </w:trPr>
        <w:tc>
          <w:tcPr>
            <w:tcW w:w="365" w:type="dxa"/>
            <w:shd w:val="clear" w:color="auto" w:fill="auto"/>
            <w:noWrap/>
            <w:hideMark/>
          </w:tcPr>
          <w:p w14:paraId="1002FF7E"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5</w:t>
            </w:r>
          </w:p>
        </w:tc>
        <w:tc>
          <w:tcPr>
            <w:tcW w:w="5879" w:type="dxa"/>
            <w:shd w:val="clear" w:color="auto" w:fill="auto"/>
            <w:noWrap/>
            <w:hideMark/>
          </w:tcPr>
          <w:p w14:paraId="5E10309B"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OBM, Self-Service, Solution Provider</w:t>
            </w:r>
          </w:p>
        </w:tc>
        <w:tc>
          <w:tcPr>
            <w:tcW w:w="1560" w:type="dxa"/>
            <w:shd w:val="clear" w:color="auto" w:fill="auto"/>
            <w:noWrap/>
            <w:hideMark/>
          </w:tcPr>
          <w:p w14:paraId="2E258E1D"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6.29%</w:t>
            </w:r>
          </w:p>
        </w:tc>
        <w:tc>
          <w:tcPr>
            <w:tcW w:w="1273" w:type="dxa"/>
            <w:shd w:val="clear" w:color="auto" w:fill="auto"/>
            <w:noWrap/>
            <w:hideMark/>
          </w:tcPr>
          <w:p w14:paraId="71C9C646"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28.18%</w:t>
            </w:r>
          </w:p>
        </w:tc>
      </w:tr>
      <w:tr w:rsidR="00151DC1" w:rsidRPr="00FF4E93" w14:paraId="48C1F7AF" w14:textId="77777777" w:rsidTr="00C54569">
        <w:trPr>
          <w:trHeight w:val="320"/>
        </w:trPr>
        <w:tc>
          <w:tcPr>
            <w:tcW w:w="365" w:type="dxa"/>
            <w:shd w:val="clear" w:color="auto" w:fill="auto"/>
            <w:noWrap/>
            <w:hideMark/>
          </w:tcPr>
          <w:p w14:paraId="761E2B75"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6</w:t>
            </w:r>
          </w:p>
        </w:tc>
        <w:tc>
          <w:tcPr>
            <w:tcW w:w="5879" w:type="dxa"/>
            <w:shd w:val="clear" w:color="auto" w:fill="auto"/>
            <w:noWrap/>
            <w:hideMark/>
          </w:tcPr>
          <w:p w14:paraId="7E761F89"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Digitization, Layer Player, Solution Provider</w:t>
            </w:r>
          </w:p>
        </w:tc>
        <w:tc>
          <w:tcPr>
            <w:tcW w:w="1560" w:type="dxa"/>
            <w:shd w:val="clear" w:color="auto" w:fill="auto"/>
            <w:noWrap/>
            <w:hideMark/>
          </w:tcPr>
          <w:p w14:paraId="14A4CAAD"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6.29%</w:t>
            </w:r>
          </w:p>
        </w:tc>
        <w:tc>
          <w:tcPr>
            <w:tcW w:w="1273" w:type="dxa"/>
            <w:shd w:val="clear" w:color="auto" w:fill="auto"/>
            <w:noWrap/>
            <w:hideMark/>
          </w:tcPr>
          <w:p w14:paraId="110004B9"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30.64%</w:t>
            </w:r>
          </w:p>
        </w:tc>
      </w:tr>
      <w:tr w:rsidR="00151DC1" w:rsidRPr="00FF4E93" w14:paraId="126DB74C" w14:textId="77777777" w:rsidTr="00C54569">
        <w:trPr>
          <w:trHeight w:val="320"/>
        </w:trPr>
        <w:tc>
          <w:tcPr>
            <w:tcW w:w="365" w:type="dxa"/>
            <w:shd w:val="clear" w:color="auto" w:fill="auto"/>
            <w:noWrap/>
            <w:hideMark/>
          </w:tcPr>
          <w:p w14:paraId="5447E38B"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7</w:t>
            </w:r>
          </w:p>
        </w:tc>
        <w:tc>
          <w:tcPr>
            <w:tcW w:w="5879" w:type="dxa"/>
            <w:shd w:val="clear" w:color="auto" w:fill="auto"/>
            <w:noWrap/>
            <w:hideMark/>
          </w:tcPr>
          <w:p w14:paraId="64F125B5"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OBM, Solution Provider, Subscription</w:t>
            </w:r>
          </w:p>
        </w:tc>
        <w:tc>
          <w:tcPr>
            <w:tcW w:w="1560" w:type="dxa"/>
            <w:shd w:val="clear" w:color="auto" w:fill="auto"/>
            <w:noWrap/>
            <w:hideMark/>
          </w:tcPr>
          <w:p w14:paraId="12408545"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5.75%</w:t>
            </w:r>
          </w:p>
        </w:tc>
        <w:tc>
          <w:tcPr>
            <w:tcW w:w="1273" w:type="dxa"/>
            <w:shd w:val="clear" w:color="auto" w:fill="auto"/>
            <w:noWrap/>
            <w:hideMark/>
          </w:tcPr>
          <w:p w14:paraId="50456CDA"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32.69%</w:t>
            </w:r>
          </w:p>
        </w:tc>
      </w:tr>
      <w:tr w:rsidR="00151DC1" w:rsidRPr="00FF4E93" w14:paraId="3FEA4C80" w14:textId="77777777" w:rsidTr="00C54569">
        <w:trPr>
          <w:trHeight w:val="320"/>
        </w:trPr>
        <w:tc>
          <w:tcPr>
            <w:tcW w:w="365" w:type="dxa"/>
            <w:shd w:val="clear" w:color="auto" w:fill="auto"/>
            <w:noWrap/>
            <w:hideMark/>
          </w:tcPr>
          <w:p w14:paraId="161D98C2"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8</w:t>
            </w:r>
          </w:p>
        </w:tc>
        <w:tc>
          <w:tcPr>
            <w:tcW w:w="5879" w:type="dxa"/>
            <w:shd w:val="clear" w:color="auto" w:fill="auto"/>
            <w:noWrap/>
            <w:hideMark/>
          </w:tcPr>
          <w:p w14:paraId="0879FC28"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Direct Selling, Layer Player, Solution Provider</w:t>
            </w:r>
          </w:p>
        </w:tc>
        <w:tc>
          <w:tcPr>
            <w:tcW w:w="1560" w:type="dxa"/>
            <w:shd w:val="clear" w:color="auto" w:fill="auto"/>
            <w:noWrap/>
            <w:hideMark/>
          </w:tcPr>
          <w:p w14:paraId="4ACB4E6A"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5.34%</w:t>
            </w:r>
          </w:p>
        </w:tc>
        <w:tc>
          <w:tcPr>
            <w:tcW w:w="1273" w:type="dxa"/>
            <w:shd w:val="clear" w:color="auto" w:fill="auto"/>
            <w:noWrap/>
            <w:hideMark/>
          </w:tcPr>
          <w:p w14:paraId="748C2813"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34.47%</w:t>
            </w:r>
          </w:p>
        </w:tc>
      </w:tr>
      <w:tr w:rsidR="00151DC1" w:rsidRPr="00FF4E93" w14:paraId="3E27CFBB" w14:textId="77777777" w:rsidTr="00C54569">
        <w:trPr>
          <w:trHeight w:val="320"/>
        </w:trPr>
        <w:tc>
          <w:tcPr>
            <w:tcW w:w="365" w:type="dxa"/>
            <w:shd w:val="clear" w:color="auto" w:fill="auto"/>
            <w:noWrap/>
            <w:hideMark/>
          </w:tcPr>
          <w:p w14:paraId="1A859E0C"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9</w:t>
            </w:r>
          </w:p>
        </w:tc>
        <w:tc>
          <w:tcPr>
            <w:tcW w:w="5879" w:type="dxa"/>
            <w:shd w:val="clear" w:color="auto" w:fill="auto"/>
            <w:noWrap/>
            <w:hideMark/>
          </w:tcPr>
          <w:p w14:paraId="130CFA25"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OBM, Subscription</w:t>
            </w:r>
          </w:p>
        </w:tc>
        <w:tc>
          <w:tcPr>
            <w:tcW w:w="1560" w:type="dxa"/>
            <w:shd w:val="clear" w:color="auto" w:fill="auto"/>
            <w:noWrap/>
            <w:hideMark/>
          </w:tcPr>
          <w:p w14:paraId="73E5115D"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5.34%</w:t>
            </w:r>
          </w:p>
        </w:tc>
        <w:tc>
          <w:tcPr>
            <w:tcW w:w="1273" w:type="dxa"/>
            <w:shd w:val="clear" w:color="auto" w:fill="auto"/>
            <w:noWrap/>
            <w:hideMark/>
          </w:tcPr>
          <w:p w14:paraId="35D81845"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35.57%</w:t>
            </w:r>
          </w:p>
        </w:tc>
      </w:tr>
      <w:tr w:rsidR="00151DC1" w:rsidRPr="00FF4E93" w14:paraId="66D12338" w14:textId="77777777" w:rsidTr="00C54569">
        <w:trPr>
          <w:trHeight w:val="320"/>
        </w:trPr>
        <w:tc>
          <w:tcPr>
            <w:tcW w:w="365" w:type="dxa"/>
            <w:shd w:val="clear" w:color="auto" w:fill="auto"/>
            <w:noWrap/>
            <w:hideMark/>
          </w:tcPr>
          <w:p w14:paraId="18590969"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10</w:t>
            </w:r>
          </w:p>
        </w:tc>
        <w:tc>
          <w:tcPr>
            <w:tcW w:w="5879" w:type="dxa"/>
            <w:shd w:val="clear" w:color="auto" w:fill="auto"/>
            <w:noWrap/>
            <w:hideMark/>
          </w:tcPr>
          <w:p w14:paraId="2ACAB7C5"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Leverage Customer Data, Solution Provider</w:t>
            </w:r>
          </w:p>
        </w:tc>
        <w:tc>
          <w:tcPr>
            <w:tcW w:w="1560" w:type="dxa"/>
            <w:shd w:val="clear" w:color="auto" w:fill="auto"/>
            <w:noWrap/>
            <w:hideMark/>
          </w:tcPr>
          <w:p w14:paraId="3DF8C401"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5.06%</w:t>
            </w:r>
          </w:p>
        </w:tc>
        <w:tc>
          <w:tcPr>
            <w:tcW w:w="1273" w:type="dxa"/>
            <w:shd w:val="clear" w:color="auto" w:fill="auto"/>
            <w:noWrap/>
            <w:hideMark/>
          </w:tcPr>
          <w:p w14:paraId="0B842020"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36.53%</w:t>
            </w:r>
          </w:p>
        </w:tc>
      </w:tr>
      <w:tr w:rsidR="00151DC1" w:rsidRPr="00FF4E93" w14:paraId="264AE54A" w14:textId="77777777" w:rsidTr="00C54569">
        <w:trPr>
          <w:trHeight w:val="320"/>
        </w:trPr>
        <w:tc>
          <w:tcPr>
            <w:tcW w:w="365" w:type="dxa"/>
            <w:shd w:val="clear" w:color="auto" w:fill="auto"/>
            <w:noWrap/>
            <w:hideMark/>
          </w:tcPr>
          <w:p w14:paraId="00411302" w14:textId="77777777" w:rsidR="00151DC1" w:rsidRPr="00FF4E93" w:rsidRDefault="00151DC1" w:rsidP="00151DC1">
            <w:pPr>
              <w:spacing w:before="0" w:after="0" w:line="240" w:lineRule="auto"/>
              <w:jc w:val="left"/>
              <w:rPr>
                <w:rFonts w:eastAsia="Times New Roman"/>
                <w:sz w:val="22"/>
                <w:szCs w:val="22"/>
              </w:rPr>
            </w:pPr>
          </w:p>
        </w:tc>
        <w:tc>
          <w:tcPr>
            <w:tcW w:w="5879" w:type="dxa"/>
            <w:shd w:val="clear" w:color="auto" w:fill="auto"/>
            <w:noWrap/>
            <w:hideMark/>
          </w:tcPr>
          <w:p w14:paraId="5B82EA46" w14:textId="77777777" w:rsidR="00151DC1" w:rsidRPr="00FF4E93" w:rsidRDefault="00151DC1" w:rsidP="00151DC1">
            <w:pPr>
              <w:spacing w:before="0" w:after="0" w:line="240" w:lineRule="auto"/>
              <w:jc w:val="left"/>
              <w:rPr>
                <w:rFonts w:eastAsia="Times New Roman"/>
                <w:i/>
                <w:iCs/>
                <w:color w:val="000000"/>
                <w:sz w:val="22"/>
                <w:szCs w:val="22"/>
              </w:rPr>
            </w:pPr>
          </w:p>
          <w:p w14:paraId="48626243" w14:textId="77777777" w:rsidR="00151DC1" w:rsidRPr="00FF4E93" w:rsidRDefault="00151DC1" w:rsidP="00151DC1">
            <w:pPr>
              <w:spacing w:before="0" w:after="0" w:line="240" w:lineRule="auto"/>
              <w:jc w:val="left"/>
              <w:rPr>
                <w:rFonts w:eastAsia="Times New Roman"/>
                <w:i/>
                <w:iCs/>
                <w:color w:val="000000"/>
                <w:sz w:val="22"/>
                <w:szCs w:val="22"/>
              </w:rPr>
            </w:pPr>
            <w:r w:rsidRPr="00FF4E93">
              <w:rPr>
                <w:rFonts w:eastAsia="Times New Roman"/>
                <w:i/>
                <w:iCs/>
                <w:color w:val="000000"/>
                <w:sz w:val="22"/>
                <w:szCs w:val="22"/>
              </w:rPr>
              <w:t>Quadruplets</w:t>
            </w:r>
          </w:p>
        </w:tc>
        <w:tc>
          <w:tcPr>
            <w:tcW w:w="1560" w:type="dxa"/>
            <w:shd w:val="clear" w:color="auto" w:fill="auto"/>
            <w:noWrap/>
            <w:hideMark/>
          </w:tcPr>
          <w:p w14:paraId="01607C9C" w14:textId="77777777" w:rsidR="00151DC1" w:rsidRPr="00FF4E93" w:rsidRDefault="00151DC1" w:rsidP="00151DC1">
            <w:pPr>
              <w:spacing w:before="0" w:after="0" w:line="240" w:lineRule="auto"/>
              <w:jc w:val="center"/>
              <w:rPr>
                <w:rFonts w:eastAsia="Times New Roman"/>
                <w:i/>
                <w:iCs/>
                <w:color w:val="000000"/>
                <w:sz w:val="22"/>
                <w:szCs w:val="22"/>
              </w:rPr>
            </w:pPr>
          </w:p>
        </w:tc>
        <w:tc>
          <w:tcPr>
            <w:tcW w:w="1273" w:type="dxa"/>
            <w:shd w:val="clear" w:color="auto" w:fill="auto"/>
            <w:noWrap/>
            <w:hideMark/>
          </w:tcPr>
          <w:p w14:paraId="6D991F19" w14:textId="77777777" w:rsidR="00151DC1" w:rsidRPr="00FF4E93" w:rsidRDefault="00151DC1" w:rsidP="00151DC1">
            <w:pPr>
              <w:spacing w:before="0" w:after="0" w:line="240" w:lineRule="auto"/>
              <w:jc w:val="center"/>
              <w:rPr>
                <w:rFonts w:eastAsia="Times New Roman"/>
                <w:sz w:val="22"/>
                <w:szCs w:val="22"/>
              </w:rPr>
            </w:pPr>
          </w:p>
        </w:tc>
      </w:tr>
      <w:tr w:rsidR="00151DC1" w:rsidRPr="00FF4E93" w14:paraId="074318A0" w14:textId="77777777" w:rsidTr="00C54569">
        <w:trPr>
          <w:trHeight w:val="320"/>
        </w:trPr>
        <w:tc>
          <w:tcPr>
            <w:tcW w:w="365" w:type="dxa"/>
            <w:shd w:val="clear" w:color="auto" w:fill="auto"/>
            <w:noWrap/>
            <w:hideMark/>
          </w:tcPr>
          <w:p w14:paraId="224B19C8"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1</w:t>
            </w:r>
          </w:p>
        </w:tc>
        <w:tc>
          <w:tcPr>
            <w:tcW w:w="5879" w:type="dxa"/>
            <w:shd w:val="clear" w:color="auto" w:fill="auto"/>
            <w:noWrap/>
            <w:hideMark/>
          </w:tcPr>
          <w:p w14:paraId="3628D597"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OBM, Self-Service, Solution Provider</w:t>
            </w:r>
          </w:p>
        </w:tc>
        <w:tc>
          <w:tcPr>
            <w:tcW w:w="1560" w:type="dxa"/>
            <w:shd w:val="clear" w:color="auto" w:fill="auto"/>
            <w:noWrap/>
            <w:hideMark/>
          </w:tcPr>
          <w:p w14:paraId="5796C3B7"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5.20%</w:t>
            </w:r>
          </w:p>
        </w:tc>
        <w:tc>
          <w:tcPr>
            <w:tcW w:w="1273" w:type="dxa"/>
            <w:shd w:val="clear" w:color="auto" w:fill="auto"/>
            <w:noWrap/>
            <w:hideMark/>
          </w:tcPr>
          <w:p w14:paraId="4DDF36B8"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5.20%</w:t>
            </w:r>
          </w:p>
        </w:tc>
      </w:tr>
      <w:tr w:rsidR="00151DC1" w:rsidRPr="00FF4E93" w14:paraId="1E83F99E" w14:textId="77777777" w:rsidTr="00C54569">
        <w:trPr>
          <w:trHeight w:val="320"/>
        </w:trPr>
        <w:tc>
          <w:tcPr>
            <w:tcW w:w="365" w:type="dxa"/>
            <w:shd w:val="clear" w:color="auto" w:fill="auto"/>
            <w:noWrap/>
            <w:hideMark/>
          </w:tcPr>
          <w:p w14:paraId="34145531"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2</w:t>
            </w:r>
          </w:p>
        </w:tc>
        <w:tc>
          <w:tcPr>
            <w:tcW w:w="5879" w:type="dxa"/>
            <w:shd w:val="clear" w:color="auto" w:fill="auto"/>
            <w:noWrap/>
            <w:hideMark/>
          </w:tcPr>
          <w:p w14:paraId="0B1512F1"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OBM, Solution Provider, Subscription</w:t>
            </w:r>
          </w:p>
        </w:tc>
        <w:tc>
          <w:tcPr>
            <w:tcW w:w="1560" w:type="dxa"/>
            <w:shd w:val="clear" w:color="auto" w:fill="auto"/>
            <w:noWrap/>
            <w:hideMark/>
          </w:tcPr>
          <w:p w14:paraId="42846EBC"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3.28%</w:t>
            </w:r>
          </w:p>
        </w:tc>
        <w:tc>
          <w:tcPr>
            <w:tcW w:w="1273" w:type="dxa"/>
            <w:shd w:val="clear" w:color="auto" w:fill="auto"/>
            <w:noWrap/>
            <w:hideMark/>
          </w:tcPr>
          <w:p w14:paraId="6D98EB33"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7.39%</w:t>
            </w:r>
          </w:p>
        </w:tc>
      </w:tr>
      <w:tr w:rsidR="00151DC1" w:rsidRPr="00FF4E93" w14:paraId="667D74C1" w14:textId="77777777" w:rsidTr="00C54569">
        <w:trPr>
          <w:trHeight w:val="320"/>
        </w:trPr>
        <w:tc>
          <w:tcPr>
            <w:tcW w:w="365" w:type="dxa"/>
            <w:shd w:val="clear" w:color="auto" w:fill="auto"/>
            <w:noWrap/>
            <w:hideMark/>
          </w:tcPr>
          <w:p w14:paraId="480BE010"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3</w:t>
            </w:r>
          </w:p>
        </w:tc>
        <w:tc>
          <w:tcPr>
            <w:tcW w:w="5879" w:type="dxa"/>
            <w:shd w:val="clear" w:color="auto" w:fill="auto"/>
            <w:noWrap/>
            <w:hideMark/>
          </w:tcPr>
          <w:p w14:paraId="0A9FB276"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Digitization, Layer Player, OBM, Solution Provider</w:t>
            </w:r>
          </w:p>
        </w:tc>
        <w:tc>
          <w:tcPr>
            <w:tcW w:w="1560" w:type="dxa"/>
            <w:shd w:val="clear" w:color="auto" w:fill="auto"/>
            <w:noWrap/>
            <w:hideMark/>
          </w:tcPr>
          <w:p w14:paraId="2B8E1AE1"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2.60%</w:t>
            </w:r>
          </w:p>
        </w:tc>
        <w:tc>
          <w:tcPr>
            <w:tcW w:w="1273" w:type="dxa"/>
            <w:shd w:val="clear" w:color="auto" w:fill="auto"/>
            <w:noWrap/>
            <w:hideMark/>
          </w:tcPr>
          <w:p w14:paraId="05AA048E"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9.03%</w:t>
            </w:r>
          </w:p>
        </w:tc>
      </w:tr>
      <w:tr w:rsidR="00151DC1" w:rsidRPr="00FF4E93" w14:paraId="568DCD99" w14:textId="77777777" w:rsidTr="00C54569">
        <w:trPr>
          <w:trHeight w:val="320"/>
        </w:trPr>
        <w:tc>
          <w:tcPr>
            <w:tcW w:w="365" w:type="dxa"/>
            <w:shd w:val="clear" w:color="auto" w:fill="auto"/>
            <w:noWrap/>
            <w:hideMark/>
          </w:tcPr>
          <w:p w14:paraId="75F500A7"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4</w:t>
            </w:r>
          </w:p>
        </w:tc>
        <w:tc>
          <w:tcPr>
            <w:tcW w:w="5879" w:type="dxa"/>
            <w:shd w:val="clear" w:color="auto" w:fill="auto"/>
            <w:noWrap/>
            <w:hideMark/>
          </w:tcPr>
          <w:p w14:paraId="53270020"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OBM, Solution Provider, Virtualization</w:t>
            </w:r>
          </w:p>
        </w:tc>
        <w:tc>
          <w:tcPr>
            <w:tcW w:w="1560" w:type="dxa"/>
            <w:shd w:val="clear" w:color="auto" w:fill="auto"/>
            <w:noWrap/>
            <w:hideMark/>
          </w:tcPr>
          <w:p w14:paraId="1A3CB667"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2.46%</w:t>
            </w:r>
          </w:p>
        </w:tc>
        <w:tc>
          <w:tcPr>
            <w:tcW w:w="1273" w:type="dxa"/>
            <w:shd w:val="clear" w:color="auto" w:fill="auto"/>
            <w:noWrap/>
            <w:hideMark/>
          </w:tcPr>
          <w:p w14:paraId="262E3AAD"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9.71%</w:t>
            </w:r>
          </w:p>
        </w:tc>
      </w:tr>
      <w:tr w:rsidR="00151DC1" w:rsidRPr="00FF4E93" w14:paraId="465021CA" w14:textId="77777777" w:rsidTr="00C54569">
        <w:trPr>
          <w:trHeight w:val="320"/>
        </w:trPr>
        <w:tc>
          <w:tcPr>
            <w:tcW w:w="365" w:type="dxa"/>
            <w:shd w:val="clear" w:color="auto" w:fill="auto"/>
            <w:noWrap/>
            <w:hideMark/>
          </w:tcPr>
          <w:p w14:paraId="19153CC1"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5</w:t>
            </w:r>
          </w:p>
        </w:tc>
        <w:tc>
          <w:tcPr>
            <w:tcW w:w="5879" w:type="dxa"/>
            <w:shd w:val="clear" w:color="auto" w:fill="auto"/>
            <w:noWrap/>
            <w:hideMark/>
          </w:tcPr>
          <w:p w14:paraId="5EC8673E"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Self-Service, Solution Provider, Subscription</w:t>
            </w:r>
          </w:p>
        </w:tc>
        <w:tc>
          <w:tcPr>
            <w:tcW w:w="1560" w:type="dxa"/>
            <w:shd w:val="clear" w:color="auto" w:fill="auto"/>
            <w:noWrap/>
            <w:hideMark/>
          </w:tcPr>
          <w:p w14:paraId="492D9907"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2.46%</w:t>
            </w:r>
          </w:p>
        </w:tc>
        <w:tc>
          <w:tcPr>
            <w:tcW w:w="1273" w:type="dxa"/>
            <w:shd w:val="clear" w:color="auto" w:fill="auto"/>
            <w:noWrap/>
            <w:hideMark/>
          </w:tcPr>
          <w:p w14:paraId="755483C5"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11.08%</w:t>
            </w:r>
          </w:p>
        </w:tc>
      </w:tr>
      <w:tr w:rsidR="00151DC1" w:rsidRPr="00FF4E93" w14:paraId="5D9274DA" w14:textId="77777777" w:rsidTr="00C54569">
        <w:trPr>
          <w:trHeight w:val="320"/>
        </w:trPr>
        <w:tc>
          <w:tcPr>
            <w:tcW w:w="365" w:type="dxa"/>
            <w:shd w:val="clear" w:color="auto" w:fill="auto"/>
            <w:noWrap/>
            <w:hideMark/>
          </w:tcPr>
          <w:p w14:paraId="0B2D1ABA"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6</w:t>
            </w:r>
          </w:p>
        </w:tc>
        <w:tc>
          <w:tcPr>
            <w:tcW w:w="5879" w:type="dxa"/>
            <w:shd w:val="clear" w:color="auto" w:fill="auto"/>
            <w:noWrap/>
            <w:hideMark/>
          </w:tcPr>
          <w:p w14:paraId="5C670AF7"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Leverage Customer Data, OBM, Solution Provider</w:t>
            </w:r>
          </w:p>
        </w:tc>
        <w:tc>
          <w:tcPr>
            <w:tcW w:w="1560" w:type="dxa"/>
            <w:shd w:val="clear" w:color="auto" w:fill="auto"/>
            <w:noWrap/>
            <w:hideMark/>
          </w:tcPr>
          <w:p w14:paraId="781C84D0"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2.46%</w:t>
            </w:r>
          </w:p>
        </w:tc>
        <w:tc>
          <w:tcPr>
            <w:tcW w:w="1273" w:type="dxa"/>
            <w:shd w:val="clear" w:color="auto" w:fill="auto"/>
            <w:noWrap/>
            <w:hideMark/>
          </w:tcPr>
          <w:p w14:paraId="79200CA8"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11.90%</w:t>
            </w:r>
          </w:p>
        </w:tc>
      </w:tr>
      <w:tr w:rsidR="00151DC1" w:rsidRPr="00FF4E93" w14:paraId="378ED25F" w14:textId="77777777" w:rsidTr="00C54569">
        <w:trPr>
          <w:trHeight w:val="320"/>
        </w:trPr>
        <w:tc>
          <w:tcPr>
            <w:tcW w:w="365" w:type="dxa"/>
            <w:shd w:val="clear" w:color="auto" w:fill="auto"/>
            <w:noWrap/>
            <w:hideMark/>
          </w:tcPr>
          <w:p w14:paraId="5699B7B8"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7</w:t>
            </w:r>
          </w:p>
        </w:tc>
        <w:tc>
          <w:tcPr>
            <w:tcW w:w="5879" w:type="dxa"/>
            <w:shd w:val="clear" w:color="auto" w:fill="auto"/>
            <w:noWrap/>
            <w:hideMark/>
          </w:tcPr>
          <w:p w14:paraId="6229F697"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Self-Service, Solution Provider, Virtualization</w:t>
            </w:r>
          </w:p>
        </w:tc>
        <w:tc>
          <w:tcPr>
            <w:tcW w:w="1560" w:type="dxa"/>
            <w:shd w:val="clear" w:color="auto" w:fill="auto"/>
            <w:noWrap/>
            <w:hideMark/>
          </w:tcPr>
          <w:p w14:paraId="7EE5FC82"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2.05%</w:t>
            </w:r>
          </w:p>
        </w:tc>
        <w:tc>
          <w:tcPr>
            <w:tcW w:w="1273" w:type="dxa"/>
            <w:shd w:val="clear" w:color="auto" w:fill="auto"/>
            <w:noWrap/>
            <w:hideMark/>
          </w:tcPr>
          <w:p w14:paraId="5814F884"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12.31%</w:t>
            </w:r>
          </w:p>
        </w:tc>
      </w:tr>
      <w:tr w:rsidR="00151DC1" w:rsidRPr="00FF4E93" w14:paraId="21352D25" w14:textId="77777777" w:rsidTr="00C54569">
        <w:trPr>
          <w:trHeight w:val="320"/>
        </w:trPr>
        <w:tc>
          <w:tcPr>
            <w:tcW w:w="365" w:type="dxa"/>
            <w:shd w:val="clear" w:color="auto" w:fill="auto"/>
            <w:noWrap/>
            <w:hideMark/>
          </w:tcPr>
          <w:p w14:paraId="7D2947FF"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8</w:t>
            </w:r>
          </w:p>
        </w:tc>
        <w:tc>
          <w:tcPr>
            <w:tcW w:w="5879" w:type="dxa"/>
            <w:shd w:val="clear" w:color="auto" w:fill="auto"/>
            <w:noWrap/>
            <w:hideMark/>
          </w:tcPr>
          <w:p w14:paraId="33BBF866"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OBM, Self-Service, Subscription</w:t>
            </w:r>
          </w:p>
        </w:tc>
        <w:tc>
          <w:tcPr>
            <w:tcW w:w="1560" w:type="dxa"/>
            <w:shd w:val="clear" w:color="auto" w:fill="auto"/>
            <w:noWrap/>
            <w:hideMark/>
          </w:tcPr>
          <w:p w14:paraId="4D353726"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2.05%</w:t>
            </w:r>
          </w:p>
        </w:tc>
        <w:tc>
          <w:tcPr>
            <w:tcW w:w="1273" w:type="dxa"/>
            <w:shd w:val="clear" w:color="auto" w:fill="auto"/>
            <w:noWrap/>
            <w:hideMark/>
          </w:tcPr>
          <w:p w14:paraId="0D917B55"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13.27%</w:t>
            </w:r>
          </w:p>
        </w:tc>
      </w:tr>
      <w:tr w:rsidR="00151DC1" w:rsidRPr="00FF4E93" w14:paraId="12EAE71D" w14:textId="77777777" w:rsidTr="00C54569">
        <w:trPr>
          <w:trHeight w:val="320"/>
        </w:trPr>
        <w:tc>
          <w:tcPr>
            <w:tcW w:w="365" w:type="dxa"/>
            <w:shd w:val="clear" w:color="auto" w:fill="auto"/>
            <w:noWrap/>
            <w:hideMark/>
          </w:tcPr>
          <w:p w14:paraId="10119FF0"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9</w:t>
            </w:r>
          </w:p>
        </w:tc>
        <w:tc>
          <w:tcPr>
            <w:tcW w:w="5879" w:type="dxa"/>
            <w:shd w:val="clear" w:color="auto" w:fill="auto"/>
            <w:noWrap/>
            <w:hideMark/>
          </w:tcPr>
          <w:p w14:paraId="0F317635"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Layer Player, OBM, Self-Service, Virtualization</w:t>
            </w:r>
          </w:p>
        </w:tc>
        <w:tc>
          <w:tcPr>
            <w:tcW w:w="1560" w:type="dxa"/>
            <w:shd w:val="clear" w:color="auto" w:fill="auto"/>
            <w:noWrap/>
            <w:hideMark/>
          </w:tcPr>
          <w:p w14:paraId="779095AF"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1.92%</w:t>
            </w:r>
          </w:p>
        </w:tc>
        <w:tc>
          <w:tcPr>
            <w:tcW w:w="1273" w:type="dxa"/>
            <w:shd w:val="clear" w:color="auto" w:fill="auto"/>
            <w:noWrap/>
            <w:hideMark/>
          </w:tcPr>
          <w:p w14:paraId="00CB50E4"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13.68%</w:t>
            </w:r>
          </w:p>
        </w:tc>
      </w:tr>
      <w:tr w:rsidR="00151DC1" w:rsidRPr="00FF4E93" w14:paraId="7038EA6D" w14:textId="77777777" w:rsidTr="00C54569">
        <w:trPr>
          <w:trHeight w:val="320"/>
        </w:trPr>
        <w:tc>
          <w:tcPr>
            <w:tcW w:w="365" w:type="dxa"/>
            <w:shd w:val="clear" w:color="auto" w:fill="auto"/>
            <w:noWrap/>
            <w:hideMark/>
          </w:tcPr>
          <w:p w14:paraId="58B1046C"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10</w:t>
            </w:r>
          </w:p>
        </w:tc>
        <w:tc>
          <w:tcPr>
            <w:tcW w:w="5879" w:type="dxa"/>
            <w:shd w:val="clear" w:color="auto" w:fill="auto"/>
            <w:noWrap/>
            <w:hideMark/>
          </w:tcPr>
          <w:p w14:paraId="1A03941E"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 xml:space="preserve">Layer Player, Leverage Customer Data, Solution Provider, </w:t>
            </w:r>
          </w:p>
          <w:p w14:paraId="1655FBD9" w14:textId="77777777" w:rsidR="00151DC1" w:rsidRPr="00FF4E93" w:rsidRDefault="00151DC1" w:rsidP="00151DC1">
            <w:pPr>
              <w:spacing w:before="0" w:after="0" w:line="240" w:lineRule="auto"/>
              <w:jc w:val="left"/>
              <w:rPr>
                <w:rFonts w:eastAsia="Times New Roman"/>
                <w:color w:val="000000"/>
                <w:sz w:val="22"/>
                <w:szCs w:val="22"/>
              </w:rPr>
            </w:pPr>
            <w:r w:rsidRPr="00FF4E93">
              <w:rPr>
                <w:rFonts w:eastAsia="Times New Roman"/>
                <w:color w:val="000000"/>
                <w:sz w:val="22"/>
                <w:szCs w:val="22"/>
              </w:rPr>
              <w:t>Subscription</w:t>
            </w:r>
          </w:p>
        </w:tc>
        <w:tc>
          <w:tcPr>
            <w:tcW w:w="1560" w:type="dxa"/>
            <w:shd w:val="clear" w:color="auto" w:fill="auto"/>
            <w:noWrap/>
            <w:hideMark/>
          </w:tcPr>
          <w:p w14:paraId="7BAB691A"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1.92%</w:t>
            </w:r>
          </w:p>
        </w:tc>
        <w:tc>
          <w:tcPr>
            <w:tcW w:w="1273" w:type="dxa"/>
            <w:shd w:val="clear" w:color="auto" w:fill="auto"/>
            <w:noWrap/>
            <w:hideMark/>
          </w:tcPr>
          <w:p w14:paraId="79EC1044" w14:textId="77777777" w:rsidR="00151DC1" w:rsidRPr="00FF4E93" w:rsidRDefault="00151DC1" w:rsidP="00151DC1">
            <w:pPr>
              <w:spacing w:before="0" w:after="0" w:line="240" w:lineRule="auto"/>
              <w:jc w:val="center"/>
              <w:rPr>
                <w:rFonts w:eastAsia="Times New Roman"/>
                <w:color w:val="000000"/>
                <w:sz w:val="22"/>
                <w:szCs w:val="22"/>
              </w:rPr>
            </w:pPr>
            <w:r w:rsidRPr="00FF4E93">
              <w:rPr>
                <w:rFonts w:eastAsia="Times New Roman"/>
                <w:color w:val="000000"/>
                <w:sz w:val="22"/>
                <w:szCs w:val="22"/>
              </w:rPr>
              <w:t>14.64%</w:t>
            </w:r>
          </w:p>
        </w:tc>
      </w:tr>
      <w:bookmarkEnd w:id="8"/>
    </w:tbl>
    <w:p w14:paraId="52863CD3" w14:textId="77777777" w:rsidR="00151DC1" w:rsidRPr="00FF4E93" w:rsidRDefault="00151DC1" w:rsidP="00151DC1">
      <w:pPr>
        <w:spacing w:before="0" w:after="160" w:line="259" w:lineRule="auto"/>
        <w:jc w:val="left"/>
        <w:rPr>
          <w:rFonts w:eastAsia="Times New Roman"/>
          <w:sz w:val="26"/>
          <w:highlight w:val="yellow"/>
        </w:rPr>
      </w:pPr>
    </w:p>
    <w:p w14:paraId="02D853C8" w14:textId="77777777" w:rsidR="00151DC1" w:rsidRPr="00FF4E93" w:rsidRDefault="00151DC1" w:rsidP="00151DC1">
      <w:pPr>
        <w:spacing w:after="0"/>
        <w:rPr>
          <w:rFonts w:eastAsia="Times New Roman"/>
          <w:sz w:val="26"/>
        </w:rPr>
      </w:pPr>
      <w:r w:rsidRPr="00FF4E93">
        <w:rPr>
          <w:rFonts w:eastAsia="Times New Roman"/>
          <w:sz w:val="26"/>
        </w:rPr>
        <w:t xml:space="preserve">Our quantitative configuration analysis resulted in the identification of three configurations. Interestingly, our analysis revealed three patterns that occurred frequently independent of any technology domain: </w:t>
      </w:r>
      <w:r w:rsidRPr="00FF4E93">
        <w:rPr>
          <w:rFonts w:eastAsia="Times New Roman"/>
          <w:i/>
          <w:sz w:val="26"/>
        </w:rPr>
        <w:t>Layer Player</w:t>
      </w:r>
      <w:r w:rsidRPr="00FF4E93">
        <w:rPr>
          <w:rFonts w:eastAsia="Times New Roman"/>
          <w:sz w:val="26"/>
        </w:rPr>
        <w:t xml:space="preserve">, </w:t>
      </w:r>
      <w:r w:rsidRPr="00FF4E93">
        <w:rPr>
          <w:rFonts w:eastAsia="Times New Roman"/>
          <w:i/>
          <w:sz w:val="26"/>
        </w:rPr>
        <w:t>Solution Provider</w:t>
      </w:r>
      <w:r w:rsidRPr="00FF4E93">
        <w:rPr>
          <w:rFonts w:eastAsia="Times New Roman"/>
          <w:sz w:val="26"/>
        </w:rPr>
        <w:t xml:space="preserve">, and </w:t>
      </w:r>
      <w:r w:rsidRPr="00FF4E93">
        <w:rPr>
          <w:rFonts w:eastAsia="Times New Roman"/>
          <w:i/>
          <w:sz w:val="26"/>
        </w:rPr>
        <w:lastRenderedPageBreak/>
        <w:t>Open Business Model</w:t>
      </w:r>
      <w:r w:rsidRPr="00FF4E93">
        <w:rPr>
          <w:rFonts w:eastAsia="Times New Roman"/>
          <w:sz w:val="26"/>
        </w:rPr>
        <w:t xml:space="preserve">. In total, 655 (or 89.6%) out of 730 firms feature at least one of these three patterns. We call these </w:t>
      </w:r>
      <w:r w:rsidRPr="00FF4E93">
        <w:rPr>
          <w:rFonts w:eastAsia="Times New Roman"/>
          <w:i/>
          <w:sz w:val="26"/>
        </w:rPr>
        <w:t>‘elementary patterns’</w:t>
      </w:r>
      <w:r w:rsidRPr="00FF4E93">
        <w:rPr>
          <w:rFonts w:eastAsia="Times New Roman"/>
          <w:sz w:val="26"/>
        </w:rPr>
        <w:t xml:space="preserve"> and define:</w:t>
      </w:r>
    </w:p>
    <w:p w14:paraId="4012CD10" w14:textId="77777777" w:rsidR="00151DC1" w:rsidRPr="00FF4E93" w:rsidRDefault="00151DC1" w:rsidP="00151DC1">
      <w:pPr>
        <w:spacing w:after="0"/>
        <w:jc w:val="center"/>
        <w:rPr>
          <w:rFonts w:eastAsia="Times New Roman"/>
          <w:sz w:val="26"/>
        </w:rPr>
      </w:pPr>
      <m:oMath>
        <m:r>
          <w:rPr>
            <w:rFonts w:ascii="Cambria Math" w:eastAsia="Times New Roman" w:hAnsi="Cambria Math"/>
            <w:sz w:val="26"/>
          </w:rPr>
          <m:t>E={</m:t>
        </m:r>
        <m:sSub>
          <m:sSubPr>
            <m:ctrlPr>
              <w:rPr>
                <w:rFonts w:ascii="Cambria Math" w:eastAsia="Times New Roman" w:hAnsi="Cambria Math"/>
                <w:i/>
                <w:sz w:val="26"/>
              </w:rPr>
            </m:ctrlPr>
          </m:sSubPr>
          <m:e>
            <m:r>
              <w:rPr>
                <w:rFonts w:ascii="Cambria Math" w:eastAsia="Times New Roman" w:hAnsi="Cambria Math"/>
                <w:sz w:val="26"/>
              </w:rPr>
              <m:t>e</m:t>
            </m:r>
          </m:e>
          <m:sub>
            <m:r>
              <w:rPr>
                <w:rFonts w:ascii="Cambria Math" w:eastAsia="Times New Roman" w:hAnsi="Cambria Math"/>
                <w:sz w:val="26"/>
              </w:rPr>
              <m:t>1</m:t>
            </m:r>
          </m:sub>
        </m:sSub>
        <m:r>
          <w:rPr>
            <w:rFonts w:ascii="Cambria Math" w:eastAsia="Times New Roman" w:hAnsi="Cambria Math"/>
            <w:sz w:val="26"/>
          </w:rPr>
          <m:t>=Layer Player,</m:t>
        </m:r>
        <m:sSub>
          <m:sSubPr>
            <m:ctrlPr>
              <w:rPr>
                <w:rFonts w:ascii="Cambria Math" w:eastAsia="Times New Roman" w:hAnsi="Cambria Math"/>
                <w:i/>
                <w:sz w:val="26"/>
              </w:rPr>
            </m:ctrlPr>
          </m:sSubPr>
          <m:e>
            <m:r>
              <w:rPr>
                <w:rFonts w:ascii="Cambria Math" w:eastAsia="Times New Roman" w:hAnsi="Cambria Math"/>
                <w:sz w:val="26"/>
              </w:rPr>
              <m:t>e</m:t>
            </m:r>
          </m:e>
          <m:sub>
            <m:r>
              <w:rPr>
                <w:rFonts w:ascii="Cambria Math" w:eastAsia="Times New Roman" w:hAnsi="Cambria Math"/>
                <w:sz w:val="26"/>
              </w:rPr>
              <m:t>2</m:t>
            </m:r>
          </m:sub>
        </m:sSub>
        <m:r>
          <w:rPr>
            <w:rFonts w:ascii="Cambria Math" w:eastAsia="Times New Roman" w:hAnsi="Cambria Math"/>
            <w:sz w:val="26"/>
          </w:rPr>
          <m:t>=Solution Provie,</m:t>
        </m:r>
        <m:sSub>
          <m:sSubPr>
            <m:ctrlPr>
              <w:rPr>
                <w:rFonts w:ascii="Cambria Math" w:eastAsia="Times New Roman" w:hAnsi="Cambria Math"/>
                <w:i/>
                <w:sz w:val="26"/>
              </w:rPr>
            </m:ctrlPr>
          </m:sSubPr>
          <m:e>
            <m:r>
              <w:rPr>
                <w:rFonts w:ascii="Cambria Math" w:eastAsia="Times New Roman" w:hAnsi="Cambria Math"/>
                <w:sz w:val="26"/>
              </w:rPr>
              <m:t>e</m:t>
            </m:r>
          </m:e>
          <m:sub>
            <m:r>
              <w:rPr>
                <w:rFonts w:ascii="Cambria Math" w:eastAsia="Times New Roman" w:hAnsi="Cambria Math"/>
                <w:sz w:val="26"/>
              </w:rPr>
              <m:t>3</m:t>
            </m:r>
          </m:sub>
        </m:sSub>
        <m:r>
          <w:rPr>
            <w:rFonts w:ascii="Cambria Math" w:eastAsia="Times New Roman" w:hAnsi="Cambria Math"/>
            <w:sz w:val="26"/>
          </w:rPr>
          <m:t>=Open Business Model}</m:t>
        </m:r>
      </m:oMath>
      <w:r w:rsidRPr="00FF4E93">
        <w:rPr>
          <w:rFonts w:eastAsia="Times New Roman"/>
          <w:sz w:val="26"/>
        </w:rPr>
        <w:t xml:space="preserve"> </w:t>
      </w:r>
      <m:oMath>
        <m:r>
          <w:rPr>
            <w:rFonts w:ascii="Cambria Math" w:eastAsia="Times New Roman" w:hAnsi="Cambria Math"/>
            <w:sz w:val="26"/>
          </w:rPr>
          <m:t>⊂P</m:t>
        </m:r>
      </m:oMath>
    </w:p>
    <w:p w14:paraId="2C51BB81" w14:textId="77777777" w:rsidR="00151DC1" w:rsidRPr="00FF4E93" w:rsidRDefault="00151DC1" w:rsidP="00151DC1">
      <w:pPr>
        <w:spacing w:after="0"/>
        <w:rPr>
          <w:rFonts w:eastAsia="Times New Roman"/>
          <w:sz w:val="26"/>
        </w:rPr>
      </w:pPr>
      <w:r w:rsidRPr="00FF4E93">
        <w:rPr>
          <w:rFonts w:eastAsia="Times New Roman"/>
          <w:sz w:val="26"/>
        </w:rPr>
        <w:t xml:space="preserve">We further noticed that these patterns commonly co-occur together: The bivariate combination </w:t>
      </w:r>
      <w:r w:rsidRPr="00FF4E93">
        <w:rPr>
          <w:rFonts w:eastAsia="Times New Roman"/>
          <w:i/>
          <w:sz w:val="26"/>
        </w:rPr>
        <w:t>{Layer Player, Solution Provider}</w:t>
      </w:r>
      <w:r w:rsidRPr="00FF4E93">
        <w:rPr>
          <w:rFonts w:eastAsia="Times New Roman"/>
          <w:sz w:val="26"/>
        </w:rPr>
        <w:t xml:space="preserve"> exists in 150 firms, </w:t>
      </w:r>
      <w:r w:rsidRPr="00FF4E93">
        <w:rPr>
          <w:rFonts w:eastAsia="Times New Roman"/>
          <w:i/>
          <w:sz w:val="26"/>
        </w:rPr>
        <w:t xml:space="preserve">{Open Business Model, Solution Provider} </w:t>
      </w:r>
      <w:r w:rsidRPr="00FF4E93">
        <w:rPr>
          <w:rFonts w:eastAsia="Times New Roman"/>
          <w:sz w:val="26"/>
        </w:rPr>
        <w:t xml:space="preserve">in 55, and </w:t>
      </w:r>
      <w:r w:rsidRPr="00FF4E93">
        <w:rPr>
          <w:rFonts w:eastAsia="Times New Roman"/>
          <w:i/>
          <w:sz w:val="26"/>
        </w:rPr>
        <w:t>{Layer Player, Open Business Model}</w:t>
      </w:r>
      <w:r w:rsidRPr="00FF4E93">
        <w:rPr>
          <w:rFonts w:eastAsia="Times New Roman"/>
          <w:sz w:val="26"/>
        </w:rPr>
        <w:t xml:space="preserve"> in 196. Collectively, these three pairs can be found in 401 out of 730 (54.9%) of our cases. Hence, we call these pairs </w:t>
      </w:r>
      <w:r w:rsidRPr="00FF4E93">
        <w:rPr>
          <w:rFonts w:eastAsia="Times New Roman"/>
          <w:i/>
          <w:sz w:val="26"/>
        </w:rPr>
        <w:t>‘foundations’</w:t>
      </w:r>
      <w:r w:rsidRPr="00FF4E93">
        <w:rPr>
          <w:rFonts w:eastAsia="Times New Roman"/>
          <w:sz w:val="26"/>
        </w:rPr>
        <w:t xml:space="preserve"> and define:</w:t>
      </w:r>
    </w:p>
    <w:p w14:paraId="5693026D" w14:textId="77777777" w:rsidR="00151DC1" w:rsidRPr="00FF4E93" w:rsidRDefault="00151DC1" w:rsidP="00151DC1">
      <w:pPr>
        <w:spacing w:after="0"/>
        <w:jc w:val="center"/>
        <w:rPr>
          <w:rFonts w:eastAsia="Times New Roman"/>
          <w:sz w:val="26"/>
        </w:rPr>
      </w:pPr>
      <m:oMath>
        <m:r>
          <w:rPr>
            <w:rFonts w:ascii="Cambria Math" w:eastAsia="Times New Roman" w:hAnsi="Cambria Math"/>
            <w:sz w:val="26"/>
          </w:rPr>
          <m:t>F={</m:t>
        </m:r>
        <m:sSub>
          <m:sSubPr>
            <m:ctrlPr>
              <w:rPr>
                <w:rFonts w:ascii="Cambria Math" w:eastAsia="Times New Roman" w:hAnsi="Cambria Math"/>
                <w:i/>
                <w:sz w:val="26"/>
              </w:rPr>
            </m:ctrlPr>
          </m:sSubPr>
          <m:e>
            <m:r>
              <w:rPr>
                <w:rFonts w:ascii="Cambria Math" w:eastAsia="Times New Roman" w:hAnsi="Cambria Math"/>
                <w:sz w:val="26"/>
              </w:rPr>
              <m:t>f</m:t>
            </m:r>
          </m:e>
          <m:sub>
            <m:r>
              <w:rPr>
                <w:rFonts w:ascii="Cambria Math" w:eastAsia="Times New Roman" w:hAnsi="Cambria Math"/>
                <w:sz w:val="26"/>
              </w:rPr>
              <m:t>1</m:t>
            </m:r>
          </m:sub>
        </m:sSub>
        <m:r>
          <w:rPr>
            <w:rFonts w:ascii="Cambria Math" w:eastAsia="Times New Roman" w:hAnsi="Cambria Math"/>
            <w:sz w:val="26"/>
          </w:rPr>
          <m:t xml:space="preserve">=Layer Player∧Solution Provider, </m:t>
        </m:r>
        <m:sSub>
          <m:sSubPr>
            <m:ctrlPr>
              <w:rPr>
                <w:rFonts w:ascii="Cambria Math" w:eastAsia="Times New Roman" w:hAnsi="Cambria Math"/>
                <w:i/>
                <w:sz w:val="26"/>
              </w:rPr>
            </m:ctrlPr>
          </m:sSubPr>
          <m:e>
            <m:r>
              <w:rPr>
                <w:rFonts w:ascii="Cambria Math" w:eastAsia="Times New Roman" w:hAnsi="Cambria Math"/>
                <w:sz w:val="26"/>
              </w:rPr>
              <m:t>f</m:t>
            </m:r>
          </m:e>
          <m:sub>
            <m:r>
              <w:rPr>
                <w:rFonts w:ascii="Cambria Math" w:eastAsia="Times New Roman" w:hAnsi="Cambria Math"/>
                <w:sz w:val="26"/>
              </w:rPr>
              <m:t>2</m:t>
            </m:r>
          </m:sub>
        </m:sSub>
        <m:r>
          <w:rPr>
            <w:rFonts w:ascii="Cambria Math" w:eastAsia="Times New Roman" w:hAnsi="Cambria Math"/>
            <w:sz w:val="26"/>
          </w:rPr>
          <m:t>=Layer Player∧Open Business Model,</m:t>
        </m:r>
        <m:sSub>
          <m:sSubPr>
            <m:ctrlPr>
              <w:rPr>
                <w:rFonts w:ascii="Cambria Math" w:eastAsia="Times New Roman" w:hAnsi="Cambria Math"/>
                <w:i/>
                <w:sz w:val="26"/>
              </w:rPr>
            </m:ctrlPr>
          </m:sSubPr>
          <m:e>
            <m:r>
              <w:rPr>
                <w:rFonts w:ascii="Cambria Math" w:eastAsia="Times New Roman" w:hAnsi="Cambria Math"/>
                <w:sz w:val="26"/>
              </w:rPr>
              <m:t>f</m:t>
            </m:r>
          </m:e>
          <m:sub>
            <m:r>
              <w:rPr>
                <w:rFonts w:ascii="Cambria Math" w:eastAsia="Times New Roman" w:hAnsi="Cambria Math"/>
                <w:sz w:val="26"/>
              </w:rPr>
              <m:t>3</m:t>
            </m:r>
          </m:sub>
        </m:sSub>
        <m:r>
          <w:rPr>
            <w:rFonts w:ascii="Cambria Math" w:eastAsia="Times New Roman" w:hAnsi="Cambria Math"/>
            <w:sz w:val="26"/>
          </w:rPr>
          <m:t>=Open Business Model∧Solution Provider}⊂</m:t>
        </m:r>
        <m:sSub>
          <m:sSubPr>
            <m:ctrlPr>
              <w:rPr>
                <w:rFonts w:ascii="Cambria Math" w:eastAsia="Times New Roman" w:hAnsi="Cambria Math"/>
                <w:i/>
                <w:sz w:val="26"/>
              </w:rPr>
            </m:ctrlPr>
          </m:sSubPr>
          <m:e>
            <m:r>
              <w:rPr>
                <w:rFonts w:ascii="Cambria Math" w:eastAsia="Times New Roman" w:hAnsi="Cambria Math"/>
                <w:sz w:val="26"/>
              </w:rPr>
              <m:t>P</m:t>
            </m:r>
          </m:e>
          <m:sub>
            <m:r>
              <w:rPr>
                <w:rFonts w:ascii="Cambria Math" w:eastAsia="Times New Roman" w:hAnsi="Cambria Math"/>
                <w:sz w:val="26"/>
              </w:rPr>
              <m:t>P</m:t>
            </m:r>
          </m:sub>
        </m:sSub>
      </m:oMath>
      <w:r w:rsidRPr="00FF4E93">
        <w:rPr>
          <w:rFonts w:eastAsia="Times New Roman"/>
          <w:sz w:val="26"/>
        </w:rPr>
        <w:t>,</w:t>
      </w:r>
    </w:p>
    <w:p w14:paraId="60D10323" w14:textId="77777777" w:rsidR="00151DC1" w:rsidRPr="00FF4E93" w:rsidRDefault="00151DC1" w:rsidP="00151DC1">
      <w:pPr>
        <w:spacing w:after="0"/>
        <w:rPr>
          <w:rFonts w:eastAsia="Times New Roman"/>
          <w:sz w:val="26"/>
        </w:rPr>
      </w:pPr>
      <w:r w:rsidRPr="00FF4E93">
        <w:rPr>
          <w:rFonts w:eastAsia="Times New Roman"/>
          <w:sz w:val="26"/>
        </w:rPr>
        <w:t xml:space="preserve">where </w:t>
      </w:r>
      <m:oMath>
        <m:r>
          <w:rPr>
            <w:rFonts w:ascii="Cambria Math" w:eastAsia="Times New Roman" w:hAnsi="Cambria Math"/>
            <w:sz w:val="26"/>
          </w:rPr>
          <m:t>∧</m:t>
        </m:r>
      </m:oMath>
      <w:r w:rsidRPr="00FF4E93">
        <w:rPr>
          <w:rFonts w:eastAsia="Times New Roman"/>
          <w:sz w:val="26"/>
        </w:rPr>
        <w:t xml:space="preserve"> denotes that both patterns need to be satisfied. Despite their importance as building blocks for successful business model innovation, firms complement the fou</w:t>
      </w:r>
      <w:proofErr w:type="spellStart"/>
      <w:r w:rsidRPr="00FF4E93">
        <w:rPr>
          <w:rFonts w:eastAsia="Times New Roman"/>
          <w:sz w:val="26"/>
        </w:rPr>
        <w:t>ndational</w:t>
      </w:r>
      <w:proofErr w:type="spellEnd"/>
      <w:r w:rsidRPr="00FF4E93">
        <w:rPr>
          <w:rFonts w:eastAsia="Times New Roman"/>
          <w:sz w:val="26"/>
        </w:rPr>
        <w:t xml:space="preserve"> with additional patterns in the vast majority of cases.</w:t>
      </w:r>
      <w:r w:rsidRPr="00FF4E93">
        <w:rPr>
          <w:rFonts w:eastAsia="Times New Roman"/>
          <w:sz w:val="26"/>
          <w:vertAlign w:val="superscript"/>
        </w:rPr>
        <w:footnoteReference w:id="5"/>
      </w:r>
      <w:r w:rsidRPr="00FF4E93">
        <w:rPr>
          <w:rFonts w:eastAsia="Times New Roman"/>
          <w:sz w:val="26"/>
        </w:rPr>
        <w:t xml:space="preserve"> We call those patterns that were most often combined with the three pairs </w:t>
      </w:r>
      <w:r w:rsidRPr="00FF4E93">
        <w:rPr>
          <w:rFonts w:eastAsia="Times New Roman"/>
          <w:i/>
          <w:sz w:val="26"/>
        </w:rPr>
        <w:t>‘Add-Ons’</w:t>
      </w:r>
      <w:r w:rsidRPr="00FF4E93">
        <w:rPr>
          <w:rFonts w:eastAsia="Times New Roman"/>
          <w:sz w:val="26"/>
        </w:rPr>
        <w:t xml:space="preserve"> and define:</w:t>
      </w:r>
    </w:p>
    <w:p w14:paraId="4D723300" w14:textId="77777777" w:rsidR="00151DC1" w:rsidRPr="00FF4E93" w:rsidRDefault="00151DC1" w:rsidP="00151DC1">
      <w:pPr>
        <w:spacing w:after="0"/>
        <w:jc w:val="center"/>
        <w:rPr>
          <w:rFonts w:eastAsia="Times New Roman"/>
          <w:sz w:val="26"/>
        </w:rPr>
      </w:pPr>
      <m:oMath>
        <m:r>
          <w:rPr>
            <w:rFonts w:ascii="Cambria Math" w:eastAsia="Times New Roman" w:hAnsi="Cambria Math"/>
            <w:sz w:val="26"/>
          </w:rPr>
          <m:t>A={</m:t>
        </m:r>
        <m:sSub>
          <m:sSubPr>
            <m:ctrlPr>
              <w:rPr>
                <w:rFonts w:ascii="Cambria Math" w:eastAsia="Times New Roman" w:hAnsi="Cambria Math"/>
                <w:i/>
                <w:sz w:val="26"/>
              </w:rPr>
            </m:ctrlPr>
          </m:sSubPr>
          <m:e>
            <m:r>
              <w:rPr>
                <w:rFonts w:ascii="Cambria Math" w:eastAsia="Times New Roman" w:hAnsi="Cambria Math"/>
                <w:sz w:val="26"/>
              </w:rPr>
              <m:t>a</m:t>
            </m:r>
          </m:e>
          <m:sub>
            <m:r>
              <w:rPr>
                <w:rFonts w:ascii="Cambria Math" w:eastAsia="Times New Roman" w:hAnsi="Cambria Math"/>
                <w:sz w:val="26"/>
              </w:rPr>
              <m:t>1</m:t>
            </m:r>
          </m:sub>
        </m:sSub>
        <m:r>
          <w:rPr>
            <w:rFonts w:ascii="Cambria Math" w:eastAsia="Times New Roman" w:hAnsi="Cambria Math"/>
            <w:sz w:val="26"/>
          </w:rPr>
          <m:t xml:space="preserve">=Self–Service, </m:t>
        </m:r>
        <m:sSub>
          <m:sSubPr>
            <m:ctrlPr>
              <w:rPr>
                <w:rFonts w:ascii="Cambria Math" w:eastAsia="Times New Roman" w:hAnsi="Cambria Math"/>
                <w:i/>
                <w:sz w:val="26"/>
              </w:rPr>
            </m:ctrlPr>
          </m:sSubPr>
          <m:e>
            <m:r>
              <w:rPr>
                <w:rFonts w:ascii="Cambria Math" w:eastAsia="Times New Roman" w:hAnsi="Cambria Math"/>
                <w:sz w:val="26"/>
              </w:rPr>
              <m:t>a</m:t>
            </m:r>
          </m:e>
          <m:sub>
            <m:r>
              <w:rPr>
                <w:rFonts w:ascii="Cambria Math" w:eastAsia="Times New Roman" w:hAnsi="Cambria Math"/>
                <w:sz w:val="26"/>
              </w:rPr>
              <m:t>2</m:t>
            </m:r>
          </m:sub>
        </m:sSub>
        <m:r>
          <w:rPr>
            <w:rFonts w:ascii="Cambria Math" w:eastAsia="Times New Roman" w:hAnsi="Cambria Math"/>
            <w:sz w:val="26"/>
          </w:rPr>
          <m:t xml:space="preserve">=Subscription, </m:t>
        </m:r>
        <m:sSub>
          <m:sSubPr>
            <m:ctrlPr>
              <w:rPr>
                <w:rFonts w:ascii="Cambria Math" w:eastAsia="Times New Roman" w:hAnsi="Cambria Math"/>
                <w:i/>
                <w:sz w:val="26"/>
              </w:rPr>
            </m:ctrlPr>
          </m:sSubPr>
          <m:e>
            <m:r>
              <w:rPr>
                <w:rFonts w:ascii="Cambria Math" w:eastAsia="Times New Roman" w:hAnsi="Cambria Math"/>
                <w:sz w:val="26"/>
              </w:rPr>
              <m:t>a</m:t>
            </m:r>
          </m:e>
          <m:sub>
            <m:r>
              <w:rPr>
                <w:rFonts w:ascii="Cambria Math" w:eastAsia="Times New Roman" w:hAnsi="Cambria Math"/>
                <w:sz w:val="26"/>
              </w:rPr>
              <m:t>3</m:t>
            </m:r>
          </m:sub>
        </m:sSub>
        <m:r>
          <w:rPr>
            <w:rFonts w:ascii="Cambria Math" w:eastAsia="Times New Roman" w:hAnsi="Cambria Math"/>
            <w:sz w:val="26"/>
          </w:rPr>
          <m:t xml:space="preserve">=Digitization, </m:t>
        </m:r>
        <m:sSub>
          <m:sSubPr>
            <m:ctrlPr>
              <w:rPr>
                <w:rFonts w:ascii="Cambria Math" w:eastAsia="Cambria Math" w:hAnsi="Cambria Math"/>
                <w:i/>
                <w:sz w:val="26"/>
              </w:rPr>
            </m:ctrlPr>
          </m:sSubPr>
          <m:e>
            <m:r>
              <w:rPr>
                <w:rFonts w:ascii="Cambria Math" w:eastAsia="Cambria Math" w:hAnsi="Cambria Math"/>
                <w:sz w:val="26"/>
              </w:rPr>
              <m:t>a</m:t>
            </m:r>
          </m:e>
          <m:sub>
            <m:r>
              <w:rPr>
                <w:rFonts w:ascii="Cambria Math" w:eastAsia="Cambria Math" w:hAnsi="Cambria Math"/>
                <w:sz w:val="26"/>
              </w:rPr>
              <m:t>4</m:t>
            </m:r>
          </m:sub>
        </m:sSub>
        <m:r>
          <w:rPr>
            <w:rFonts w:ascii="Cambria Math" w:eastAsia="Cambria Math" w:hAnsi="Cambria Math"/>
            <w:sz w:val="26"/>
          </w:rPr>
          <m:t xml:space="preserve">=Leverage Customer Data, </m:t>
        </m:r>
        <m:sSub>
          <m:sSubPr>
            <m:ctrlPr>
              <w:rPr>
                <w:rFonts w:ascii="Cambria Math" w:eastAsia="Cambria Math" w:hAnsi="Cambria Math"/>
                <w:i/>
                <w:sz w:val="26"/>
              </w:rPr>
            </m:ctrlPr>
          </m:sSubPr>
          <m:e>
            <m:r>
              <w:rPr>
                <w:rFonts w:ascii="Cambria Math" w:eastAsia="Cambria Math" w:hAnsi="Cambria Math"/>
                <w:sz w:val="26"/>
              </w:rPr>
              <m:t>a</m:t>
            </m:r>
          </m:e>
          <m:sub>
            <m:r>
              <w:rPr>
                <w:rFonts w:ascii="Cambria Math" w:eastAsia="Cambria Math" w:hAnsi="Cambria Math"/>
                <w:sz w:val="26"/>
              </w:rPr>
              <m:t>5</m:t>
            </m:r>
          </m:sub>
        </m:sSub>
        <m:r>
          <w:rPr>
            <w:rFonts w:ascii="Cambria Math" w:eastAsia="Cambria Math" w:hAnsi="Cambria Math"/>
            <w:sz w:val="26"/>
          </w:rPr>
          <m:t xml:space="preserve">=Direct Selling, </m:t>
        </m:r>
        <m:sSub>
          <m:sSubPr>
            <m:ctrlPr>
              <w:rPr>
                <w:rFonts w:ascii="Cambria Math" w:eastAsia="Cambria Math" w:hAnsi="Cambria Math"/>
                <w:i/>
                <w:sz w:val="26"/>
              </w:rPr>
            </m:ctrlPr>
          </m:sSubPr>
          <m:e>
            <m:r>
              <w:rPr>
                <w:rFonts w:ascii="Cambria Math" w:eastAsia="Cambria Math" w:hAnsi="Cambria Math"/>
                <w:sz w:val="26"/>
              </w:rPr>
              <m:t>a</m:t>
            </m:r>
          </m:e>
          <m:sub>
            <m:r>
              <w:rPr>
                <w:rFonts w:ascii="Cambria Math" w:eastAsia="Cambria Math" w:hAnsi="Cambria Math"/>
                <w:sz w:val="26"/>
              </w:rPr>
              <m:t>6</m:t>
            </m:r>
          </m:sub>
        </m:sSub>
        <m:r>
          <w:rPr>
            <w:rFonts w:ascii="Cambria Math" w:eastAsia="Cambria Math" w:hAnsi="Cambria Math"/>
            <w:sz w:val="26"/>
          </w:rPr>
          <m:t xml:space="preserve">=Virtualization, </m:t>
        </m:r>
        <m:sSub>
          <m:sSubPr>
            <m:ctrlPr>
              <w:rPr>
                <w:rFonts w:ascii="Cambria Math" w:eastAsia="Cambria Math" w:hAnsi="Cambria Math"/>
                <w:i/>
                <w:sz w:val="26"/>
              </w:rPr>
            </m:ctrlPr>
          </m:sSubPr>
          <m:e>
            <m:r>
              <w:rPr>
                <w:rFonts w:ascii="Cambria Math" w:eastAsia="Cambria Math" w:hAnsi="Cambria Math"/>
                <w:sz w:val="26"/>
              </w:rPr>
              <m:t>a</m:t>
            </m:r>
          </m:e>
          <m:sub>
            <m:r>
              <w:rPr>
                <w:rFonts w:ascii="Cambria Math" w:eastAsia="Cambria Math" w:hAnsi="Cambria Math"/>
                <w:sz w:val="26"/>
              </w:rPr>
              <m:t>7</m:t>
            </m:r>
          </m:sub>
        </m:sSub>
        <m:r>
          <w:rPr>
            <w:rFonts w:ascii="Cambria Math" w:eastAsia="Cambria Math" w:hAnsi="Cambria Math"/>
            <w:sz w:val="26"/>
          </w:rPr>
          <m:t xml:space="preserve">=Integrator, </m:t>
        </m:r>
        <m:sSub>
          <m:sSubPr>
            <m:ctrlPr>
              <w:rPr>
                <w:rFonts w:ascii="Cambria Math" w:eastAsia="Cambria Math" w:hAnsi="Cambria Math"/>
                <w:i/>
                <w:sz w:val="26"/>
              </w:rPr>
            </m:ctrlPr>
          </m:sSubPr>
          <m:e>
            <m:r>
              <w:rPr>
                <w:rFonts w:ascii="Cambria Math" w:eastAsia="Cambria Math" w:hAnsi="Cambria Math"/>
                <w:sz w:val="26"/>
              </w:rPr>
              <m:t>a</m:t>
            </m:r>
          </m:e>
          <m:sub>
            <m:r>
              <w:rPr>
                <w:rFonts w:ascii="Cambria Math" w:eastAsia="Cambria Math" w:hAnsi="Cambria Math"/>
                <w:sz w:val="26"/>
              </w:rPr>
              <m:t>8</m:t>
            </m:r>
          </m:sub>
        </m:sSub>
        <m:r>
          <w:rPr>
            <w:rFonts w:ascii="Cambria Math" w:eastAsia="Cambria Math" w:hAnsi="Cambria Math"/>
            <w:sz w:val="26"/>
          </w:rPr>
          <m:t xml:space="preserve">=Aikido, </m:t>
        </m:r>
        <m:sSub>
          <m:sSubPr>
            <m:ctrlPr>
              <w:rPr>
                <w:rFonts w:ascii="Cambria Math" w:eastAsia="Cambria Math" w:hAnsi="Cambria Math"/>
                <w:i/>
                <w:sz w:val="26"/>
              </w:rPr>
            </m:ctrlPr>
          </m:sSubPr>
          <m:e>
            <m:r>
              <w:rPr>
                <w:rFonts w:ascii="Cambria Math" w:eastAsia="Cambria Math" w:hAnsi="Cambria Math"/>
                <w:sz w:val="26"/>
              </w:rPr>
              <m:t>a</m:t>
            </m:r>
          </m:e>
          <m:sub>
            <m:r>
              <w:rPr>
                <w:rFonts w:ascii="Cambria Math" w:eastAsia="Cambria Math" w:hAnsi="Cambria Math"/>
                <w:sz w:val="26"/>
              </w:rPr>
              <m:t>9</m:t>
            </m:r>
          </m:sub>
        </m:sSub>
        <m:r>
          <w:rPr>
            <w:rFonts w:ascii="Cambria Math" w:eastAsia="Cambria Math" w:hAnsi="Cambria Math"/>
            <w:sz w:val="26"/>
          </w:rPr>
          <m:t xml:space="preserve">=Sensor–as–a–Service, </m:t>
        </m:r>
        <m:sSub>
          <m:sSubPr>
            <m:ctrlPr>
              <w:rPr>
                <w:rFonts w:ascii="Cambria Math" w:eastAsia="Cambria Math" w:hAnsi="Cambria Math"/>
                <w:i/>
                <w:sz w:val="26"/>
              </w:rPr>
            </m:ctrlPr>
          </m:sSubPr>
          <m:e>
            <m:r>
              <w:rPr>
                <w:rFonts w:ascii="Cambria Math" w:eastAsia="Cambria Math" w:hAnsi="Cambria Math"/>
                <w:sz w:val="26"/>
              </w:rPr>
              <m:t>a</m:t>
            </m:r>
          </m:e>
          <m:sub>
            <m:r>
              <w:rPr>
                <w:rFonts w:ascii="Cambria Math" w:eastAsia="Cambria Math" w:hAnsi="Cambria Math"/>
                <w:sz w:val="26"/>
              </w:rPr>
              <m:t>10</m:t>
            </m:r>
          </m:sub>
        </m:sSub>
        <m:r>
          <w:rPr>
            <w:rFonts w:ascii="Cambria Math" w:eastAsia="Cambria Math" w:hAnsi="Cambria Math"/>
            <w:sz w:val="26"/>
          </w:rPr>
          <m:t>=Two–Sided Market</m:t>
        </m:r>
        <m:r>
          <w:rPr>
            <w:rFonts w:ascii="Cambria Math" w:eastAsia="Times New Roman" w:hAnsi="Cambria Math"/>
            <w:sz w:val="26"/>
          </w:rPr>
          <m:t>}⊂P</m:t>
        </m:r>
      </m:oMath>
      <w:r w:rsidRPr="00FF4E93">
        <w:rPr>
          <w:rFonts w:eastAsia="Times New Roman"/>
          <w:sz w:val="26"/>
        </w:rPr>
        <w:t xml:space="preserve"> </w:t>
      </w:r>
    </w:p>
    <w:p w14:paraId="311B664F" w14:textId="77777777" w:rsidR="00151DC1" w:rsidRPr="00FF4E93" w:rsidRDefault="00151DC1" w:rsidP="00151DC1">
      <w:pPr>
        <w:spacing w:after="0"/>
        <w:rPr>
          <w:rFonts w:eastAsia="Times New Roman"/>
          <w:sz w:val="26"/>
        </w:rPr>
      </w:pPr>
      <w:r w:rsidRPr="00FF4E93">
        <w:rPr>
          <w:rFonts w:eastAsia="Times New Roman"/>
          <w:sz w:val="26"/>
        </w:rPr>
        <w:t xml:space="preserve">Configurations are distinguished by their foundations and comprise </w:t>
      </w:r>
      <w:r w:rsidRPr="00FF4E93">
        <w:rPr>
          <w:rFonts w:eastAsia="Times New Roman"/>
          <w:i/>
          <w:sz w:val="26"/>
        </w:rPr>
        <w:t xml:space="preserve">‘variants’, </w:t>
      </w:r>
      <w:r w:rsidRPr="00FF4E93">
        <w:rPr>
          <w:rFonts w:eastAsia="Times New Roman"/>
          <w:sz w:val="26"/>
        </w:rPr>
        <w:t xml:space="preserve">each of which represents one specific </w:t>
      </w:r>
      <w:r w:rsidRPr="00FF4E93">
        <w:rPr>
          <w:rFonts w:eastAsia="Times New Roman"/>
          <w:i/>
          <w:sz w:val="26"/>
        </w:rPr>
        <w:t>‘Add-On’</w:t>
      </w:r>
      <w:r w:rsidRPr="00FF4E93">
        <w:rPr>
          <w:rFonts w:eastAsia="Times New Roman"/>
          <w:sz w:val="26"/>
        </w:rPr>
        <w:t xml:space="preserve"> the foundation is complemented by. We define the set of business model pattern configurations as:</w:t>
      </w:r>
    </w:p>
    <w:p w14:paraId="0330C057" w14:textId="77777777" w:rsidR="00151DC1" w:rsidRPr="00FF4E93" w:rsidRDefault="00151DC1" w:rsidP="00151DC1">
      <w:pPr>
        <w:spacing w:after="0"/>
        <w:jc w:val="center"/>
        <w:rPr>
          <w:rFonts w:eastAsia="Times New Roman"/>
          <w:sz w:val="26"/>
        </w:rPr>
      </w:pPr>
      <m:oMath>
        <m:r>
          <w:rPr>
            <w:rFonts w:ascii="Cambria Math" w:eastAsia="Times New Roman" w:hAnsi="Cambria Math"/>
            <w:sz w:val="26"/>
          </w:rPr>
          <m:t>C=FxA={</m:t>
        </m:r>
        <m:sSub>
          <m:sSubPr>
            <m:ctrlPr>
              <w:rPr>
                <w:rFonts w:ascii="Cambria Math" w:eastAsia="Times New Roman" w:hAnsi="Cambria Math"/>
                <w:i/>
                <w:sz w:val="26"/>
              </w:rPr>
            </m:ctrlPr>
          </m:sSubPr>
          <m:e>
            <m:r>
              <w:rPr>
                <w:rFonts w:ascii="Cambria Math" w:eastAsia="Times New Roman" w:hAnsi="Cambria Math"/>
                <w:sz w:val="26"/>
              </w:rPr>
              <m:t>c</m:t>
            </m:r>
          </m:e>
          <m:sub>
            <m:r>
              <w:rPr>
                <w:rFonts w:ascii="Cambria Math" w:eastAsia="Times New Roman" w:hAnsi="Cambria Math"/>
                <w:sz w:val="26"/>
              </w:rPr>
              <m:t>1</m:t>
            </m:r>
          </m:sub>
        </m:sSub>
        <m:r>
          <w:rPr>
            <w:rFonts w:ascii="Cambria Math" w:eastAsia="Times New Roman" w:hAnsi="Cambria Math"/>
            <w:sz w:val="26"/>
          </w:rPr>
          <m:t>=</m:t>
        </m:r>
        <m:sSub>
          <m:sSubPr>
            <m:ctrlPr>
              <w:rPr>
                <w:rFonts w:ascii="Cambria Math" w:eastAsia="Times New Roman" w:hAnsi="Cambria Math"/>
                <w:i/>
                <w:sz w:val="26"/>
              </w:rPr>
            </m:ctrlPr>
          </m:sSubPr>
          <m:e>
            <m:r>
              <w:rPr>
                <w:rFonts w:ascii="Cambria Math" w:eastAsia="Times New Roman" w:hAnsi="Cambria Math"/>
                <w:sz w:val="26"/>
              </w:rPr>
              <m:t>f</m:t>
            </m:r>
          </m:e>
          <m:sub>
            <m:r>
              <w:rPr>
                <w:rFonts w:ascii="Cambria Math" w:eastAsia="Times New Roman" w:hAnsi="Cambria Math"/>
                <w:sz w:val="26"/>
              </w:rPr>
              <m:t>1</m:t>
            </m:r>
          </m:sub>
        </m:sSub>
        <m:r>
          <w:rPr>
            <w:rFonts w:ascii="Cambria Math" w:eastAsia="Times New Roman" w:hAnsi="Cambria Math"/>
            <w:sz w:val="26"/>
          </w:rPr>
          <m:t xml:space="preserve">∧ a, </m:t>
        </m:r>
        <m:sSub>
          <m:sSubPr>
            <m:ctrlPr>
              <w:rPr>
                <w:rFonts w:ascii="Cambria Math" w:eastAsia="Times New Roman" w:hAnsi="Cambria Math"/>
                <w:i/>
                <w:sz w:val="26"/>
              </w:rPr>
            </m:ctrlPr>
          </m:sSubPr>
          <m:e>
            <m:r>
              <w:rPr>
                <w:rFonts w:ascii="Cambria Math" w:eastAsia="Times New Roman" w:hAnsi="Cambria Math"/>
                <w:sz w:val="26"/>
              </w:rPr>
              <m:t>c</m:t>
            </m:r>
          </m:e>
          <m:sub>
            <m:r>
              <w:rPr>
                <w:rFonts w:ascii="Cambria Math" w:eastAsia="Times New Roman" w:hAnsi="Cambria Math"/>
                <w:sz w:val="26"/>
              </w:rPr>
              <m:t>2</m:t>
            </m:r>
          </m:sub>
        </m:sSub>
        <m:r>
          <w:rPr>
            <w:rFonts w:ascii="Cambria Math" w:eastAsia="Times New Roman" w:hAnsi="Cambria Math"/>
            <w:sz w:val="26"/>
          </w:rPr>
          <m:t>=</m:t>
        </m:r>
        <m:sSub>
          <m:sSubPr>
            <m:ctrlPr>
              <w:rPr>
                <w:rFonts w:ascii="Cambria Math" w:eastAsia="Times New Roman" w:hAnsi="Cambria Math"/>
                <w:i/>
                <w:sz w:val="26"/>
              </w:rPr>
            </m:ctrlPr>
          </m:sSubPr>
          <m:e>
            <m:r>
              <w:rPr>
                <w:rFonts w:ascii="Cambria Math" w:eastAsia="Times New Roman" w:hAnsi="Cambria Math"/>
                <w:sz w:val="26"/>
              </w:rPr>
              <m:t>f</m:t>
            </m:r>
          </m:e>
          <m:sub>
            <m:r>
              <w:rPr>
                <w:rFonts w:ascii="Cambria Math" w:eastAsia="Times New Roman" w:hAnsi="Cambria Math"/>
                <w:sz w:val="26"/>
              </w:rPr>
              <m:t>2</m:t>
            </m:r>
          </m:sub>
        </m:sSub>
        <m:r>
          <w:rPr>
            <w:rFonts w:ascii="Cambria Math" w:eastAsia="Times New Roman" w:hAnsi="Cambria Math"/>
            <w:sz w:val="26"/>
          </w:rPr>
          <m:t xml:space="preserve">∧ a, </m:t>
        </m:r>
        <m:sSub>
          <m:sSubPr>
            <m:ctrlPr>
              <w:rPr>
                <w:rFonts w:ascii="Cambria Math" w:eastAsia="Times New Roman" w:hAnsi="Cambria Math"/>
                <w:i/>
                <w:sz w:val="26"/>
              </w:rPr>
            </m:ctrlPr>
          </m:sSubPr>
          <m:e>
            <m:r>
              <w:rPr>
                <w:rFonts w:ascii="Cambria Math" w:eastAsia="Times New Roman" w:hAnsi="Cambria Math"/>
                <w:sz w:val="26"/>
              </w:rPr>
              <m:t>c</m:t>
            </m:r>
          </m:e>
          <m:sub>
            <m:r>
              <w:rPr>
                <w:rFonts w:ascii="Cambria Math" w:eastAsia="Times New Roman" w:hAnsi="Cambria Math"/>
                <w:sz w:val="26"/>
              </w:rPr>
              <m:t>3</m:t>
            </m:r>
          </m:sub>
        </m:sSub>
        <m:r>
          <w:rPr>
            <w:rFonts w:ascii="Cambria Math" w:eastAsia="Times New Roman" w:hAnsi="Cambria Math"/>
            <w:sz w:val="26"/>
          </w:rPr>
          <m:t>=</m:t>
        </m:r>
        <m:sSub>
          <m:sSubPr>
            <m:ctrlPr>
              <w:rPr>
                <w:rFonts w:ascii="Cambria Math" w:eastAsia="Times New Roman" w:hAnsi="Cambria Math"/>
                <w:i/>
                <w:sz w:val="26"/>
              </w:rPr>
            </m:ctrlPr>
          </m:sSubPr>
          <m:e>
            <m:r>
              <w:rPr>
                <w:rFonts w:ascii="Cambria Math" w:eastAsia="Times New Roman" w:hAnsi="Cambria Math"/>
                <w:sz w:val="26"/>
              </w:rPr>
              <m:t>f</m:t>
            </m:r>
          </m:e>
          <m:sub>
            <m:r>
              <w:rPr>
                <w:rFonts w:ascii="Cambria Math" w:eastAsia="Times New Roman" w:hAnsi="Cambria Math"/>
                <w:sz w:val="26"/>
              </w:rPr>
              <m:t>3</m:t>
            </m:r>
          </m:sub>
        </m:sSub>
        <m:r>
          <w:rPr>
            <w:rFonts w:ascii="Cambria Math" w:eastAsia="Times New Roman" w:hAnsi="Cambria Math"/>
            <w:sz w:val="26"/>
          </w:rPr>
          <m:t>∧a}⊂</m:t>
        </m:r>
        <m:sSub>
          <m:sSubPr>
            <m:ctrlPr>
              <w:rPr>
                <w:rFonts w:ascii="Cambria Math" w:eastAsia="Times New Roman" w:hAnsi="Cambria Math"/>
                <w:i/>
                <w:sz w:val="26"/>
              </w:rPr>
            </m:ctrlPr>
          </m:sSubPr>
          <m:e>
            <m:r>
              <w:rPr>
                <w:rFonts w:ascii="Cambria Math" w:eastAsia="Times New Roman" w:hAnsi="Cambria Math"/>
                <w:sz w:val="26"/>
              </w:rPr>
              <m:t>P</m:t>
            </m:r>
          </m:e>
          <m:sub>
            <m:r>
              <w:rPr>
                <w:rFonts w:ascii="Cambria Math" w:eastAsia="Times New Roman" w:hAnsi="Cambria Math"/>
                <w:sz w:val="26"/>
              </w:rPr>
              <m:t>P</m:t>
            </m:r>
          </m:sub>
        </m:sSub>
        <m:r>
          <m:rPr>
            <m:sty m:val="p"/>
          </m:rPr>
          <w:rPr>
            <w:rFonts w:ascii="Cambria Math" w:eastAsia="Times New Roman" w:hAnsi="Cambria Math"/>
            <w:sz w:val="26"/>
          </w:rPr>
          <m:t>, where</m:t>
        </m:r>
        <m:r>
          <w:rPr>
            <w:rFonts w:ascii="Cambria Math" w:eastAsia="Times New Roman" w:hAnsi="Cambria Math"/>
            <w:sz w:val="26"/>
          </w:rPr>
          <m:t xml:space="preserve"> a∈A</m:t>
        </m:r>
      </m:oMath>
      <w:r w:rsidRPr="00FF4E93">
        <w:rPr>
          <w:rFonts w:eastAsia="Times New Roman"/>
          <w:i/>
          <w:sz w:val="26"/>
        </w:rPr>
        <w:t>.</w:t>
      </w:r>
      <w:r w:rsidRPr="00FF4E93">
        <w:rPr>
          <w:rFonts w:eastAsia="Times New Roman"/>
          <w:sz w:val="26"/>
        </w:rPr>
        <w:t xml:space="preserve"> </w:t>
      </w:r>
    </w:p>
    <w:p w14:paraId="004F82B4" w14:textId="77777777" w:rsidR="00151DC1" w:rsidRPr="00FF4E93" w:rsidRDefault="00151DC1" w:rsidP="00151DC1">
      <w:pPr>
        <w:spacing w:after="0"/>
        <w:rPr>
          <w:rFonts w:eastAsia="Times New Roman"/>
          <w:sz w:val="26"/>
        </w:rPr>
      </w:pPr>
      <w:r w:rsidRPr="00FF4E93">
        <w:rPr>
          <w:rFonts w:eastAsia="Times New Roman"/>
          <w:sz w:val="26"/>
        </w:rPr>
        <w:t>The definitions have important properties and implications. First, a configuration is implemented as one variant relating to a specific foundation. Although configurations are technology-independent, we noticed that the individual variants often relate closely to specific technology domains. Second, each variant comprises three business model patterns (two elementary patterns and one add-on pattern). Third, any other patterns a firm combines with the three patterns are not part of the configuration and therefore ignored. Since the average number of assigned pattern per venture is 4.10, any variant represents on average 73% of a corresponding business model. Fourth, ventures can have multiple configuration and variant memberships.</w:t>
      </w:r>
    </w:p>
    <w:p w14:paraId="0555F69C" w14:textId="77777777" w:rsidR="00151DC1" w:rsidRPr="00FF4E93" w:rsidRDefault="00151DC1" w:rsidP="00151DC1">
      <w:pPr>
        <w:keepNext/>
        <w:spacing w:after="0"/>
        <w:ind w:left="720" w:hanging="720"/>
        <w:outlineLvl w:val="2"/>
        <w:rPr>
          <w:rFonts w:eastAsia="Times New Roman"/>
          <w:bCs/>
          <w:i/>
          <w:sz w:val="26"/>
          <w:szCs w:val="26"/>
          <w:lang w:eastAsia="de-AT"/>
        </w:rPr>
      </w:pPr>
      <w:r w:rsidRPr="00FF4E93">
        <w:rPr>
          <w:rFonts w:eastAsia="Times New Roman"/>
          <w:bCs/>
          <w:i/>
          <w:sz w:val="26"/>
          <w:szCs w:val="26"/>
          <w:lang w:eastAsia="de-AT"/>
        </w:rPr>
        <w:lastRenderedPageBreak/>
        <w:t>Comparative Multiple Case Study</w:t>
      </w:r>
    </w:p>
    <w:p w14:paraId="4DE26029" w14:textId="77777777" w:rsidR="00151DC1" w:rsidRPr="00FF4E93" w:rsidRDefault="00151DC1" w:rsidP="00151DC1">
      <w:pPr>
        <w:spacing w:after="0"/>
        <w:rPr>
          <w:rFonts w:eastAsia="Times New Roman"/>
          <w:sz w:val="26"/>
        </w:rPr>
      </w:pPr>
      <w:r w:rsidRPr="00FF4E93">
        <w:rPr>
          <w:rFonts w:eastAsia="Times New Roman"/>
          <w:sz w:val="26"/>
        </w:rPr>
        <w:t xml:space="preserve">In order to characterize the identified configurations, we complemented our quantitative analysis with insights from qualitative data to gain a deeper understanding of the causal relationships that create fitness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{"citationItems":[{"id":"ITEM-1","itemData":{"author":[{"dropping-particle":"","family":"Miller","given":"Danny","non-dropping-particle":"","parse-names":false,"suffix":""}],"container-title":"Strategic Organization","id":"ITEM-1","issued":{"date-parts":[["2017"]]},"page":"1-17","title":"Challenging trends in configuration research: Where are the configurations?","type":"article-journal"},"uris":["http://www.mendeley.com/documents/?uuid=e7f74dee-8010-49fc-a730-30371a3fd712"]}],"mendeley":{"formattedCitation":"(Danny Miller, 2017)","manualFormatting":"(Miller, 2017)","plainTextFormattedCitation":"(Danny Miller, 2017)","previouslyFormattedCitation":"(Danny Miller, 2017)"},"properties":{"noteIndex":0},"schema":"https://github.com/citation-style-language/schema/raw/master/csl-citation.json"}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(Miller, 2017)</w:t>
      </w:r>
      <w:r w:rsidRPr="00FF4E93">
        <w:rPr>
          <w:rFonts w:eastAsia="Times New Roman"/>
          <w:sz w:val="26"/>
        </w:rPr>
        <w:fldChar w:fldCharType="end"/>
      </w:r>
      <w:r w:rsidRPr="00FF4E93">
        <w:rPr>
          <w:rFonts w:eastAsia="Times New Roman"/>
          <w:sz w:val="26"/>
        </w:rPr>
        <w:t xml:space="preserve">. </w:t>
      </w:r>
    </w:p>
    <w:p w14:paraId="008FD5E8" w14:textId="77777777" w:rsidR="00151DC1" w:rsidRPr="00FF4E93" w:rsidRDefault="00151DC1" w:rsidP="00151DC1">
      <w:pPr>
        <w:spacing w:after="0"/>
        <w:rPr>
          <w:rFonts w:eastAsia="Times New Roman"/>
          <w:sz w:val="26"/>
        </w:rPr>
      </w:pPr>
      <w:r w:rsidRPr="00FF4E93">
        <w:rPr>
          <w:rFonts w:eastAsia="Times New Roman"/>
          <w:sz w:val="26"/>
        </w:rPr>
        <w:t xml:space="preserve">We intended to understand the nature of </w:t>
      </w:r>
      <w:r w:rsidRPr="00FF4E93">
        <w:rPr>
          <w:rFonts w:eastAsia="Times New Roman"/>
          <w:i/>
          <w:sz w:val="26"/>
        </w:rPr>
        <w:t>fitness</w:t>
      </w:r>
      <w:r w:rsidRPr="00FF4E93">
        <w:rPr>
          <w:rFonts w:eastAsia="Times New Roman"/>
          <w:sz w:val="26"/>
        </w:rPr>
        <w:t xml:space="preserve"> in these configurations by analysing </w:t>
      </w:r>
      <w:r w:rsidRPr="00FF4E93">
        <w:rPr>
          <w:rFonts w:eastAsia="Times New Roman"/>
          <w:i/>
          <w:sz w:val="26"/>
        </w:rPr>
        <w:t>how</w:t>
      </w:r>
      <w:r w:rsidRPr="00FF4E93">
        <w:rPr>
          <w:rFonts w:eastAsia="Times New Roman"/>
          <w:sz w:val="26"/>
        </w:rPr>
        <w:t xml:space="preserve"> the ventures collectively applied their respective combination of patterns. Therefore, we restructured our dataset to match the ventures and the corresponding configurations. In line with insight from research on categorization we assigned multi-variant, multi-configuration memberships</w:t>
      </w:r>
      <w:r w:rsidRPr="00FF4E93">
        <w:rPr>
          <w:rFonts w:eastAsia="Times New Roman"/>
          <w:sz w:val="26"/>
          <w:vertAlign w:val="superscript"/>
        </w:rPr>
        <w:footnoteReference w:id="6"/>
      </w:r>
      <w:r w:rsidRPr="00FF4E93">
        <w:rPr>
          <w:rFonts w:eastAsia="Times New Roman"/>
          <w:sz w:val="26"/>
        </w:rPr>
        <w:t xml:space="preserve"> to some of the ventures </w:t>
      </w:r>
      <w:r w:rsidRPr="00FF4E93">
        <w:rPr>
          <w:rFonts w:eastAsia="Times New Roman"/>
          <w:sz w:val="26"/>
        </w:rPr>
        <w:fldChar w:fldCharType="begin" w:fldLock="1"/>
      </w:r>
      <w:r w:rsidRPr="00FF4E93">
        <w:rPr>
          <w:rFonts w:eastAsia="Times New Roman"/>
          <w:sz w:val="26"/>
        </w:rPr>
        <w:instrText>ADDIN CSL_CITATION {"citationItems":[{"id":"ITEM-1","itemData":{"abstract":"categories; multiple category discount; principle of allocation; confusion","author":[{"dropping-particle":"","family":"Negro","given":"Giacomo","non-dropping-particle":"","parse-names":false,"suffix":""},{"dropping-particle":"","family":"Leung","given":"Ming D.","non-dropping-particle":"","parse-names":false,"suffix":""}],"container-title":"Organization Science","id":"ITEM-1","issue":"3","issued":{"date-parts":[["2013"]]},"page":"684-696","title":"“Actual” and Perceptual Effects of Category Spanning","type":"article-journal","volume":"24"},"uris":["http://www.mendeley.com/documents/?uuid=f0e5082a-f10b-4ef5-ba5c-6872e300312e"]},{"id":"ITEM-2","itemData":{"author":[{"dropping-particle":"","family":"Paolella","given":"Lionel","non-dropping-particle":"","parse-names":false,"suffix":""},{"dropping-particle":"","family":"Durand","given":"Rodolphe","non-dropping-particle":"","parse-names":false,"suffix":""}],"container-title":"Academy of Management Journal","id":"ITEM-2","issue":"1","issued":{"date-parts":[["2016"]]},"page":"330-351","title":"Category Spanning, Evaluation, and Performance: Revised Theory and Test on the Corporate Law Market","type":"article-journal","volume":"59"},"uris":["http://www.mendeley.com/documents/?uuid=392d4a50-fb6b-4319-be52-d6b728bbae91"]}],"mendeley":{"formattedCitation":"(Negro &amp; Leung, 2013; Paolella &amp; Durand, 2016)","plainTextFormattedCitation":"(Negro &amp; Leung, 2013; Paolella &amp; Durand, 2016)","previouslyFormattedCitation":"(Negro &amp; Leung, 2013; Paolella &amp; Durand, 2016)"},"properties":{"noteIndex":0},"schema":"https://github.com/citation-style-language/schema/raw/master/csl-citation.json"}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(Negro &amp; Leung, 2013; Paolella &amp; Durand, 2016)</w:t>
      </w:r>
      <w:r w:rsidRPr="00FF4E93">
        <w:rPr>
          <w:rFonts w:eastAsia="Times New Roman"/>
          <w:sz w:val="26"/>
        </w:rPr>
        <w:fldChar w:fldCharType="end"/>
      </w:r>
      <w:r w:rsidRPr="00FF4E93">
        <w:rPr>
          <w:rFonts w:eastAsia="Times New Roman"/>
          <w:sz w:val="26"/>
        </w:rPr>
        <w:t xml:space="preserve">. For instance, </w:t>
      </w:r>
      <w:r w:rsidRPr="00FF4E93">
        <w:rPr>
          <w:rFonts w:eastAsia="Times New Roman"/>
          <w:i/>
          <w:sz w:val="26"/>
        </w:rPr>
        <w:t>Voyager Labs,</w:t>
      </w:r>
      <w:r w:rsidRPr="00FF4E93">
        <w:rPr>
          <w:rFonts w:eastAsia="Times New Roman"/>
          <w:sz w:val="26"/>
        </w:rPr>
        <w:t xml:space="preserve"> an Israel-based AI company, possesses membership in configuration 1 which is based on the foundation </w:t>
      </w:r>
      <w:r w:rsidRPr="00FF4E93">
        <w:rPr>
          <w:rFonts w:eastAsia="Times New Roman"/>
          <w:i/>
          <w:sz w:val="26"/>
        </w:rPr>
        <w:t xml:space="preserve">{Layer Player, Solution Provider}. </w:t>
      </w:r>
      <w:r w:rsidRPr="00FF4E93">
        <w:rPr>
          <w:rFonts w:eastAsia="Times New Roman"/>
          <w:sz w:val="26"/>
        </w:rPr>
        <w:t xml:space="preserve">Its business model further relies on the </w:t>
      </w:r>
      <w:r w:rsidRPr="00FF4E93">
        <w:rPr>
          <w:rFonts w:eastAsia="Times New Roman"/>
          <w:i/>
          <w:sz w:val="26"/>
        </w:rPr>
        <w:t>Subscription</w:t>
      </w:r>
      <w:r w:rsidRPr="00FF4E93">
        <w:rPr>
          <w:rFonts w:eastAsia="Times New Roman"/>
          <w:sz w:val="26"/>
        </w:rPr>
        <w:t xml:space="preserve"> and </w:t>
      </w:r>
      <w:r w:rsidRPr="00FF4E93">
        <w:rPr>
          <w:rFonts w:eastAsia="Times New Roman"/>
          <w:i/>
          <w:sz w:val="26"/>
        </w:rPr>
        <w:t>Self-Service</w:t>
      </w:r>
      <w:r w:rsidRPr="00FF4E93">
        <w:rPr>
          <w:rFonts w:eastAsia="Times New Roman"/>
          <w:sz w:val="26"/>
        </w:rPr>
        <w:t xml:space="preserve"> patterns, each of which define distinct variants of the configuration. </w:t>
      </w:r>
    </w:p>
    <w:p w14:paraId="290DCF3E" w14:textId="77777777" w:rsidR="00151DC1" w:rsidRPr="00FF4E93" w:rsidRDefault="00151DC1" w:rsidP="00151DC1">
      <w:pPr>
        <w:spacing w:after="0"/>
        <w:rPr>
          <w:rFonts w:eastAsia="Times New Roman"/>
          <w:sz w:val="26"/>
        </w:rPr>
      </w:pPr>
      <w:r w:rsidRPr="00FF4E93">
        <w:rPr>
          <w:rFonts w:eastAsia="Times New Roman"/>
          <w:sz w:val="26"/>
        </w:rPr>
        <w:t xml:space="preserve">Subsequently, we reduced the dataset to include only those patterns relevant for the assigned configuration(s) of the ventures. Finally, for the main analysis step, we relied on </w:t>
      </w:r>
      <w:r w:rsidRPr="00FF4E93">
        <w:rPr>
          <w:rFonts w:eastAsia="Times New Roman"/>
          <w:i/>
          <w:iCs/>
          <w:sz w:val="26"/>
        </w:rPr>
        <w:t>open</w:t>
      </w:r>
      <w:r w:rsidRPr="00FF4E93">
        <w:rPr>
          <w:rFonts w:eastAsia="Times New Roman"/>
          <w:sz w:val="26"/>
        </w:rPr>
        <w:t xml:space="preserve"> and </w:t>
      </w:r>
      <w:r w:rsidRPr="00FF4E93">
        <w:rPr>
          <w:rFonts w:eastAsia="Times New Roman"/>
          <w:i/>
          <w:iCs/>
          <w:sz w:val="26"/>
        </w:rPr>
        <w:t>axial</w:t>
      </w:r>
      <w:r w:rsidRPr="00FF4E93">
        <w:rPr>
          <w:rFonts w:eastAsia="Times New Roman"/>
          <w:sz w:val="26"/>
        </w:rPr>
        <w:t xml:space="preserve"> </w:t>
      </w:r>
      <w:r w:rsidRPr="00FF4E93">
        <w:rPr>
          <w:rFonts w:eastAsia="Times New Roman"/>
          <w:i/>
          <w:iCs/>
          <w:sz w:val="26"/>
        </w:rPr>
        <w:t>coding</w:t>
      </w:r>
      <w:r w:rsidRPr="00FF4E93">
        <w:rPr>
          <w:rFonts w:eastAsia="Times New Roman"/>
          <w:sz w:val="26"/>
        </w:rPr>
        <w:t xml:space="preserve"> of the qualitative data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{"citationItems":[{"id":"ITEM-1","itemData":{"author":[{"dropping-particle":"","family":"Jick","given":"Todd D","non-dropping-particle":"","parse-names":false,"suffix":""}],"container-title":"Administrative Science Quarterly","id":"ITEM-1","issue":"4","issued":{"date-parts":[["1979"]]},"page":"602-611","title":"Mixing Qualitative and Quantitative Methods: Triangulation in Action","type":"article-journal","volume":"24"},"uris":["http://www.mendeley.com/documents/?uuid=f72dd62e-6a3e-4c0b-be59-8406a8412de6"]},{"id":"ITEM-2","itemData":{"abstract":"For all its richness and potential for discovery, qualitative research has been critiqued as too often lacking in scholarly rigor. The authors summarize a systematic approach to new concept develop- ment and grounded theory articulation that is designed to bring qualitative rigor to the conduct and presentation of inductive research.","author":[{"dropping-particle":"","family":"Gioia","given":"Dennis a.","non-dropping-particle":"","parse-names":false,"suffix":""},{"dropping-particle":"","family":"Corley","given":"Kevin G.","non-dropping-particle":"","parse-names":false,"suffix":""},{"dropping-particle":"","family":"Hamilton","given":"A. L.","non-dropping-particle":"","parse-names":false,"suffix":""}],"container-title":"Organizational Research Methods","id":"ITEM-2","issue":"1","issued":{"date-parts":[["2012"]]},"page":"15-31","title":"Seeking Qualitative Rigor in Inductive Research: Notes on the Gioia Methodology","type":"article-journal","volume":"16"},"uris":["http://www.mendeley.com/documents/?uuid=fa05805a-ed6e-4f1d-a574-ffd9186e7e2f"]},{"id":"ITEM-3","itemData":{"abstract":"The Third Edition of the bestselling Basics of Qualitative Research:Techniques and Procedures for Developing Grounded Theory continues to offer immensely practical advice and technical expertise to aid researchers in making sense of their collected data. Authors Juliet Corbin and the late Anselm Strauss (co-creator of Grounded Theory) present methods that enable researchers to analyze and interpret their data, and ultimately build theory from it. Highly accessible in their approach, Corbin and Strauss provide a step-by-step guide to the research act-from the formation of the research question through several approaches to coding and analysis, to reporting on the research. Full of definitions and illustrative examples, this book concludes with chapters that present criteria for evaluating a study, as well as responses to common questions posed by students of qualitative research. Significantly revised, Basics of Qualitative Research remains a landmark volume in the study of qualitative methods. Key Features of the Third Edition: Allows for students to develop their critical thinking skills in the \"Critical Issues\" section at the end of each chapter. Shows the actual steps involved in data analysis (from description to grounded theory) and data gathering by means of theoretical sampling. Provides exercises for thinking, writing and group discussion that reinforces material presented in the text. Consists of a student companion Web site at that includes real data and practice with qualitative software such as MAXQDA, as well as student practice exercises.","author":[{"dropping-particle":"","family":"Strauss","given":"Anselm","non-dropping-particle":"","parse-names":false,"suffix":""},{"dropping-particle":"","family":"Corbin","given":"Juliet","non-dropping-particle":"","parse-names":false,"suffix":""}],"container-title":"Basics of Qualitative Research Grounded Theory Procedures and Techniques","edition":"3rd","id":"ITEM-3","issued":{"date-parts":[["2008"]]},"publisher":"Sage Publications","publisher-place":"Thousand Oaks, CA","title":"Basics of Qualitative Research: Techniques and Procedures for Developing Grounded Theory","type":"book"},"uris":["http://www.mendeley.com/documents/?uuid=0e9bf114-d1e3-44a0-91f7-26b47dbf4c13"]}],"mendeley":{"formattedCitation":"(Gioia, Corley, &amp; Hamilton, 2012; Jick, 1979; Strauss &amp; Corbin, 2008)","plainTextFormattedCitation":"(Gioia, Corley, &amp; Hamilton, 2012; Jick, 1979; Strauss &amp; Corbin, 2008)","previouslyFormattedCitation":"(Gioia, Corley, &amp; Hamilton, 2012; Jick, 1979; Strauss &amp; Corbin, 2008)"},"properties":{"noteIndex":0},"schema":"https://github.com/citation-style-language/schema/raw/master/csl-citation.json"}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(Gioia, Corley, &amp; Hamilton, 2012; Jick, 1979; Strauss &amp; Corbin, 2008)</w:t>
      </w:r>
      <w:r w:rsidRPr="00FF4E93">
        <w:rPr>
          <w:rFonts w:eastAsia="Times New Roman"/>
          <w:sz w:val="26"/>
        </w:rPr>
        <w:fldChar w:fldCharType="end"/>
      </w:r>
      <w:r w:rsidRPr="00FF4E93">
        <w:rPr>
          <w:rFonts w:eastAsia="Times New Roman"/>
          <w:sz w:val="26"/>
        </w:rPr>
        <w:t>. We limited our coding process to those variants that appeared relevant in each domain.</w:t>
      </w:r>
    </w:p>
    <w:p w14:paraId="11D44C94" w14:textId="277365DC" w:rsidR="00151DC1" w:rsidRPr="00FF4E93" w:rsidRDefault="00151DC1" w:rsidP="00151DC1">
      <w:pPr>
        <w:spacing w:after="0"/>
        <w:rPr>
          <w:rFonts w:eastAsia="Times New Roman"/>
          <w:i/>
          <w:sz w:val="26"/>
          <w:szCs w:val="26"/>
        </w:rPr>
      </w:pPr>
      <w:r w:rsidRPr="00FF4E93">
        <w:rPr>
          <w:rFonts w:eastAsia="Times New Roman"/>
          <w:sz w:val="26"/>
        </w:rPr>
        <w:t xml:space="preserve">Our coding process comprised four steps: First, we openly coded all textual data separated by pattern, technology domain, and configuration. In total, this initial step led to the identification of 3,983 first order concepts (ARVR: 1,150; DRON: 1,131; AIML: 1,702). Second, we performed axial coding within each variant separated by pattern and technology domain to derive second order themes. This step provided us with a variant-specific understanding of the pattern implementations. Third, we grouped the second order themes of the respective foundations together and relied on axial coding to study their interplay. Thereby, we developed small, initial concepts about high performing configurations. Fourth, in order to understand the interplay of patterns in each variant, we performed one additional axial coding between the coding themes relating to the foundations and add-ons. This final step, then provided the foundation of our emerging theory. </w:t>
      </w:r>
      <w:r w:rsidRPr="00FF4E93">
        <w:rPr>
          <w:rFonts w:eastAsia="Times New Roman"/>
          <w:i/>
          <w:sz w:val="26"/>
          <w:szCs w:val="26"/>
        </w:rPr>
        <w:fldChar w:fldCharType="begin"/>
      </w:r>
      <w:r w:rsidRPr="00FF4E93">
        <w:rPr>
          <w:rFonts w:eastAsia="Times New Roman"/>
          <w:i/>
          <w:sz w:val="26"/>
          <w:szCs w:val="26"/>
        </w:rPr>
        <w:instrText xml:space="preserve"> REF _Ref532286332 \h  \* MERGEFORMAT </w:instrText>
      </w:r>
      <w:r w:rsidRPr="00FF4E93">
        <w:rPr>
          <w:rFonts w:eastAsia="Times New Roman"/>
          <w:i/>
          <w:sz w:val="26"/>
          <w:szCs w:val="26"/>
        </w:rPr>
      </w:r>
      <w:r w:rsidRPr="00FF4E93">
        <w:rPr>
          <w:rFonts w:eastAsia="Times New Roman"/>
          <w:i/>
          <w:sz w:val="26"/>
          <w:szCs w:val="26"/>
        </w:rPr>
        <w:fldChar w:fldCharType="separate"/>
      </w:r>
      <w:r w:rsidR="00D231CD" w:rsidRPr="00FF4E93">
        <w:rPr>
          <w:rFonts w:eastAsia="Times New Roman"/>
          <w:i/>
          <w:sz w:val="26"/>
          <w:szCs w:val="26"/>
        </w:rPr>
        <w:t>Figure 3</w:t>
      </w:r>
      <w:r w:rsidR="00D231CD" w:rsidRPr="00FF4E93">
        <w:rPr>
          <w:rFonts w:eastAsia="Times New Roman"/>
          <w:i/>
          <w:sz w:val="26"/>
          <w:szCs w:val="26"/>
        </w:rPr>
        <w:noBreakHyphen/>
        <w:t>1</w:t>
      </w:r>
      <w:r w:rsidRPr="00FF4E93">
        <w:rPr>
          <w:rFonts w:eastAsia="Times New Roman"/>
          <w:i/>
          <w:sz w:val="26"/>
          <w:szCs w:val="26"/>
        </w:rPr>
        <w:fldChar w:fldCharType="end"/>
      </w:r>
      <w:r w:rsidRPr="00FF4E93">
        <w:rPr>
          <w:rFonts w:eastAsia="Times New Roman"/>
          <w:i/>
          <w:sz w:val="26"/>
          <w:szCs w:val="26"/>
        </w:rPr>
        <w:t xml:space="preserve"> </w:t>
      </w:r>
      <w:r w:rsidRPr="00FF4E93">
        <w:rPr>
          <w:rFonts w:eastAsia="Times New Roman"/>
          <w:sz w:val="26"/>
          <w:szCs w:val="26"/>
        </w:rPr>
        <w:t>and</w:t>
      </w:r>
      <w:r w:rsidRPr="00FF4E93">
        <w:rPr>
          <w:rFonts w:eastAsia="Times New Roman"/>
          <w:i/>
          <w:sz w:val="26"/>
          <w:szCs w:val="26"/>
        </w:rPr>
        <w:t xml:space="preserve"> </w:t>
      </w:r>
      <w:r w:rsidRPr="00FF4E93">
        <w:rPr>
          <w:rFonts w:eastAsia="Times New Roman"/>
          <w:i/>
          <w:sz w:val="26"/>
          <w:szCs w:val="26"/>
        </w:rPr>
        <w:fldChar w:fldCharType="begin"/>
      </w:r>
      <w:r w:rsidRPr="00FF4E93">
        <w:rPr>
          <w:rFonts w:eastAsia="Times New Roman"/>
          <w:i/>
          <w:sz w:val="26"/>
          <w:szCs w:val="26"/>
        </w:rPr>
        <w:instrText xml:space="preserve"> REF _Ref532286335 \h  \* MERGEFORMAT </w:instrText>
      </w:r>
      <w:r w:rsidRPr="00FF4E93">
        <w:rPr>
          <w:rFonts w:eastAsia="Times New Roman"/>
          <w:i/>
          <w:sz w:val="26"/>
          <w:szCs w:val="26"/>
        </w:rPr>
      </w:r>
      <w:r w:rsidRPr="00FF4E93">
        <w:rPr>
          <w:rFonts w:eastAsia="Times New Roman"/>
          <w:i/>
          <w:sz w:val="26"/>
          <w:szCs w:val="26"/>
        </w:rPr>
        <w:fldChar w:fldCharType="separate"/>
      </w:r>
      <w:r w:rsidR="00D231CD" w:rsidRPr="00FF4E93">
        <w:rPr>
          <w:rFonts w:eastAsia="Times New Roman"/>
          <w:i/>
          <w:sz w:val="26"/>
          <w:szCs w:val="26"/>
        </w:rPr>
        <w:t>Figure 3</w:t>
      </w:r>
      <w:r w:rsidR="00D231CD" w:rsidRPr="00FF4E93">
        <w:rPr>
          <w:rFonts w:eastAsia="Times New Roman"/>
          <w:i/>
          <w:sz w:val="26"/>
          <w:szCs w:val="26"/>
        </w:rPr>
        <w:noBreakHyphen/>
        <w:t>2</w:t>
      </w:r>
      <w:r w:rsidRPr="00FF4E93">
        <w:rPr>
          <w:rFonts w:eastAsia="Times New Roman"/>
          <w:i/>
          <w:sz w:val="26"/>
          <w:szCs w:val="26"/>
        </w:rPr>
        <w:fldChar w:fldCharType="end"/>
      </w:r>
      <w:r w:rsidRPr="00FF4E93">
        <w:rPr>
          <w:rFonts w:eastAsia="Times New Roman"/>
          <w:i/>
          <w:sz w:val="26"/>
          <w:szCs w:val="26"/>
        </w:rPr>
        <w:t xml:space="preserve"> </w:t>
      </w:r>
      <w:r w:rsidRPr="00FF4E93">
        <w:rPr>
          <w:rFonts w:eastAsia="Times New Roman"/>
          <w:sz w:val="26"/>
        </w:rPr>
        <w:t>visualize this procedure</w:t>
      </w:r>
    </w:p>
    <w:p w14:paraId="188A7A96" w14:textId="77777777" w:rsidR="00151DC1" w:rsidRPr="00FF4E93" w:rsidRDefault="00151DC1" w:rsidP="00151DC1">
      <w:pPr>
        <w:spacing w:after="0"/>
        <w:rPr>
          <w:rFonts w:eastAsia="Times New Roman"/>
          <w:sz w:val="26"/>
          <w:lang w:eastAsia="de-AT"/>
        </w:rPr>
        <w:sectPr w:rsidR="00151DC1" w:rsidRPr="00FF4E93" w:rsidSect="00C54569">
          <w:headerReference w:type="default" r:id="rId12"/>
          <w:headerReference w:type="first" r:id="rId13"/>
          <w:pgSz w:w="11906" w:h="16838"/>
          <w:pgMar w:top="1417" w:right="1417" w:bottom="1134" w:left="1417" w:header="708" w:footer="708" w:gutter="0"/>
          <w:cols w:space="708"/>
          <w:docGrid w:linePitch="360"/>
        </w:sectPr>
      </w:pPr>
    </w:p>
    <w:p w14:paraId="138D79CA" w14:textId="77777777" w:rsidR="00151DC1" w:rsidRPr="00FF4E93" w:rsidRDefault="00151DC1" w:rsidP="00151DC1">
      <w:pPr>
        <w:spacing w:after="0"/>
        <w:rPr>
          <w:rFonts w:eastAsia="Times New Roman"/>
          <w:sz w:val="26"/>
          <w:lang w:eastAsia="de-AT"/>
        </w:rPr>
      </w:pPr>
      <w:r w:rsidRPr="00FF4E93">
        <w:rPr>
          <w:rFonts w:eastAsia="Times New Roman"/>
          <w:noProof/>
          <w:sz w:val="26"/>
        </w:rPr>
        <w:lastRenderedPageBreak/>
        <w:drawing>
          <wp:inline distT="0" distB="0" distL="0" distR="0" wp14:anchorId="4FA54E7F" wp14:editId="13C134AF">
            <wp:extent cx="7174529" cy="5310632"/>
            <wp:effectExtent l="0" t="0" r="0" b="0"/>
            <wp:docPr id="5" name="Picture 5" descr="Tables:Figures/step1%20coding.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es:Figures/step1%20coding.pd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034"/>
                    <a:stretch/>
                  </pic:blipFill>
                  <pic:spPr bwMode="auto">
                    <a:xfrm>
                      <a:off x="0" y="0"/>
                      <a:ext cx="7205727" cy="5333725"/>
                    </a:xfrm>
                    <a:prstGeom prst="rect">
                      <a:avLst/>
                    </a:prstGeom>
                    <a:noFill/>
                    <a:ln>
                      <a:noFill/>
                    </a:ln>
                    <a:extLst>
                      <a:ext uri="{53640926-AAD7-44D8-BBD7-CCE9431645EC}">
                        <a14:shadowObscured xmlns:a14="http://schemas.microsoft.com/office/drawing/2010/main"/>
                      </a:ext>
                    </a:extLst>
                  </pic:spPr>
                </pic:pic>
              </a:graphicData>
            </a:graphic>
          </wp:inline>
        </w:drawing>
      </w:r>
    </w:p>
    <w:p w14:paraId="3585F970" w14:textId="3F179D79" w:rsidR="00151DC1" w:rsidRPr="00FF4E93" w:rsidRDefault="00151DC1" w:rsidP="00151DC1">
      <w:pPr>
        <w:spacing w:after="0"/>
        <w:rPr>
          <w:rFonts w:eastAsia="Times New Roman"/>
        </w:rPr>
      </w:pPr>
      <w:bookmarkStart w:id="9" w:name="_Ref532286332"/>
      <w:bookmarkStart w:id="10" w:name="_Toc536101315"/>
      <w:r w:rsidRPr="00FF4E93">
        <w:rPr>
          <w:rFonts w:eastAsia="Times New Roman"/>
          <w:b/>
        </w:rPr>
        <w:t xml:space="preserve">Figure </w:t>
      </w:r>
      <w:r w:rsidRPr="00FF4E93">
        <w:rPr>
          <w:rFonts w:eastAsia="Times New Roman"/>
          <w:b/>
        </w:rPr>
        <w:fldChar w:fldCharType="begin"/>
      </w:r>
      <w:r w:rsidRPr="00FF4E93">
        <w:rPr>
          <w:rFonts w:eastAsia="Times New Roman"/>
          <w:b/>
        </w:rPr>
        <w:instrText xml:space="preserve"> STYLEREF 1 \s </w:instrText>
      </w:r>
      <w:r w:rsidRPr="00FF4E93">
        <w:rPr>
          <w:rFonts w:eastAsia="Times New Roman"/>
          <w:b/>
        </w:rPr>
        <w:fldChar w:fldCharType="separate"/>
      </w:r>
      <w:r w:rsidR="00D231CD" w:rsidRPr="00FF4E93">
        <w:rPr>
          <w:rFonts w:eastAsia="Times New Roman"/>
          <w:b/>
          <w:noProof/>
        </w:rPr>
        <w:t>3</w:t>
      </w:r>
      <w:r w:rsidRPr="00FF4E93">
        <w:rPr>
          <w:rFonts w:eastAsia="Times New Roman"/>
          <w:b/>
        </w:rPr>
        <w:fldChar w:fldCharType="end"/>
      </w:r>
      <w:r w:rsidRPr="00FF4E93">
        <w:rPr>
          <w:rFonts w:eastAsia="Times New Roman"/>
          <w:b/>
        </w:rPr>
        <w:noBreakHyphen/>
      </w:r>
      <w:r w:rsidRPr="00FF4E93">
        <w:rPr>
          <w:rFonts w:eastAsia="Times New Roman"/>
          <w:b/>
        </w:rPr>
        <w:fldChar w:fldCharType="begin"/>
      </w:r>
      <w:r w:rsidRPr="00FF4E93">
        <w:rPr>
          <w:rFonts w:eastAsia="Times New Roman"/>
          <w:b/>
        </w:rPr>
        <w:instrText xml:space="preserve"> SEQ Figure \* ARABIC \s 1 </w:instrText>
      </w:r>
      <w:r w:rsidRPr="00FF4E93">
        <w:rPr>
          <w:rFonts w:eastAsia="Times New Roman"/>
          <w:b/>
        </w:rPr>
        <w:fldChar w:fldCharType="separate"/>
      </w:r>
      <w:r w:rsidR="00D231CD" w:rsidRPr="00FF4E93">
        <w:rPr>
          <w:rFonts w:eastAsia="Times New Roman"/>
          <w:b/>
          <w:noProof/>
        </w:rPr>
        <w:t>1</w:t>
      </w:r>
      <w:r w:rsidRPr="00FF4E93">
        <w:rPr>
          <w:rFonts w:eastAsia="Times New Roman"/>
          <w:b/>
        </w:rPr>
        <w:fldChar w:fldCharType="end"/>
      </w:r>
      <w:bookmarkEnd w:id="9"/>
      <w:r w:rsidRPr="00FF4E93">
        <w:rPr>
          <w:rFonts w:eastAsia="Times New Roman"/>
          <w:b/>
        </w:rPr>
        <w:t xml:space="preserve">: </w:t>
      </w:r>
      <w:r w:rsidRPr="00FF4E93">
        <w:rPr>
          <w:rFonts w:eastAsia="Times New Roman"/>
        </w:rPr>
        <w:t>Exemplary coding excerpt – in-vivo codes and first order concepts</w:t>
      </w:r>
      <w:bookmarkEnd w:id="10"/>
    </w:p>
    <w:p w14:paraId="6FBEFE9C" w14:textId="77777777" w:rsidR="00151DC1" w:rsidRPr="00FF4E93" w:rsidRDefault="00151DC1" w:rsidP="00151DC1">
      <w:pPr>
        <w:spacing w:before="0" w:after="0" w:line="240" w:lineRule="auto"/>
        <w:jc w:val="left"/>
        <w:rPr>
          <w:rFonts w:eastAsia="Times New Roman"/>
        </w:rPr>
      </w:pPr>
      <w:r w:rsidRPr="00FF4E93">
        <w:rPr>
          <w:rFonts w:eastAsia="Times New Roman"/>
          <w:iCs/>
          <w:noProof/>
          <w:color w:val="000000"/>
          <w:sz w:val="20"/>
          <w:szCs w:val="18"/>
        </w:rPr>
        <w:lastRenderedPageBreak/>
        <w:drawing>
          <wp:inline distT="0" distB="0" distL="0" distR="0" wp14:anchorId="760EC92E" wp14:editId="3048DEFA">
            <wp:extent cx="7528236" cy="5386997"/>
            <wp:effectExtent l="0" t="0" r="0" b="0"/>
            <wp:docPr id="9" name="Picture 9" descr="Tables:Figures/step23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bles:Figures/step234.pdf"/>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287" b="12930"/>
                    <a:stretch/>
                  </pic:blipFill>
                  <pic:spPr bwMode="auto">
                    <a:xfrm>
                      <a:off x="0" y="0"/>
                      <a:ext cx="7553018" cy="5404730"/>
                    </a:xfrm>
                    <a:prstGeom prst="rect">
                      <a:avLst/>
                    </a:prstGeom>
                    <a:noFill/>
                    <a:ln>
                      <a:noFill/>
                    </a:ln>
                    <a:extLst>
                      <a:ext uri="{53640926-AAD7-44D8-BBD7-CCE9431645EC}">
                        <a14:shadowObscured xmlns:a14="http://schemas.microsoft.com/office/drawing/2010/main"/>
                      </a:ext>
                    </a:extLst>
                  </pic:spPr>
                </pic:pic>
              </a:graphicData>
            </a:graphic>
          </wp:inline>
        </w:drawing>
      </w:r>
    </w:p>
    <w:p w14:paraId="0D3AA2C2" w14:textId="4628CD40" w:rsidR="00151DC1" w:rsidRPr="00FF4E93" w:rsidRDefault="00151DC1" w:rsidP="00151DC1">
      <w:pPr>
        <w:spacing w:before="240" w:after="240"/>
        <w:ind w:right="521"/>
        <w:rPr>
          <w:rFonts w:eastAsia="Calibri"/>
          <w:iCs/>
          <w:color w:val="000000"/>
          <w:szCs w:val="18"/>
        </w:rPr>
        <w:sectPr w:rsidR="00151DC1" w:rsidRPr="00FF4E93" w:rsidSect="00C54569">
          <w:headerReference w:type="default" r:id="rId16"/>
          <w:pgSz w:w="16838" w:h="11906" w:orient="landscape"/>
          <w:pgMar w:top="1417" w:right="1417" w:bottom="1417" w:left="1134" w:header="708" w:footer="708" w:gutter="0"/>
          <w:cols w:space="708"/>
          <w:docGrid w:linePitch="360"/>
        </w:sectPr>
      </w:pPr>
      <w:bookmarkStart w:id="11" w:name="_Ref532286335"/>
      <w:bookmarkStart w:id="12" w:name="_Toc536101316"/>
      <w:r w:rsidRPr="00FF4E93">
        <w:rPr>
          <w:rFonts w:eastAsia="Calibri"/>
          <w:b/>
          <w:iCs/>
          <w:color w:val="000000"/>
          <w:szCs w:val="18"/>
          <w:lang w:eastAsia="de-DE"/>
        </w:rPr>
        <w:t xml:space="preserve">Figure </w:t>
      </w:r>
      <w:r w:rsidRPr="00FF4E93">
        <w:rPr>
          <w:rFonts w:eastAsia="Calibri"/>
          <w:b/>
          <w:iCs/>
          <w:color w:val="000000"/>
          <w:szCs w:val="18"/>
          <w:lang w:eastAsia="de-DE"/>
        </w:rPr>
        <w:fldChar w:fldCharType="begin"/>
      </w:r>
      <w:r w:rsidRPr="00FF4E93">
        <w:rPr>
          <w:rFonts w:eastAsia="Calibri"/>
          <w:b/>
          <w:iCs/>
          <w:color w:val="000000"/>
          <w:szCs w:val="18"/>
          <w:lang w:eastAsia="de-DE"/>
        </w:rPr>
        <w:instrText xml:space="preserve"> STYLEREF 1 \s </w:instrText>
      </w:r>
      <w:r w:rsidRPr="00FF4E93">
        <w:rPr>
          <w:rFonts w:eastAsia="Calibri"/>
          <w:b/>
          <w:iCs/>
          <w:color w:val="000000"/>
          <w:szCs w:val="18"/>
          <w:lang w:eastAsia="de-DE"/>
        </w:rPr>
        <w:fldChar w:fldCharType="separate"/>
      </w:r>
      <w:r w:rsidR="00D231CD" w:rsidRPr="00FF4E93">
        <w:rPr>
          <w:rFonts w:eastAsia="Calibri"/>
          <w:b/>
          <w:iCs/>
          <w:noProof/>
          <w:color w:val="000000"/>
          <w:szCs w:val="18"/>
          <w:lang w:eastAsia="de-DE"/>
        </w:rPr>
        <w:t>3</w:t>
      </w:r>
      <w:r w:rsidRPr="00FF4E93">
        <w:rPr>
          <w:rFonts w:eastAsia="Calibri"/>
          <w:b/>
          <w:iCs/>
          <w:color w:val="000000"/>
          <w:szCs w:val="18"/>
          <w:lang w:eastAsia="de-DE"/>
        </w:rPr>
        <w:fldChar w:fldCharType="end"/>
      </w:r>
      <w:r w:rsidRPr="00FF4E93">
        <w:rPr>
          <w:rFonts w:eastAsia="Calibri"/>
          <w:b/>
          <w:iCs/>
          <w:color w:val="000000"/>
          <w:szCs w:val="18"/>
          <w:lang w:eastAsia="de-DE"/>
        </w:rPr>
        <w:noBreakHyphen/>
      </w:r>
      <w:r w:rsidRPr="00FF4E93">
        <w:rPr>
          <w:rFonts w:eastAsia="Calibri"/>
          <w:b/>
          <w:iCs/>
          <w:color w:val="000000"/>
          <w:szCs w:val="18"/>
          <w:lang w:eastAsia="de-DE"/>
        </w:rPr>
        <w:fldChar w:fldCharType="begin"/>
      </w:r>
      <w:r w:rsidRPr="00FF4E93">
        <w:rPr>
          <w:rFonts w:eastAsia="Calibri"/>
          <w:b/>
          <w:iCs/>
          <w:color w:val="000000"/>
          <w:szCs w:val="18"/>
          <w:lang w:eastAsia="de-DE"/>
        </w:rPr>
        <w:instrText xml:space="preserve"> SEQ Figure \* ARABIC \s 1 </w:instrText>
      </w:r>
      <w:r w:rsidRPr="00FF4E93">
        <w:rPr>
          <w:rFonts w:eastAsia="Calibri"/>
          <w:b/>
          <w:iCs/>
          <w:color w:val="000000"/>
          <w:szCs w:val="18"/>
          <w:lang w:eastAsia="de-DE"/>
        </w:rPr>
        <w:fldChar w:fldCharType="separate"/>
      </w:r>
      <w:r w:rsidR="00D231CD" w:rsidRPr="00FF4E93">
        <w:rPr>
          <w:rFonts w:eastAsia="Calibri"/>
          <w:b/>
          <w:iCs/>
          <w:noProof/>
          <w:color w:val="000000"/>
          <w:szCs w:val="18"/>
          <w:lang w:eastAsia="de-DE"/>
        </w:rPr>
        <w:t>2</w:t>
      </w:r>
      <w:r w:rsidRPr="00FF4E93">
        <w:rPr>
          <w:rFonts w:eastAsia="Calibri"/>
          <w:b/>
          <w:iCs/>
          <w:color w:val="000000"/>
          <w:szCs w:val="18"/>
          <w:lang w:eastAsia="de-DE"/>
        </w:rPr>
        <w:fldChar w:fldCharType="end"/>
      </w:r>
      <w:bookmarkEnd w:id="11"/>
      <w:r w:rsidRPr="00FF4E93">
        <w:rPr>
          <w:rFonts w:eastAsia="Calibri"/>
          <w:b/>
          <w:iCs/>
          <w:color w:val="000000"/>
          <w:szCs w:val="18"/>
          <w:lang w:eastAsia="de-DE"/>
        </w:rPr>
        <w:t xml:space="preserve">: </w:t>
      </w:r>
      <w:r w:rsidRPr="00FF4E93">
        <w:rPr>
          <w:rFonts w:eastAsia="Calibri"/>
          <w:iCs/>
          <w:color w:val="000000"/>
          <w:szCs w:val="18"/>
          <w:lang w:eastAsia="de-DE"/>
        </w:rPr>
        <w:t>Exemplary coding excerpt – higher order themes</w:t>
      </w:r>
      <w:bookmarkEnd w:id="12"/>
      <w:r w:rsidRPr="00FF4E93">
        <w:rPr>
          <w:rFonts w:eastAsia="Calibri"/>
          <w:iCs/>
          <w:color w:val="000000"/>
          <w:szCs w:val="18"/>
          <w:lang w:eastAsia="de-DE"/>
        </w:rPr>
        <w:t xml:space="preserve"> </w:t>
      </w:r>
    </w:p>
    <w:p w14:paraId="1D82982A" w14:textId="77777777" w:rsidR="00151DC1" w:rsidRPr="00FF4E93" w:rsidRDefault="00151DC1" w:rsidP="00151DC1">
      <w:pPr>
        <w:pStyle w:val="Heading1"/>
        <w:rPr>
          <w:rFonts w:cs="Times New Roman"/>
          <w:lang w:eastAsia="de-AT"/>
        </w:rPr>
      </w:pPr>
      <w:bookmarkStart w:id="13" w:name="_Toc536101278"/>
      <w:r w:rsidRPr="00FF4E93">
        <w:rPr>
          <w:rFonts w:cs="Times New Roman"/>
          <w:lang w:eastAsia="de-AT"/>
        </w:rPr>
        <w:lastRenderedPageBreak/>
        <w:t>Findings</w:t>
      </w:r>
      <w:bookmarkEnd w:id="13"/>
    </w:p>
    <w:p w14:paraId="361432C3" w14:textId="77777777" w:rsidR="00151DC1" w:rsidRPr="00FF4E93" w:rsidRDefault="00151DC1" w:rsidP="00151DC1">
      <w:pPr>
        <w:spacing w:after="0"/>
        <w:rPr>
          <w:rFonts w:eastAsia="Times New Roman"/>
          <w:sz w:val="26"/>
        </w:rPr>
      </w:pPr>
      <w:r w:rsidRPr="00FF4E93">
        <w:rPr>
          <w:rFonts w:eastAsia="Times New Roman"/>
          <w:sz w:val="26"/>
        </w:rPr>
        <w:t>Our research seeks to find theoretical insights on the research question ‘</w:t>
      </w:r>
      <w:r w:rsidRPr="00FF4E93">
        <w:rPr>
          <w:rFonts w:eastAsia="Times New Roman"/>
          <w:i/>
          <w:sz w:val="26"/>
        </w:rPr>
        <w:t>How do entrepreneurial ventures in emerging technology domains create fitness in their business models?’</w:t>
      </w:r>
      <w:r w:rsidRPr="00FF4E93">
        <w:rPr>
          <w:rFonts w:eastAsia="Times New Roman"/>
          <w:sz w:val="26"/>
        </w:rPr>
        <w:t xml:space="preserve"> In the following, we describe the identified configurations by elaborating on the fitness of its foundations and put emphasis on selected variants. </w:t>
      </w:r>
    </w:p>
    <w:p w14:paraId="3FEC42D3" w14:textId="77777777" w:rsidR="00151DC1" w:rsidRPr="00FF4E93" w:rsidRDefault="00151DC1" w:rsidP="00151DC1">
      <w:pPr>
        <w:spacing w:after="0"/>
        <w:rPr>
          <w:rFonts w:eastAsia="Times New Roman"/>
          <w:i/>
          <w:sz w:val="26"/>
        </w:rPr>
      </w:pPr>
      <w:r w:rsidRPr="00FF4E93">
        <w:rPr>
          <w:rFonts w:eastAsia="Times New Roman"/>
          <w:b/>
          <w:sz w:val="26"/>
        </w:rPr>
        <w:t>Configuration 1</w:t>
      </w:r>
      <w:r w:rsidRPr="00FF4E93">
        <w:rPr>
          <w:rFonts w:eastAsia="Times New Roman"/>
          <w:sz w:val="26"/>
        </w:rPr>
        <w:t>: {Layer Player, Solution Provider}</w:t>
      </w:r>
    </w:p>
    <w:p w14:paraId="65CC6647" w14:textId="77777777" w:rsidR="00151DC1" w:rsidRPr="00FF4E93" w:rsidRDefault="00151DC1" w:rsidP="00151DC1">
      <w:pPr>
        <w:spacing w:after="0"/>
        <w:rPr>
          <w:rFonts w:eastAsia="Times New Roman"/>
          <w:i/>
          <w:sz w:val="26"/>
        </w:rPr>
      </w:pPr>
      <w:r w:rsidRPr="00FF4E93">
        <w:rPr>
          <w:rFonts w:eastAsia="Times New Roman"/>
          <w:sz w:val="26"/>
        </w:rPr>
        <w:t xml:space="preserve">Given the high degree of complexity of emerging technology domains, many firms focus on only one or few activities within a value chain. Such a clear focus allows firms to develop expert know-how for specific products and services, and offer them across a multitude of industries. This model is summarized under the </w:t>
      </w:r>
      <w:r w:rsidRPr="00FF4E93">
        <w:rPr>
          <w:rFonts w:eastAsia="Times New Roman"/>
          <w:i/>
          <w:sz w:val="26"/>
        </w:rPr>
        <w:t xml:space="preserve">Layer Player </w:t>
      </w:r>
      <w:r w:rsidRPr="00FF4E93">
        <w:rPr>
          <w:rFonts w:eastAsia="Times New Roman"/>
          <w:sz w:val="26"/>
        </w:rPr>
        <w:t xml:space="preserve">pattern and exemplified by the Berlin-based startup </w:t>
      </w:r>
      <w:proofErr w:type="spellStart"/>
      <w:r w:rsidRPr="00FF4E93">
        <w:rPr>
          <w:rFonts w:eastAsia="Times New Roman"/>
          <w:i/>
          <w:sz w:val="26"/>
        </w:rPr>
        <w:t>Zeitgold</w:t>
      </w:r>
      <w:proofErr w:type="spellEnd"/>
      <w:r w:rsidRPr="00FF4E93">
        <w:rPr>
          <w:rFonts w:eastAsia="Times New Roman"/>
          <w:i/>
          <w:sz w:val="26"/>
        </w:rPr>
        <w:t xml:space="preserve">, </w:t>
      </w:r>
      <w:r w:rsidRPr="00FF4E93">
        <w:rPr>
          <w:rFonts w:eastAsia="Times New Roman"/>
          <w:sz w:val="26"/>
        </w:rPr>
        <w:t>which is offering a niche financial solution for small businesses</w:t>
      </w:r>
      <w:r w:rsidRPr="00FF4E93">
        <w:rPr>
          <w:rFonts w:eastAsia="Times New Roman"/>
          <w:i/>
          <w:sz w:val="26"/>
        </w:rPr>
        <w:t xml:space="preserve"> </w:t>
      </w:r>
      <w:r w:rsidRPr="00FF4E93">
        <w:rPr>
          <w:rFonts w:eastAsia="Times New Roman"/>
          <w:sz w:val="26"/>
        </w:rPr>
        <w:t>such as</w:t>
      </w:r>
      <w:r w:rsidRPr="00FF4E93">
        <w:rPr>
          <w:rFonts w:eastAsia="Times New Roman"/>
          <w:i/>
          <w:sz w:val="26"/>
        </w:rPr>
        <w:t xml:space="preserve"> “cafés, restaurants, small retailers, and craftsmen”.</w:t>
      </w:r>
    </w:p>
    <w:p w14:paraId="6D7C9286" w14:textId="77777777" w:rsidR="00151DC1" w:rsidRPr="00FF4E93" w:rsidRDefault="00151DC1" w:rsidP="00151DC1">
      <w:pPr>
        <w:spacing w:after="0"/>
        <w:rPr>
          <w:rFonts w:eastAsia="Times New Roman"/>
          <w:sz w:val="26"/>
        </w:rPr>
      </w:pPr>
      <w:r w:rsidRPr="00FF4E93">
        <w:rPr>
          <w:rFonts w:eastAsia="Times New Roman"/>
          <w:sz w:val="26"/>
        </w:rPr>
        <w:t xml:space="preserve">Given the knowledge advantage which firms applying the </w:t>
      </w:r>
      <w:r w:rsidRPr="00FF4E93">
        <w:rPr>
          <w:rFonts w:eastAsia="Times New Roman"/>
          <w:i/>
          <w:sz w:val="26"/>
        </w:rPr>
        <w:t xml:space="preserve">Layer Player </w:t>
      </w:r>
      <w:r w:rsidRPr="00FF4E93">
        <w:rPr>
          <w:rFonts w:eastAsia="Times New Roman"/>
          <w:sz w:val="26"/>
        </w:rPr>
        <w:t xml:space="preserve">pattern typically possess in their field, they are in an excellent position to offer end-to-end services. As a consequence, the pattern very well blends with the </w:t>
      </w:r>
      <w:r w:rsidRPr="00FF4E93">
        <w:rPr>
          <w:rFonts w:eastAsia="Times New Roman"/>
          <w:i/>
          <w:sz w:val="26"/>
        </w:rPr>
        <w:t xml:space="preserve">Solution Provider </w:t>
      </w:r>
      <w:r w:rsidRPr="00FF4E93">
        <w:rPr>
          <w:rFonts w:eastAsia="Times New Roman"/>
          <w:sz w:val="26"/>
        </w:rPr>
        <w:t xml:space="preserve">add-on, i.e. firms which cover the total range of products and services in a given domain. Our analysis suggests that for emergent technology players this is typically implemented by offering a full-service package, compromised of the technical hard- and/or software, as well as supporting services for implementation and maintenance. In many cases, these solutions replace traditional approaches to tackling a problem but are highly customized to client needs and thus find quick adoption across industries. </w:t>
      </w:r>
      <w:proofErr w:type="spellStart"/>
      <w:r w:rsidRPr="00FF4E93">
        <w:rPr>
          <w:rFonts w:eastAsia="Times New Roman"/>
          <w:i/>
          <w:sz w:val="26"/>
        </w:rPr>
        <w:t>Zeitgold</w:t>
      </w:r>
      <w:proofErr w:type="spellEnd"/>
      <w:r w:rsidRPr="00FF4E93">
        <w:rPr>
          <w:rFonts w:eastAsia="Times New Roman"/>
          <w:i/>
          <w:sz w:val="26"/>
        </w:rPr>
        <w:t xml:space="preserve">, </w:t>
      </w:r>
      <w:r w:rsidRPr="00FF4E93">
        <w:rPr>
          <w:rFonts w:eastAsia="Times New Roman"/>
          <w:sz w:val="26"/>
        </w:rPr>
        <w:t>for instance, offers their clients a turnkey solution for the digitization of business financials:</w:t>
      </w:r>
    </w:p>
    <w:p w14:paraId="5F0E0BA0" w14:textId="77777777" w:rsidR="00151DC1" w:rsidRPr="00FF4E93" w:rsidRDefault="00151DC1" w:rsidP="00151DC1">
      <w:pPr>
        <w:spacing w:before="200" w:after="160"/>
        <w:ind w:left="864" w:right="864"/>
        <w:rPr>
          <w:rFonts w:eastAsia="Times New Roman"/>
          <w:i/>
          <w:iCs/>
          <w:color w:val="000000"/>
          <w:sz w:val="26"/>
        </w:rPr>
      </w:pPr>
      <w:r w:rsidRPr="00FF4E93">
        <w:rPr>
          <w:rFonts w:eastAsia="Times New Roman"/>
          <w:i/>
          <w:iCs/>
          <w:color w:val="000000"/>
          <w:sz w:val="26"/>
        </w:rPr>
        <w:t>“[</w:t>
      </w:r>
      <w:proofErr w:type="spellStart"/>
      <w:r w:rsidRPr="00FF4E93">
        <w:rPr>
          <w:rFonts w:eastAsia="Times New Roman"/>
          <w:i/>
          <w:iCs/>
          <w:color w:val="000000"/>
          <w:sz w:val="26"/>
        </w:rPr>
        <w:t>Zeitgold</w:t>
      </w:r>
      <w:proofErr w:type="spellEnd"/>
      <w:r w:rsidRPr="00FF4E93">
        <w:rPr>
          <w:rFonts w:eastAsia="Times New Roman"/>
          <w:i/>
          <w:iCs/>
          <w:color w:val="000000"/>
          <w:sz w:val="26"/>
        </w:rPr>
        <w:t xml:space="preserve"> is] an all-in-one financial solution for small shop owners. The company sends you a physical box. You can put all your receipts, bills and invoices in this box. Somebody will come and pick up the box every week. The startup then scans and archives all these documents to process them — </w:t>
      </w:r>
      <w:proofErr w:type="spellStart"/>
      <w:r w:rsidRPr="00FF4E93">
        <w:rPr>
          <w:rFonts w:eastAsia="Times New Roman"/>
          <w:i/>
          <w:iCs/>
          <w:color w:val="000000"/>
          <w:sz w:val="26"/>
        </w:rPr>
        <w:t>Zeitgold</w:t>
      </w:r>
      <w:proofErr w:type="spellEnd"/>
      <w:r w:rsidRPr="00FF4E93">
        <w:rPr>
          <w:rFonts w:eastAsia="Times New Roman"/>
          <w:i/>
          <w:iCs/>
          <w:color w:val="000000"/>
          <w:sz w:val="26"/>
        </w:rPr>
        <w:t xml:space="preserve"> also accepts digital documents.”</w:t>
      </w:r>
    </w:p>
    <w:p w14:paraId="38E0D729" w14:textId="77777777" w:rsidR="00151DC1" w:rsidRPr="00FF4E93" w:rsidRDefault="00151DC1" w:rsidP="00151DC1">
      <w:pPr>
        <w:spacing w:after="0"/>
        <w:rPr>
          <w:rFonts w:eastAsia="Times New Roman"/>
          <w:sz w:val="26"/>
        </w:rPr>
      </w:pPr>
      <w:r w:rsidRPr="00FF4E93">
        <w:rPr>
          <w:rFonts w:eastAsia="Times New Roman"/>
          <w:sz w:val="26"/>
        </w:rPr>
        <w:t xml:space="preserve">The successful pairing of the patterns </w:t>
      </w:r>
      <w:r w:rsidRPr="00FF4E93">
        <w:rPr>
          <w:rFonts w:eastAsia="Times New Roman"/>
          <w:i/>
          <w:sz w:val="26"/>
        </w:rPr>
        <w:t xml:space="preserve">Layer Player </w:t>
      </w:r>
      <w:r w:rsidRPr="00FF4E93">
        <w:rPr>
          <w:rFonts w:eastAsia="Times New Roman"/>
          <w:sz w:val="26"/>
        </w:rPr>
        <w:t>and</w:t>
      </w:r>
      <w:r w:rsidRPr="00FF4E93">
        <w:rPr>
          <w:rFonts w:eastAsia="Times New Roman"/>
          <w:i/>
          <w:sz w:val="26"/>
        </w:rPr>
        <w:t xml:space="preserve"> Solution Provider </w:t>
      </w:r>
      <w:r w:rsidRPr="00FF4E93">
        <w:rPr>
          <w:rFonts w:eastAsia="Times New Roman"/>
          <w:sz w:val="26"/>
        </w:rPr>
        <w:t xml:space="preserve">as </w:t>
      </w:r>
      <w:r w:rsidRPr="00FF4E93">
        <w:rPr>
          <w:rFonts w:eastAsia="Times New Roman"/>
          <w:i/>
          <w:sz w:val="26"/>
        </w:rPr>
        <w:t xml:space="preserve">foundation </w:t>
      </w:r>
      <w:r w:rsidRPr="00FF4E93">
        <w:rPr>
          <w:rFonts w:eastAsia="Times New Roman"/>
          <w:sz w:val="26"/>
        </w:rPr>
        <w:t xml:space="preserve">can be frequently observed across all samples. Our analysis reveals that in particular two factors make this combination so fruitful: the complexity of emergent technologies, and their inherent potential to create significant competitive advantages in individual steps of the value chain. Hence, firms with a strong unique expertise and the ability to </w:t>
      </w:r>
      <w:r w:rsidRPr="00FF4E93">
        <w:rPr>
          <w:rFonts w:eastAsia="Times New Roman"/>
          <w:sz w:val="26"/>
        </w:rPr>
        <w:lastRenderedPageBreak/>
        <w:t>transform into need-oriented solution packages, are expected to be the most successful ones.</w:t>
      </w:r>
    </w:p>
    <w:p w14:paraId="24AB1829" w14:textId="77777777" w:rsidR="00151DC1" w:rsidRPr="00FF4E93" w:rsidRDefault="00151DC1" w:rsidP="00151DC1">
      <w:pPr>
        <w:spacing w:after="0"/>
        <w:rPr>
          <w:rFonts w:eastAsia="Times New Roman"/>
          <w:sz w:val="26"/>
        </w:rPr>
      </w:pPr>
      <w:r w:rsidRPr="00FF4E93">
        <w:rPr>
          <w:rFonts w:eastAsia="Times New Roman"/>
          <w:sz w:val="26"/>
        </w:rPr>
        <w:t xml:space="preserve">An example for this is </w:t>
      </w:r>
      <w:r w:rsidRPr="00FF4E93">
        <w:rPr>
          <w:rFonts w:eastAsia="Times New Roman"/>
          <w:i/>
          <w:sz w:val="26"/>
        </w:rPr>
        <w:t>Atlas Dynamics,</w:t>
      </w:r>
      <w:r w:rsidRPr="00FF4E93">
        <w:rPr>
          <w:rFonts w:eastAsia="Times New Roman"/>
          <w:sz w:val="26"/>
        </w:rPr>
        <w:t xml:space="preserve"> a leading provider of drone-based enterprise solutions. As a full-service provider in this market, </w:t>
      </w:r>
      <w:r w:rsidRPr="00FF4E93">
        <w:rPr>
          <w:rFonts w:eastAsia="Times New Roman"/>
          <w:i/>
          <w:sz w:val="26"/>
        </w:rPr>
        <w:t>Atlas Dynamics</w:t>
      </w:r>
      <w:r w:rsidRPr="00FF4E93">
        <w:rPr>
          <w:rFonts w:eastAsia="Times New Roman"/>
          <w:sz w:val="26"/>
        </w:rPr>
        <w:t xml:space="preserve"> is offering its technology for a variety of different use cases across industries:</w:t>
      </w:r>
    </w:p>
    <w:p w14:paraId="52CAB5AF" w14:textId="77777777" w:rsidR="00151DC1" w:rsidRPr="00FF4E93" w:rsidRDefault="00151DC1" w:rsidP="00151DC1">
      <w:pPr>
        <w:spacing w:before="200" w:after="160"/>
        <w:ind w:left="864" w:right="864"/>
        <w:rPr>
          <w:rFonts w:eastAsia="Times New Roman"/>
          <w:i/>
          <w:iCs/>
          <w:color w:val="000000"/>
          <w:sz w:val="26"/>
        </w:rPr>
      </w:pPr>
      <w:r w:rsidRPr="00FF4E93">
        <w:rPr>
          <w:rFonts w:eastAsia="Times New Roman"/>
          <w:i/>
          <w:iCs/>
          <w:color w:val="000000"/>
          <w:sz w:val="26"/>
        </w:rPr>
        <w:t xml:space="preserve">“Atlas Dynamics […] specializes in developing high-end autonomous UAV systems for the commercial and </w:t>
      </w:r>
      <w:proofErr w:type="spellStart"/>
      <w:r w:rsidRPr="00FF4E93">
        <w:rPr>
          <w:rFonts w:eastAsia="Times New Roman"/>
          <w:i/>
          <w:iCs/>
          <w:color w:val="000000"/>
          <w:sz w:val="26"/>
        </w:rPr>
        <w:t>defense</w:t>
      </w:r>
      <w:proofErr w:type="spellEnd"/>
      <w:r w:rsidRPr="00FF4E93">
        <w:rPr>
          <w:rFonts w:eastAsia="Times New Roman"/>
          <w:i/>
          <w:iCs/>
          <w:color w:val="000000"/>
          <w:sz w:val="26"/>
        </w:rPr>
        <w:t xml:space="preserve"> markets. […] Utilizing […] proprietary aerospace technology, [Atlas Dynamics] quickly and safely provide users with valuable data through highly durable, intuitive and easy-to-use products […] Atlas drones can achieve longer flight times, wider ranges, faster speeds and greater altitudes with versatile sensors and payloads to serve key markets including infrastructure inspection, construction, security, first response, delivery and insurance”</w:t>
      </w:r>
    </w:p>
    <w:p w14:paraId="45A8DDC7" w14:textId="78251A19" w:rsidR="00151DC1" w:rsidRPr="00FF4E93" w:rsidRDefault="00151DC1" w:rsidP="00151DC1">
      <w:pPr>
        <w:spacing w:after="0"/>
        <w:rPr>
          <w:rFonts w:eastAsia="Times New Roman"/>
          <w:sz w:val="26"/>
        </w:rPr>
      </w:pPr>
      <w:r w:rsidRPr="00FF4E93">
        <w:rPr>
          <w:rFonts w:eastAsia="Times New Roman"/>
          <w:sz w:val="26"/>
        </w:rPr>
        <w:t xml:space="preserve">This first business model </w:t>
      </w:r>
      <w:r w:rsidRPr="00FF4E93">
        <w:rPr>
          <w:rFonts w:eastAsia="Times New Roman"/>
          <w:i/>
          <w:sz w:val="26"/>
        </w:rPr>
        <w:t>foundation</w:t>
      </w:r>
      <w:r w:rsidRPr="00FF4E93">
        <w:rPr>
          <w:rFonts w:eastAsia="Times New Roman"/>
          <w:sz w:val="26"/>
        </w:rPr>
        <w:t xml:space="preserve"> is core to a number of variants based on distinct </w:t>
      </w:r>
      <w:r w:rsidRPr="00FF4E93">
        <w:rPr>
          <w:rFonts w:eastAsia="Times New Roman"/>
          <w:i/>
          <w:sz w:val="26"/>
        </w:rPr>
        <w:t xml:space="preserve">add-ons, </w:t>
      </w:r>
      <w:r w:rsidRPr="00FF4E93">
        <w:rPr>
          <w:rFonts w:eastAsia="Times New Roman"/>
          <w:sz w:val="26"/>
        </w:rPr>
        <w:t xml:space="preserve">with </w:t>
      </w:r>
      <w:r w:rsidRPr="00FF4E93">
        <w:rPr>
          <w:rFonts w:eastAsia="Times New Roman"/>
          <w:i/>
          <w:sz w:val="26"/>
        </w:rPr>
        <w:t xml:space="preserve">Self-Service, Subscription </w:t>
      </w:r>
      <w:r w:rsidRPr="00FF4E93">
        <w:rPr>
          <w:rFonts w:eastAsia="Times New Roman"/>
          <w:sz w:val="26"/>
        </w:rPr>
        <w:t xml:space="preserve">and </w:t>
      </w:r>
      <w:r w:rsidRPr="00FF4E93">
        <w:rPr>
          <w:rFonts w:eastAsia="Times New Roman"/>
          <w:i/>
          <w:sz w:val="26"/>
        </w:rPr>
        <w:t xml:space="preserve">Digitization </w:t>
      </w:r>
      <w:r w:rsidRPr="00FF4E93">
        <w:rPr>
          <w:rFonts w:eastAsia="Times New Roman"/>
          <w:sz w:val="26"/>
        </w:rPr>
        <w:t xml:space="preserve">being the most popular ones across the technology domains. </w:t>
      </w:r>
      <w:r w:rsidRPr="00FF4E93">
        <w:rPr>
          <w:rFonts w:eastAsia="Times New Roman"/>
          <w:i/>
          <w:sz w:val="26"/>
        </w:rPr>
        <w:fldChar w:fldCharType="begin"/>
      </w:r>
      <w:r w:rsidRPr="00FF4E93">
        <w:rPr>
          <w:rFonts w:eastAsia="Times New Roman"/>
          <w:i/>
          <w:sz w:val="26"/>
        </w:rPr>
        <w:instrText xml:space="preserve"> REF _Ref532286934 \h  \* MERGEFORMAT </w:instrText>
      </w:r>
      <w:r w:rsidRPr="00FF4E93">
        <w:rPr>
          <w:rFonts w:eastAsia="Times New Roman"/>
          <w:i/>
          <w:sz w:val="26"/>
        </w:rPr>
      </w:r>
      <w:r w:rsidRPr="00FF4E93">
        <w:rPr>
          <w:rFonts w:eastAsia="Times New Roman"/>
          <w:i/>
          <w:sz w:val="26"/>
        </w:rPr>
        <w:fldChar w:fldCharType="separate"/>
      </w:r>
      <w:r w:rsidR="00D231CD" w:rsidRPr="00FF4E93">
        <w:rPr>
          <w:rFonts w:eastAsia="Times New Roman"/>
          <w:i/>
          <w:sz w:val="26"/>
        </w:rPr>
        <w:t>Table 4</w:t>
      </w:r>
      <w:r w:rsidR="00D231CD" w:rsidRPr="00FF4E93">
        <w:rPr>
          <w:rFonts w:eastAsia="Times New Roman"/>
          <w:i/>
          <w:sz w:val="26"/>
        </w:rPr>
        <w:noBreakHyphen/>
        <w:t>1</w:t>
      </w:r>
      <w:r w:rsidRPr="00FF4E93">
        <w:rPr>
          <w:rFonts w:eastAsia="Times New Roman"/>
          <w:i/>
          <w:sz w:val="26"/>
        </w:rPr>
        <w:fldChar w:fldCharType="end"/>
      </w:r>
      <w:r w:rsidRPr="00FF4E93">
        <w:rPr>
          <w:rFonts w:eastAsia="Times New Roman"/>
          <w:i/>
          <w:sz w:val="26"/>
        </w:rPr>
        <w:t xml:space="preserve"> </w:t>
      </w:r>
      <w:r w:rsidRPr="00FF4E93">
        <w:rPr>
          <w:rFonts w:eastAsia="Times New Roman"/>
          <w:sz w:val="26"/>
        </w:rPr>
        <w:t>provides an overview of the variants of configuration 1. The percentage values depict the relative frequency of each variant in the respective sub-set of our sample, which we divided by technology domain. In order to provide insights on the most important application areas of each variant, we blanked out all values smaller or equal to 3%.</w:t>
      </w:r>
      <w:r w:rsidRPr="00FF4E93">
        <w:rPr>
          <w:rFonts w:eastAsia="Times New Roman"/>
          <w:sz w:val="26"/>
          <w:vertAlign w:val="superscript"/>
        </w:rPr>
        <w:footnoteReference w:id="7"/>
      </w:r>
      <w:r w:rsidRPr="00FF4E93">
        <w:rPr>
          <w:rFonts w:eastAsia="Times New Roman"/>
          <w:sz w:val="26"/>
        </w:rPr>
        <w:t xml:space="preserve"> </w:t>
      </w:r>
    </w:p>
    <w:p w14:paraId="7A510803" w14:textId="297C2CD7" w:rsidR="00151DC1" w:rsidRPr="00FF4E93" w:rsidRDefault="00151DC1" w:rsidP="00151DC1">
      <w:pPr>
        <w:spacing w:before="240" w:after="240"/>
        <w:ind w:right="521"/>
        <w:rPr>
          <w:rFonts w:eastAsia="Times New Roman"/>
          <w:iCs/>
          <w:color w:val="000000"/>
          <w:szCs w:val="18"/>
          <w:lang w:eastAsia="de-DE"/>
        </w:rPr>
      </w:pPr>
      <w:bookmarkStart w:id="14" w:name="_Ref532286934"/>
      <w:bookmarkStart w:id="15" w:name="_Toc536101331"/>
      <w:r w:rsidRPr="00FF4E93">
        <w:rPr>
          <w:rFonts w:eastAsia="Calibri"/>
          <w:b/>
          <w:iCs/>
          <w:color w:val="000000"/>
          <w:szCs w:val="18"/>
          <w:lang w:eastAsia="de-DE"/>
        </w:rPr>
        <w:t xml:space="preserve">Table </w:t>
      </w:r>
      <w:r w:rsidRPr="00FF4E93">
        <w:rPr>
          <w:rFonts w:eastAsia="Calibri"/>
          <w:b/>
          <w:iCs/>
          <w:color w:val="000000"/>
          <w:szCs w:val="18"/>
          <w:lang w:eastAsia="de-DE"/>
        </w:rPr>
        <w:fldChar w:fldCharType="begin"/>
      </w:r>
      <w:r w:rsidRPr="00FF4E93">
        <w:rPr>
          <w:rFonts w:eastAsia="Calibri"/>
          <w:b/>
          <w:iCs/>
          <w:color w:val="000000"/>
          <w:szCs w:val="18"/>
          <w:lang w:eastAsia="de-DE"/>
        </w:rPr>
        <w:instrText xml:space="preserve"> STYLEREF 1 \s </w:instrText>
      </w:r>
      <w:r w:rsidRPr="00FF4E93">
        <w:rPr>
          <w:rFonts w:eastAsia="Calibri"/>
          <w:b/>
          <w:iCs/>
          <w:color w:val="000000"/>
          <w:szCs w:val="18"/>
          <w:lang w:eastAsia="de-DE"/>
        </w:rPr>
        <w:fldChar w:fldCharType="separate"/>
      </w:r>
      <w:r w:rsidR="00D231CD" w:rsidRPr="00FF4E93">
        <w:rPr>
          <w:rFonts w:eastAsia="Calibri"/>
          <w:b/>
          <w:iCs/>
          <w:noProof/>
          <w:color w:val="000000"/>
          <w:szCs w:val="18"/>
          <w:lang w:eastAsia="de-DE"/>
        </w:rPr>
        <w:t>4</w:t>
      </w:r>
      <w:r w:rsidRPr="00FF4E93">
        <w:rPr>
          <w:rFonts w:eastAsia="Calibri"/>
          <w:b/>
          <w:iCs/>
          <w:color w:val="000000"/>
          <w:szCs w:val="18"/>
          <w:lang w:eastAsia="de-DE"/>
        </w:rPr>
        <w:fldChar w:fldCharType="end"/>
      </w:r>
      <w:r w:rsidRPr="00FF4E93">
        <w:rPr>
          <w:rFonts w:eastAsia="Calibri"/>
          <w:b/>
          <w:iCs/>
          <w:color w:val="000000"/>
          <w:szCs w:val="18"/>
          <w:lang w:eastAsia="de-DE"/>
        </w:rPr>
        <w:noBreakHyphen/>
      </w:r>
      <w:r w:rsidRPr="00FF4E93">
        <w:rPr>
          <w:rFonts w:eastAsia="Calibri"/>
          <w:b/>
          <w:iCs/>
          <w:color w:val="000000"/>
          <w:szCs w:val="18"/>
          <w:lang w:eastAsia="de-DE"/>
        </w:rPr>
        <w:fldChar w:fldCharType="begin"/>
      </w:r>
      <w:r w:rsidRPr="00FF4E93">
        <w:rPr>
          <w:rFonts w:eastAsia="Calibri"/>
          <w:b/>
          <w:iCs/>
          <w:color w:val="000000"/>
          <w:szCs w:val="18"/>
          <w:lang w:eastAsia="de-DE"/>
        </w:rPr>
        <w:instrText xml:space="preserve"> SEQ Table \* ARABIC \s 1 </w:instrText>
      </w:r>
      <w:r w:rsidRPr="00FF4E93">
        <w:rPr>
          <w:rFonts w:eastAsia="Calibri"/>
          <w:b/>
          <w:iCs/>
          <w:color w:val="000000"/>
          <w:szCs w:val="18"/>
          <w:lang w:eastAsia="de-DE"/>
        </w:rPr>
        <w:fldChar w:fldCharType="separate"/>
      </w:r>
      <w:r w:rsidR="00D231CD" w:rsidRPr="00FF4E93">
        <w:rPr>
          <w:rFonts w:eastAsia="Calibri"/>
          <w:b/>
          <w:iCs/>
          <w:noProof/>
          <w:color w:val="000000"/>
          <w:szCs w:val="18"/>
          <w:lang w:eastAsia="de-DE"/>
        </w:rPr>
        <w:t>1</w:t>
      </w:r>
      <w:r w:rsidRPr="00FF4E93">
        <w:rPr>
          <w:rFonts w:eastAsia="Calibri"/>
          <w:b/>
          <w:iCs/>
          <w:color w:val="000000"/>
          <w:szCs w:val="18"/>
          <w:lang w:eastAsia="de-DE"/>
        </w:rPr>
        <w:fldChar w:fldCharType="end"/>
      </w:r>
      <w:bookmarkEnd w:id="14"/>
      <w:r w:rsidRPr="00FF4E93">
        <w:rPr>
          <w:rFonts w:eastAsia="Calibri"/>
          <w:iCs/>
          <w:color w:val="000000"/>
          <w:szCs w:val="18"/>
          <w:lang w:eastAsia="de-DE"/>
        </w:rPr>
        <w:t>: Relative frequency of configuration 1 variants</w:t>
      </w:r>
      <w:bookmarkEnd w:id="15"/>
    </w:p>
    <w:tbl>
      <w:tblPr>
        <w:tblW w:w="8889" w:type="dxa"/>
        <w:tblBorders>
          <w:top w:val="single" w:sz="4" w:space="0" w:color="auto"/>
          <w:bottom w:val="single" w:sz="4" w:space="0" w:color="auto"/>
        </w:tblBorders>
        <w:tblLook w:val="04A0" w:firstRow="1" w:lastRow="0" w:firstColumn="1" w:lastColumn="0" w:noHBand="0" w:noVBand="1"/>
      </w:tblPr>
      <w:tblGrid>
        <w:gridCol w:w="2687"/>
        <w:gridCol w:w="2302"/>
        <w:gridCol w:w="1300"/>
        <w:gridCol w:w="1300"/>
        <w:gridCol w:w="1300"/>
      </w:tblGrid>
      <w:tr w:rsidR="00151DC1" w:rsidRPr="00FF4E93" w14:paraId="0D3F6E3B" w14:textId="77777777" w:rsidTr="00C54569">
        <w:trPr>
          <w:trHeight w:val="280"/>
        </w:trPr>
        <w:tc>
          <w:tcPr>
            <w:tcW w:w="2687" w:type="dxa"/>
            <w:tcBorders>
              <w:top w:val="single" w:sz="4" w:space="0" w:color="auto"/>
              <w:bottom w:val="single" w:sz="4" w:space="0" w:color="auto"/>
            </w:tcBorders>
            <w:shd w:val="clear" w:color="auto" w:fill="auto"/>
            <w:noWrap/>
            <w:hideMark/>
          </w:tcPr>
          <w:p w14:paraId="11AD4A70" w14:textId="77777777" w:rsidR="00151DC1" w:rsidRPr="00FF4E93" w:rsidRDefault="00151DC1" w:rsidP="00151DC1">
            <w:pPr>
              <w:spacing w:before="0" w:after="0" w:line="240" w:lineRule="auto"/>
              <w:jc w:val="left"/>
              <w:rPr>
                <w:rFonts w:eastAsia="Times New Roman"/>
                <w:iCs/>
                <w:color w:val="000000"/>
                <w:sz w:val="20"/>
                <w:szCs w:val="20"/>
              </w:rPr>
            </w:pPr>
            <w:r w:rsidRPr="00FF4E93">
              <w:rPr>
                <w:rFonts w:eastAsia="Times New Roman"/>
                <w:iCs/>
                <w:color w:val="000000"/>
                <w:sz w:val="20"/>
                <w:szCs w:val="20"/>
              </w:rPr>
              <w:t>Foundation</w:t>
            </w:r>
          </w:p>
        </w:tc>
        <w:tc>
          <w:tcPr>
            <w:tcW w:w="2302" w:type="dxa"/>
            <w:tcBorders>
              <w:top w:val="single" w:sz="4" w:space="0" w:color="auto"/>
              <w:bottom w:val="single" w:sz="4" w:space="0" w:color="auto"/>
            </w:tcBorders>
            <w:shd w:val="clear" w:color="auto" w:fill="auto"/>
            <w:noWrap/>
            <w:hideMark/>
          </w:tcPr>
          <w:p w14:paraId="400D5B2B" w14:textId="77777777" w:rsidR="00151DC1" w:rsidRPr="00FF4E93" w:rsidRDefault="00151DC1" w:rsidP="00151DC1">
            <w:pPr>
              <w:spacing w:before="0" w:after="0" w:line="240" w:lineRule="auto"/>
              <w:jc w:val="left"/>
              <w:rPr>
                <w:rFonts w:eastAsia="Times New Roman"/>
                <w:iCs/>
                <w:color w:val="000000"/>
                <w:sz w:val="20"/>
                <w:szCs w:val="20"/>
              </w:rPr>
            </w:pPr>
            <w:r w:rsidRPr="00FF4E93">
              <w:rPr>
                <w:rFonts w:eastAsia="Times New Roman"/>
                <w:iCs/>
                <w:color w:val="000000"/>
                <w:sz w:val="20"/>
                <w:szCs w:val="20"/>
              </w:rPr>
              <w:t>Add-On</w:t>
            </w:r>
          </w:p>
        </w:tc>
        <w:tc>
          <w:tcPr>
            <w:tcW w:w="1300" w:type="dxa"/>
            <w:tcBorders>
              <w:top w:val="single" w:sz="4" w:space="0" w:color="auto"/>
              <w:bottom w:val="single" w:sz="4" w:space="0" w:color="auto"/>
            </w:tcBorders>
            <w:shd w:val="clear" w:color="auto" w:fill="auto"/>
            <w:noWrap/>
            <w:hideMark/>
          </w:tcPr>
          <w:p w14:paraId="5B6F481A" w14:textId="77777777" w:rsidR="00151DC1" w:rsidRPr="00FF4E93" w:rsidRDefault="00151DC1" w:rsidP="00151DC1">
            <w:pPr>
              <w:spacing w:before="0" w:after="0" w:line="240" w:lineRule="auto"/>
              <w:jc w:val="center"/>
              <w:rPr>
                <w:rFonts w:eastAsia="Times New Roman"/>
                <w:iCs/>
                <w:color w:val="000000"/>
                <w:sz w:val="20"/>
                <w:szCs w:val="20"/>
              </w:rPr>
            </w:pPr>
            <w:r w:rsidRPr="00FF4E93">
              <w:rPr>
                <w:rFonts w:eastAsia="Times New Roman"/>
                <w:iCs/>
                <w:color w:val="000000"/>
                <w:sz w:val="20"/>
                <w:szCs w:val="20"/>
              </w:rPr>
              <w:t>AI/ML</w:t>
            </w:r>
          </w:p>
        </w:tc>
        <w:tc>
          <w:tcPr>
            <w:tcW w:w="1300" w:type="dxa"/>
            <w:tcBorders>
              <w:top w:val="single" w:sz="4" w:space="0" w:color="auto"/>
              <w:bottom w:val="single" w:sz="4" w:space="0" w:color="auto"/>
            </w:tcBorders>
            <w:shd w:val="clear" w:color="auto" w:fill="auto"/>
            <w:noWrap/>
            <w:hideMark/>
          </w:tcPr>
          <w:p w14:paraId="572DF239" w14:textId="77777777" w:rsidR="00151DC1" w:rsidRPr="00FF4E93" w:rsidRDefault="00151DC1" w:rsidP="00151DC1">
            <w:pPr>
              <w:spacing w:before="0" w:after="0" w:line="240" w:lineRule="auto"/>
              <w:jc w:val="center"/>
              <w:rPr>
                <w:rFonts w:eastAsia="Times New Roman"/>
                <w:iCs/>
                <w:color w:val="000000"/>
                <w:sz w:val="20"/>
                <w:szCs w:val="20"/>
              </w:rPr>
            </w:pPr>
            <w:r w:rsidRPr="00FF4E93">
              <w:rPr>
                <w:rFonts w:eastAsia="Times New Roman"/>
                <w:iCs/>
                <w:color w:val="000000"/>
                <w:sz w:val="20"/>
                <w:szCs w:val="20"/>
              </w:rPr>
              <w:t>AR/VR</w:t>
            </w:r>
          </w:p>
        </w:tc>
        <w:tc>
          <w:tcPr>
            <w:tcW w:w="1300" w:type="dxa"/>
            <w:tcBorders>
              <w:top w:val="single" w:sz="4" w:space="0" w:color="auto"/>
              <w:bottom w:val="single" w:sz="4" w:space="0" w:color="auto"/>
            </w:tcBorders>
            <w:shd w:val="clear" w:color="auto" w:fill="auto"/>
            <w:noWrap/>
            <w:hideMark/>
          </w:tcPr>
          <w:p w14:paraId="18B25A50" w14:textId="77777777" w:rsidR="00151DC1" w:rsidRPr="00FF4E93" w:rsidRDefault="00151DC1" w:rsidP="00151DC1">
            <w:pPr>
              <w:spacing w:before="0" w:after="0" w:line="240" w:lineRule="auto"/>
              <w:jc w:val="center"/>
              <w:rPr>
                <w:rFonts w:eastAsia="Times New Roman"/>
                <w:iCs/>
                <w:color w:val="000000"/>
                <w:sz w:val="20"/>
                <w:szCs w:val="20"/>
              </w:rPr>
            </w:pPr>
            <w:r w:rsidRPr="00FF4E93">
              <w:rPr>
                <w:rFonts w:eastAsia="Times New Roman"/>
                <w:iCs/>
                <w:color w:val="000000"/>
                <w:sz w:val="20"/>
                <w:szCs w:val="20"/>
              </w:rPr>
              <w:t>Drones</w:t>
            </w:r>
          </w:p>
        </w:tc>
      </w:tr>
      <w:tr w:rsidR="00151DC1" w:rsidRPr="00FF4E93" w14:paraId="1C194FBC" w14:textId="77777777" w:rsidTr="00C54569">
        <w:trPr>
          <w:trHeight w:val="300"/>
        </w:trPr>
        <w:tc>
          <w:tcPr>
            <w:tcW w:w="2687" w:type="dxa"/>
            <w:vMerge w:val="restart"/>
            <w:tcBorders>
              <w:top w:val="single" w:sz="4" w:space="0" w:color="auto"/>
            </w:tcBorders>
            <w:shd w:val="clear" w:color="auto" w:fill="auto"/>
            <w:noWrap/>
            <w:hideMark/>
          </w:tcPr>
          <w:p w14:paraId="557485A1"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xml:space="preserve">Layer Player, </w:t>
            </w:r>
          </w:p>
          <w:p w14:paraId="7237542B"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Solution Provider</w:t>
            </w:r>
          </w:p>
        </w:tc>
        <w:tc>
          <w:tcPr>
            <w:tcW w:w="2302" w:type="dxa"/>
            <w:tcBorders>
              <w:top w:val="single" w:sz="4" w:space="0" w:color="auto"/>
            </w:tcBorders>
            <w:shd w:val="clear" w:color="auto" w:fill="auto"/>
            <w:noWrap/>
            <w:hideMark/>
          </w:tcPr>
          <w:p w14:paraId="4FA4D7ED"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Self-Service</w:t>
            </w:r>
          </w:p>
        </w:tc>
        <w:tc>
          <w:tcPr>
            <w:tcW w:w="1300" w:type="dxa"/>
            <w:tcBorders>
              <w:top w:val="single" w:sz="4" w:space="0" w:color="auto"/>
            </w:tcBorders>
            <w:shd w:val="clear" w:color="000000" w:fill="88C97E"/>
            <w:noWrap/>
            <w:hideMark/>
          </w:tcPr>
          <w:p w14:paraId="01FC84EE"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11.4%</w:t>
            </w:r>
          </w:p>
        </w:tc>
        <w:tc>
          <w:tcPr>
            <w:tcW w:w="1300" w:type="dxa"/>
            <w:tcBorders>
              <w:top w:val="single" w:sz="4" w:space="0" w:color="auto"/>
            </w:tcBorders>
            <w:shd w:val="clear" w:color="000000" w:fill="C7DB81"/>
            <w:noWrap/>
            <w:hideMark/>
          </w:tcPr>
          <w:p w14:paraId="4F844C2B"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7.0%</w:t>
            </w:r>
          </w:p>
        </w:tc>
        <w:tc>
          <w:tcPr>
            <w:tcW w:w="1300" w:type="dxa"/>
            <w:tcBorders>
              <w:top w:val="single" w:sz="4" w:space="0" w:color="auto"/>
            </w:tcBorders>
            <w:shd w:val="clear" w:color="000000" w:fill="A2D07F"/>
            <w:noWrap/>
            <w:hideMark/>
          </w:tcPr>
          <w:p w14:paraId="216ADFD2"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9.6%</w:t>
            </w:r>
          </w:p>
        </w:tc>
      </w:tr>
      <w:tr w:rsidR="00151DC1" w:rsidRPr="00FF4E93" w14:paraId="67C8FD37" w14:textId="77777777" w:rsidTr="00C54569">
        <w:trPr>
          <w:trHeight w:val="300"/>
        </w:trPr>
        <w:tc>
          <w:tcPr>
            <w:tcW w:w="2687" w:type="dxa"/>
            <w:vMerge/>
            <w:shd w:val="clear" w:color="auto" w:fill="auto"/>
            <w:noWrap/>
            <w:hideMark/>
          </w:tcPr>
          <w:p w14:paraId="1214ADFA" w14:textId="77777777" w:rsidR="00151DC1" w:rsidRPr="00FF4E93" w:rsidRDefault="00151DC1" w:rsidP="00151DC1">
            <w:pPr>
              <w:spacing w:before="0" w:after="0" w:line="240" w:lineRule="auto"/>
              <w:jc w:val="left"/>
              <w:rPr>
                <w:rFonts w:eastAsia="Times New Roman"/>
                <w:color w:val="000000"/>
                <w:sz w:val="20"/>
                <w:szCs w:val="20"/>
              </w:rPr>
            </w:pPr>
          </w:p>
        </w:tc>
        <w:tc>
          <w:tcPr>
            <w:tcW w:w="2302" w:type="dxa"/>
            <w:shd w:val="clear" w:color="auto" w:fill="auto"/>
            <w:noWrap/>
            <w:hideMark/>
          </w:tcPr>
          <w:p w14:paraId="3E62F8A8"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Subscription</w:t>
            </w:r>
          </w:p>
        </w:tc>
        <w:tc>
          <w:tcPr>
            <w:tcW w:w="1300" w:type="dxa"/>
            <w:shd w:val="clear" w:color="000000" w:fill="AAD380"/>
            <w:noWrap/>
            <w:hideMark/>
          </w:tcPr>
          <w:p w14:paraId="75EA1EA4"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9.0%</w:t>
            </w:r>
          </w:p>
        </w:tc>
        <w:tc>
          <w:tcPr>
            <w:tcW w:w="1300" w:type="dxa"/>
            <w:shd w:val="clear" w:color="000000" w:fill="C0D981"/>
            <w:noWrap/>
            <w:hideMark/>
          </w:tcPr>
          <w:p w14:paraId="31A68313"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7.5%</w:t>
            </w:r>
          </w:p>
        </w:tc>
        <w:tc>
          <w:tcPr>
            <w:tcW w:w="1300" w:type="dxa"/>
            <w:shd w:val="clear" w:color="000000" w:fill="B7D780"/>
            <w:noWrap/>
            <w:hideMark/>
          </w:tcPr>
          <w:p w14:paraId="5BFF2F5D"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8.1%</w:t>
            </w:r>
          </w:p>
        </w:tc>
      </w:tr>
      <w:tr w:rsidR="00151DC1" w:rsidRPr="00FF4E93" w14:paraId="4515170F" w14:textId="77777777" w:rsidTr="00C54569">
        <w:trPr>
          <w:trHeight w:val="300"/>
        </w:trPr>
        <w:tc>
          <w:tcPr>
            <w:tcW w:w="2687" w:type="dxa"/>
            <w:shd w:val="clear" w:color="auto" w:fill="auto"/>
            <w:noWrap/>
            <w:hideMark/>
          </w:tcPr>
          <w:p w14:paraId="24A71F8B"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3A71D4F0"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Digitization</w:t>
            </w:r>
          </w:p>
        </w:tc>
        <w:tc>
          <w:tcPr>
            <w:tcW w:w="1300" w:type="dxa"/>
            <w:shd w:val="clear" w:color="auto" w:fill="auto"/>
            <w:noWrap/>
            <w:hideMark/>
          </w:tcPr>
          <w:p w14:paraId="3C02D2EE"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2.1%</w:t>
            </w:r>
          </w:p>
        </w:tc>
        <w:tc>
          <w:tcPr>
            <w:tcW w:w="1300" w:type="dxa"/>
            <w:shd w:val="clear" w:color="000000" w:fill="63BE7B"/>
            <w:noWrap/>
            <w:hideMark/>
          </w:tcPr>
          <w:p w14:paraId="5362C2D6"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14.0%</w:t>
            </w:r>
          </w:p>
        </w:tc>
        <w:tc>
          <w:tcPr>
            <w:tcW w:w="1300" w:type="dxa"/>
            <w:shd w:val="clear" w:color="000000" w:fill="DBE182"/>
            <w:noWrap/>
            <w:hideMark/>
          </w:tcPr>
          <w:p w14:paraId="0ED9656F"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5.6%</w:t>
            </w:r>
          </w:p>
        </w:tc>
      </w:tr>
      <w:tr w:rsidR="00151DC1" w:rsidRPr="00FF4E93" w14:paraId="397F23C8" w14:textId="77777777" w:rsidTr="00C54569">
        <w:trPr>
          <w:trHeight w:val="300"/>
        </w:trPr>
        <w:tc>
          <w:tcPr>
            <w:tcW w:w="2687" w:type="dxa"/>
            <w:shd w:val="clear" w:color="auto" w:fill="auto"/>
            <w:noWrap/>
            <w:hideMark/>
          </w:tcPr>
          <w:p w14:paraId="55227C14"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26FEFF1B"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Leverage Customer Data</w:t>
            </w:r>
          </w:p>
        </w:tc>
        <w:tc>
          <w:tcPr>
            <w:tcW w:w="1300" w:type="dxa"/>
            <w:shd w:val="clear" w:color="auto" w:fill="auto"/>
            <w:noWrap/>
            <w:hideMark/>
          </w:tcPr>
          <w:p w14:paraId="1F8D819B"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000000" w:fill="EAE583"/>
            <w:noWrap/>
            <w:hideMark/>
          </w:tcPr>
          <w:p w14:paraId="12B1E623"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4.5%</w:t>
            </w:r>
          </w:p>
        </w:tc>
        <w:tc>
          <w:tcPr>
            <w:tcW w:w="1300" w:type="dxa"/>
            <w:shd w:val="clear" w:color="000000" w:fill="7EC67D"/>
            <w:noWrap/>
            <w:hideMark/>
          </w:tcPr>
          <w:p w14:paraId="4DD6837D"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12.1%</w:t>
            </w:r>
          </w:p>
        </w:tc>
      </w:tr>
      <w:tr w:rsidR="00151DC1" w:rsidRPr="00FF4E93" w14:paraId="348FF315" w14:textId="77777777" w:rsidTr="00C54569">
        <w:trPr>
          <w:trHeight w:val="280"/>
        </w:trPr>
        <w:tc>
          <w:tcPr>
            <w:tcW w:w="2687" w:type="dxa"/>
            <w:shd w:val="clear" w:color="auto" w:fill="auto"/>
            <w:noWrap/>
            <w:hideMark/>
          </w:tcPr>
          <w:p w14:paraId="5D8C9389"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7504CD7A"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Direct Selling</w:t>
            </w:r>
          </w:p>
        </w:tc>
        <w:tc>
          <w:tcPr>
            <w:tcW w:w="1300" w:type="dxa"/>
            <w:shd w:val="clear" w:color="000000" w:fill="F3E884"/>
            <w:noWrap/>
            <w:hideMark/>
          </w:tcPr>
          <w:p w14:paraId="544BB1F0"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3.9%</w:t>
            </w:r>
          </w:p>
        </w:tc>
        <w:tc>
          <w:tcPr>
            <w:tcW w:w="1300" w:type="dxa"/>
            <w:shd w:val="clear" w:color="000000" w:fill="DCE182"/>
            <w:noWrap/>
            <w:hideMark/>
          </w:tcPr>
          <w:p w14:paraId="76F61E53"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5.5%</w:t>
            </w:r>
          </w:p>
        </w:tc>
        <w:tc>
          <w:tcPr>
            <w:tcW w:w="1300" w:type="dxa"/>
            <w:shd w:val="clear" w:color="000000" w:fill="BFD981"/>
            <w:noWrap/>
            <w:hideMark/>
          </w:tcPr>
          <w:p w14:paraId="5AF643B2"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7.6%</w:t>
            </w:r>
          </w:p>
        </w:tc>
      </w:tr>
      <w:tr w:rsidR="00151DC1" w:rsidRPr="00FF4E93" w14:paraId="0935A655" w14:textId="77777777" w:rsidTr="00C54569">
        <w:trPr>
          <w:trHeight w:val="320"/>
        </w:trPr>
        <w:tc>
          <w:tcPr>
            <w:tcW w:w="2687" w:type="dxa"/>
            <w:shd w:val="clear" w:color="auto" w:fill="auto"/>
            <w:noWrap/>
            <w:hideMark/>
          </w:tcPr>
          <w:p w14:paraId="116D4A4B"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28C7D4AC"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Virtualization</w:t>
            </w:r>
          </w:p>
        </w:tc>
        <w:tc>
          <w:tcPr>
            <w:tcW w:w="1300" w:type="dxa"/>
            <w:shd w:val="clear" w:color="auto" w:fill="auto"/>
            <w:noWrap/>
            <w:hideMark/>
          </w:tcPr>
          <w:p w14:paraId="15369185"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000000" w:fill="B1D580"/>
            <w:noWrap/>
            <w:hideMark/>
          </w:tcPr>
          <w:p w14:paraId="69795648"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8.5%</w:t>
            </w:r>
          </w:p>
        </w:tc>
        <w:tc>
          <w:tcPr>
            <w:tcW w:w="1300" w:type="dxa"/>
            <w:shd w:val="clear" w:color="000000" w:fill="CDDD82"/>
            <w:noWrap/>
            <w:hideMark/>
          </w:tcPr>
          <w:p w14:paraId="6EF0067C"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6.6%</w:t>
            </w:r>
          </w:p>
        </w:tc>
      </w:tr>
      <w:tr w:rsidR="00151DC1" w:rsidRPr="00FF4E93" w14:paraId="6413A0C8" w14:textId="77777777" w:rsidTr="00C54569">
        <w:trPr>
          <w:trHeight w:val="320"/>
        </w:trPr>
        <w:tc>
          <w:tcPr>
            <w:tcW w:w="2687" w:type="dxa"/>
            <w:shd w:val="clear" w:color="auto" w:fill="auto"/>
            <w:noWrap/>
            <w:hideMark/>
          </w:tcPr>
          <w:p w14:paraId="6A3AB1EA"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68C85032"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Integrator</w:t>
            </w:r>
          </w:p>
        </w:tc>
        <w:tc>
          <w:tcPr>
            <w:tcW w:w="1300" w:type="dxa"/>
            <w:shd w:val="clear" w:color="auto" w:fill="auto"/>
            <w:noWrap/>
            <w:hideMark/>
          </w:tcPr>
          <w:p w14:paraId="67B98779"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auto" w:fill="auto"/>
            <w:noWrap/>
            <w:hideMark/>
          </w:tcPr>
          <w:p w14:paraId="538F09B8"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000000" w:fill="8CCA7E"/>
            <w:noWrap/>
            <w:hideMark/>
          </w:tcPr>
          <w:p w14:paraId="3174ACBD"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11.1%</w:t>
            </w:r>
          </w:p>
        </w:tc>
      </w:tr>
      <w:tr w:rsidR="00151DC1" w:rsidRPr="00FF4E93" w14:paraId="6FCD2CD5" w14:textId="77777777" w:rsidTr="00C54569">
        <w:trPr>
          <w:trHeight w:val="300"/>
        </w:trPr>
        <w:tc>
          <w:tcPr>
            <w:tcW w:w="2687" w:type="dxa"/>
            <w:shd w:val="clear" w:color="auto" w:fill="auto"/>
            <w:noWrap/>
            <w:hideMark/>
          </w:tcPr>
          <w:p w14:paraId="600BF57E"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45D5BEA3"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Aikido</w:t>
            </w:r>
          </w:p>
        </w:tc>
        <w:tc>
          <w:tcPr>
            <w:tcW w:w="1300" w:type="dxa"/>
            <w:shd w:val="clear" w:color="auto" w:fill="auto"/>
            <w:noWrap/>
            <w:hideMark/>
          </w:tcPr>
          <w:p w14:paraId="33FF4137"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000000" w:fill="DCE182"/>
            <w:noWrap/>
            <w:hideMark/>
          </w:tcPr>
          <w:p w14:paraId="6275B831"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5.5%</w:t>
            </w:r>
          </w:p>
        </w:tc>
        <w:tc>
          <w:tcPr>
            <w:tcW w:w="1300" w:type="dxa"/>
            <w:shd w:val="clear" w:color="000000" w:fill="E2E383"/>
            <w:noWrap/>
            <w:hideMark/>
          </w:tcPr>
          <w:p w14:paraId="59280824"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5.1%</w:t>
            </w:r>
          </w:p>
        </w:tc>
      </w:tr>
      <w:tr w:rsidR="00151DC1" w:rsidRPr="00FF4E93" w14:paraId="4499E8C4" w14:textId="77777777" w:rsidTr="00C54569">
        <w:trPr>
          <w:trHeight w:val="300"/>
        </w:trPr>
        <w:tc>
          <w:tcPr>
            <w:tcW w:w="2687" w:type="dxa"/>
            <w:shd w:val="clear" w:color="auto" w:fill="auto"/>
            <w:noWrap/>
            <w:hideMark/>
          </w:tcPr>
          <w:p w14:paraId="2D3DECD4"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3BB347D3"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Sensor-as-a-Service</w:t>
            </w:r>
          </w:p>
        </w:tc>
        <w:tc>
          <w:tcPr>
            <w:tcW w:w="1300" w:type="dxa"/>
            <w:shd w:val="clear" w:color="auto" w:fill="auto"/>
            <w:noWrap/>
            <w:hideMark/>
          </w:tcPr>
          <w:p w14:paraId="67D73614"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auto" w:fill="auto"/>
            <w:noWrap/>
            <w:hideMark/>
          </w:tcPr>
          <w:p w14:paraId="46428198"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000000" w:fill="B7D780"/>
            <w:noWrap/>
            <w:hideMark/>
          </w:tcPr>
          <w:p w14:paraId="00728661"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8.1%</w:t>
            </w:r>
          </w:p>
        </w:tc>
      </w:tr>
      <w:tr w:rsidR="00151DC1" w:rsidRPr="00FF4E93" w14:paraId="28A7D78F" w14:textId="77777777" w:rsidTr="00C54569">
        <w:trPr>
          <w:trHeight w:val="280"/>
        </w:trPr>
        <w:tc>
          <w:tcPr>
            <w:tcW w:w="2687" w:type="dxa"/>
            <w:shd w:val="clear" w:color="auto" w:fill="auto"/>
            <w:noWrap/>
            <w:hideMark/>
          </w:tcPr>
          <w:p w14:paraId="5F838384"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53593BDD"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Two-sided Market</w:t>
            </w:r>
          </w:p>
        </w:tc>
        <w:tc>
          <w:tcPr>
            <w:tcW w:w="1300" w:type="dxa"/>
            <w:shd w:val="clear" w:color="auto" w:fill="auto"/>
            <w:noWrap/>
            <w:hideMark/>
          </w:tcPr>
          <w:p w14:paraId="215A701E"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000000" w:fill="E3E383"/>
            <w:noWrap/>
            <w:hideMark/>
          </w:tcPr>
          <w:p w14:paraId="258BF8C8"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5.0%</w:t>
            </w:r>
          </w:p>
        </w:tc>
        <w:tc>
          <w:tcPr>
            <w:tcW w:w="1300" w:type="dxa"/>
            <w:shd w:val="clear" w:color="auto" w:fill="auto"/>
            <w:noWrap/>
            <w:hideMark/>
          </w:tcPr>
          <w:p w14:paraId="05D3C7E2"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r>
    </w:tbl>
    <w:p w14:paraId="49784A67" w14:textId="77777777" w:rsidR="00151DC1" w:rsidRPr="00FF4E93" w:rsidRDefault="00151DC1" w:rsidP="00151DC1">
      <w:pPr>
        <w:spacing w:before="0" w:after="0" w:line="240" w:lineRule="auto"/>
        <w:jc w:val="left"/>
        <w:rPr>
          <w:rFonts w:eastAsia="Times New Roman"/>
          <w:sz w:val="26"/>
        </w:rPr>
      </w:pPr>
      <w:r w:rsidRPr="00FF4E93">
        <w:rPr>
          <w:rFonts w:eastAsia="Times New Roman"/>
          <w:sz w:val="26"/>
        </w:rPr>
        <w:br w:type="page"/>
      </w:r>
    </w:p>
    <w:p w14:paraId="26CB2CE8" w14:textId="77777777" w:rsidR="00151DC1" w:rsidRPr="00FF4E93" w:rsidRDefault="00151DC1" w:rsidP="00151DC1">
      <w:pPr>
        <w:spacing w:after="0"/>
        <w:rPr>
          <w:rFonts w:eastAsia="Times New Roman"/>
          <w:i/>
          <w:sz w:val="26"/>
        </w:rPr>
      </w:pPr>
      <w:r w:rsidRPr="00FF4E93">
        <w:rPr>
          <w:rFonts w:eastAsia="Times New Roman"/>
          <w:i/>
          <w:sz w:val="26"/>
        </w:rPr>
        <w:lastRenderedPageBreak/>
        <w:t>Subscription (Add-on)</w:t>
      </w:r>
    </w:p>
    <w:p w14:paraId="5B8691CD" w14:textId="77777777" w:rsidR="00151DC1" w:rsidRPr="00FF4E93" w:rsidRDefault="00151DC1" w:rsidP="00151DC1">
      <w:pPr>
        <w:spacing w:after="0"/>
        <w:rPr>
          <w:rFonts w:eastAsia="Times New Roman"/>
          <w:sz w:val="26"/>
        </w:rPr>
      </w:pPr>
      <w:r w:rsidRPr="00FF4E93">
        <w:rPr>
          <w:rFonts w:eastAsia="Times New Roman"/>
          <w:sz w:val="26"/>
        </w:rPr>
        <w:t xml:space="preserve">Under the </w:t>
      </w:r>
      <w:r w:rsidRPr="00FF4E93">
        <w:rPr>
          <w:rFonts w:eastAsia="Times New Roman"/>
          <w:i/>
          <w:sz w:val="26"/>
        </w:rPr>
        <w:t xml:space="preserve">Subscription </w:t>
      </w:r>
      <w:r w:rsidRPr="00FF4E93">
        <w:rPr>
          <w:rFonts w:eastAsia="Times New Roman"/>
          <w:sz w:val="26"/>
        </w:rPr>
        <w:t xml:space="preserve">pattern, businesses enter into a service agreement with their clients, determining the scope and length of service provision (Gassmann </w:t>
      </w:r>
      <w:r w:rsidRPr="00FF4E93">
        <w:rPr>
          <w:rFonts w:eastAsia="Times New Roman"/>
          <w:i/>
          <w:sz w:val="26"/>
        </w:rPr>
        <w:t xml:space="preserve">et al., </w:t>
      </w:r>
      <w:r w:rsidRPr="00FF4E93">
        <w:rPr>
          <w:rFonts w:eastAsia="Times New Roman"/>
          <w:sz w:val="26"/>
        </w:rPr>
        <w:t xml:space="preserve">2016). In conjunction with the </w:t>
      </w:r>
      <w:r w:rsidRPr="00FF4E93">
        <w:rPr>
          <w:rFonts w:eastAsia="Times New Roman"/>
          <w:i/>
          <w:sz w:val="26"/>
        </w:rPr>
        <w:t xml:space="preserve">foundation, </w:t>
      </w:r>
      <w:r w:rsidRPr="00FF4E93">
        <w:rPr>
          <w:rFonts w:eastAsia="Times New Roman"/>
          <w:sz w:val="26"/>
        </w:rPr>
        <w:t xml:space="preserve">subscription pricing allows firms to offer demand-actuated value by offering a range (most often three) of options which differ in pricing. Even more important, the subscription model often is used for the bundling of a complex technical solution and the adjacent services into an easily structured package (for instance through software-as-a-service mechanisms). In this way, subscription pricing often is a key enabler for the </w:t>
      </w:r>
      <w:r w:rsidRPr="00FF4E93">
        <w:rPr>
          <w:rFonts w:eastAsia="Times New Roman"/>
          <w:i/>
          <w:sz w:val="26"/>
        </w:rPr>
        <w:t xml:space="preserve">Solution Provider </w:t>
      </w:r>
      <w:r w:rsidRPr="00FF4E93">
        <w:rPr>
          <w:rFonts w:eastAsia="Times New Roman"/>
          <w:sz w:val="26"/>
        </w:rPr>
        <w:t xml:space="preserve">add-on. Lastly, it also represents an optimal way of allowing customers to test a product for limited time without any enormous upfront costs. This is of particular value for </w:t>
      </w:r>
      <w:r w:rsidRPr="00FF4E93">
        <w:rPr>
          <w:rFonts w:eastAsia="Times New Roman"/>
          <w:i/>
          <w:sz w:val="26"/>
        </w:rPr>
        <w:t xml:space="preserve">Layer Players </w:t>
      </w:r>
      <w:r w:rsidRPr="00FF4E93">
        <w:rPr>
          <w:rFonts w:eastAsia="Times New Roman"/>
          <w:sz w:val="26"/>
        </w:rPr>
        <w:t xml:space="preserve">who are facing the challenging task of convincing potential clients from a variety of distinct industries. Typically, word-of-mouth effects are crucial for the diffusion of major technological innovations: early adopters play an opinion leadership role and provide word-of-mouth to others within their networks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{"citationItems":[{"id":"ITEM-1","itemData":{"author":[{"dropping-particle":"","family":"Czepiel","given":"John A.","non-dropping-particle":"","parse-names":false,"suffix":""}],"container-title":"Journal of Marketing Research","id":"ITEM-1","issue":"2","issued":{"date-parts":[["1974"]]},"page":"172-180","title":"Word-of-Mouth Processes in the Diffusion of a Major Technological Innovation Author(s):","type":"article-journal","volume":"11"},"uris":["http://www.mendeley.com/documents/?uuid=786ca557-ac8b-4512-8e97-85b6fc39b910"]}],"mendeley":{"formattedCitation":"(Czepiel, 1974)","plainTextFormattedCitation":"(Czepiel, 1974)","previouslyFormattedCitation":"(Czepiel, 1974)"},"properties":{"noteIndex":0},"schema":"https://github.com/citation-style-language/schema/raw/master/csl-citation.json"}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(Czepiel, 1974)</w:t>
      </w:r>
      <w:r w:rsidRPr="00FF4E93">
        <w:rPr>
          <w:rFonts w:eastAsia="Times New Roman"/>
          <w:sz w:val="26"/>
        </w:rPr>
        <w:fldChar w:fldCharType="end"/>
      </w:r>
      <w:r w:rsidRPr="00FF4E93">
        <w:rPr>
          <w:rFonts w:eastAsia="Times New Roman"/>
          <w:sz w:val="26"/>
        </w:rPr>
        <w:t xml:space="preserve">. </w:t>
      </w:r>
      <w:r w:rsidRPr="00FF4E93">
        <w:rPr>
          <w:rFonts w:eastAsia="Times New Roman"/>
          <w:i/>
          <w:sz w:val="26"/>
        </w:rPr>
        <w:t xml:space="preserve">Layer Players, </w:t>
      </w:r>
      <w:r w:rsidRPr="00FF4E93">
        <w:rPr>
          <w:rFonts w:eastAsia="Times New Roman"/>
          <w:sz w:val="26"/>
        </w:rPr>
        <w:t xml:space="preserve">however, need to find early adopters in different, often unrelated networks inhibiting word-of-mouth effects. Subscription-based test phases are implemented to facilitate the process of spreading the own technology and products. </w:t>
      </w:r>
    </w:p>
    <w:p w14:paraId="5494574A" w14:textId="77777777" w:rsidR="00151DC1" w:rsidRPr="00FF4E93" w:rsidRDefault="00151DC1" w:rsidP="00151DC1">
      <w:pPr>
        <w:spacing w:after="0"/>
        <w:rPr>
          <w:rFonts w:eastAsia="Times New Roman"/>
          <w:sz w:val="26"/>
        </w:rPr>
      </w:pPr>
      <w:r w:rsidRPr="00FF4E93">
        <w:rPr>
          <w:rFonts w:eastAsia="Times New Roman"/>
          <w:sz w:val="26"/>
        </w:rPr>
        <w:t xml:space="preserve">The </w:t>
      </w:r>
      <w:r w:rsidRPr="00FF4E93">
        <w:rPr>
          <w:rFonts w:eastAsia="Times New Roman"/>
          <w:i/>
          <w:sz w:val="26"/>
        </w:rPr>
        <w:t>Subscription</w:t>
      </w:r>
      <w:r w:rsidRPr="00FF4E93">
        <w:rPr>
          <w:rFonts w:eastAsia="Times New Roman"/>
          <w:sz w:val="26"/>
        </w:rPr>
        <w:t xml:space="preserve"> variation of Configuration 1 is found across all domains. The implementation of the pattern is differentiated in several dimensions, including the billing terms (annual vs. monthly; in advance vs. in arrears), the number of service packages offered (one-fits-all vs. demand-actuated options), whether a free trial is offered or not, and others. </w:t>
      </w:r>
      <w:proofErr w:type="spellStart"/>
      <w:r w:rsidRPr="00FF4E93">
        <w:rPr>
          <w:rFonts w:eastAsia="Times New Roman"/>
          <w:i/>
          <w:sz w:val="26"/>
        </w:rPr>
        <w:t>Zeitgold</w:t>
      </w:r>
      <w:proofErr w:type="spellEnd"/>
      <w:r w:rsidRPr="00FF4E93">
        <w:rPr>
          <w:rFonts w:eastAsia="Times New Roman"/>
          <w:i/>
          <w:sz w:val="26"/>
        </w:rPr>
        <w:t xml:space="preserve">, </w:t>
      </w:r>
      <w:r w:rsidRPr="00FF4E93">
        <w:rPr>
          <w:rFonts w:eastAsia="Times New Roman"/>
          <w:sz w:val="26"/>
        </w:rPr>
        <w:t xml:space="preserve">offering an AI-based financial solution, offers a monthly subscription to its services. The AR/VR Silicon Valley startup </w:t>
      </w:r>
      <w:r w:rsidRPr="00FF4E93">
        <w:rPr>
          <w:rFonts w:eastAsia="Times New Roman"/>
          <w:i/>
          <w:sz w:val="26"/>
        </w:rPr>
        <w:t>Matterport</w:t>
      </w:r>
      <w:r w:rsidRPr="00FF4E93">
        <w:rPr>
          <w:rFonts w:eastAsia="Times New Roman"/>
          <w:sz w:val="26"/>
        </w:rPr>
        <w:t xml:space="preserve"> has users subscribe for access to its service and cloud storage. They highlight that based on their requirements, users can adjust their plan at any time. The subscription options offered by drone company </w:t>
      </w:r>
      <w:proofErr w:type="spellStart"/>
      <w:r w:rsidRPr="00FF4E93">
        <w:rPr>
          <w:rFonts w:eastAsia="Times New Roman"/>
          <w:i/>
          <w:sz w:val="26"/>
        </w:rPr>
        <w:t>SwiftNavigation</w:t>
      </w:r>
      <w:proofErr w:type="spellEnd"/>
      <w:r w:rsidRPr="00FF4E93">
        <w:rPr>
          <w:rFonts w:eastAsia="Times New Roman"/>
          <w:i/>
          <w:sz w:val="26"/>
        </w:rPr>
        <w:t xml:space="preserve"> </w:t>
      </w:r>
      <w:r w:rsidRPr="00FF4E93">
        <w:rPr>
          <w:rFonts w:eastAsia="Times New Roman"/>
          <w:sz w:val="26"/>
        </w:rPr>
        <w:t>illustrate the advantage of the pattern to offer flexible and highly demand-actuated value.</w:t>
      </w:r>
    </w:p>
    <w:p w14:paraId="59E58859" w14:textId="77777777" w:rsidR="00151DC1" w:rsidRPr="00FF4E93" w:rsidRDefault="00151DC1" w:rsidP="00151DC1">
      <w:pPr>
        <w:spacing w:before="200" w:after="160"/>
        <w:ind w:left="864" w:right="864"/>
        <w:rPr>
          <w:rFonts w:eastAsia="Times New Roman"/>
          <w:i/>
          <w:iCs/>
          <w:color w:val="000000"/>
          <w:sz w:val="26"/>
        </w:rPr>
      </w:pPr>
      <w:r w:rsidRPr="00FF4E93">
        <w:rPr>
          <w:rFonts w:eastAsia="Times New Roman"/>
          <w:i/>
          <w:iCs/>
          <w:color w:val="000000"/>
          <w:sz w:val="26"/>
        </w:rPr>
        <w:t>“The service maintains low bandwidth to save on data costs and is offered with a free 30 day trial and flexible pricing plans. Skylark’s pricing structure includes a monthly plan and an annual plan. Enterprise pricing is available for volume orders.”</w:t>
      </w:r>
    </w:p>
    <w:p w14:paraId="55ACAFB3" w14:textId="77777777" w:rsidR="00151DC1" w:rsidRPr="00FF4E93" w:rsidRDefault="00151DC1" w:rsidP="00151DC1">
      <w:pPr>
        <w:spacing w:before="0" w:after="0" w:line="240" w:lineRule="auto"/>
        <w:jc w:val="left"/>
        <w:rPr>
          <w:rFonts w:eastAsia="Times New Roman"/>
          <w:i/>
          <w:iCs/>
          <w:color w:val="000000"/>
          <w:sz w:val="26"/>
        </w:rPr>
      </w:pPr>
      <w:r w:rsidRPr="00FF4E93">
        <w:rPr>
          <w:rFonts w:eastAsia="Times New Roman"/>
          <w:sz w:val="26"/>
        </w:rPr>
        <w:br w:type="page"/>
      </w:r>
    </w:p>
    <w:p w14:paraId="5CDD390C" w14:textId="77777777" w:rsidR="00151DC1" w:rsidRPr="00FF4E93" w:rsidRDefault="00151DC1" w:rsidP="00151DC1">
      <w:pPr>
        <w:spacing w:after="0"/>
        <w:rPr>
          <w:rFonts w:eastAsia="Times New Roman"/>
          <w:i/>
          <w:sz w:val="26"/>
        </w:rPr>
      </w:pPr>
      <w:r w:rsidRPr="00FF4E93">
        <w:rPr>
          <w:rFonts w:eastAsia="Times New Roman"/>
          <w:i/>
          <w:sz w:val="26"/>
        </w:rPr>
        <w:lastRenderedPageBreak/>
        <w:t>Direct Selling (Add-on)</w:t>
      </w:r>
    </w:p>
    <w:p w14:paraId="2DE26517" w14:textId="77777777" w:rsidR="00151DC1" w:rsidRPr="00FF4E93" w:rsidRDefault="00151DC1" w:rsidP="00151DC1">
      <w:pPr>
        <w:spacing w:after="0"/>
        <w:rPr>
          <w:rFonts w:eastAsia="Times New Roman"/>
          <w:sz w:val="26"/>
        </w:rPr>
      </w:pPr>
      <w:r w:rsidRPr="00FF4E93">
        <w:rPr>
          <w:rFonts w:eastAsia="Times New Roman"/>
          <w:sz w:val="26"/>
        </w:rPr>
        <w:t xml:space="preserve">Another </w:t>
      </w:r>
      <w:r w:rsidRPr="00FF4E93">
        <w:rPr>
          <w:rFonts w:eastAsia="Times New Roman"/>
          <w:i/>
          <w:sz w:val="26"/>
        </w:rPr>
        <w:t xml:space="preserve">Add-On </w:t>
      </w:r>
      <w:r w:rsidRPr="00FF4E93">
        <w:rPr>
          <w:rFonts w:eastAsia="Times New Roman"/>
          <w:sz w:val="26"/>
        </w:rPr>
        <w:t xml:space="preserve">that is commonly observed across all three samples (frequently also in combination with a </w:t>
      </w:r>
      <w:r w:rsidRPr="00FF4E93">
        <w:rPr>
          <w:rFonts w:eastAsia="Times New Roman"/>
          <w:i/>
          <w:sz w:val="26"/>
        </w:rPr>
        <w:t xml:space="preserve">Subscription </w:t>
      </w:r>
      <w:r w:rsidRPr="00FF4E93">
        <w:rPr>
          <w:rFonts w:eastAsia="Times New Roman"/>
          <w:sz w:val="26"/>
        </w:rPr>
        <w:t xml:space="preserve">pricing model), is the </w:t>
      </w:r>
      <w:r w:rsidRPr="00FF4E93">
        <w:rPr>
          <w:rFonts w:eastAsia="Times New Roman"/>
          <w:i/>
          <w:sz w:val="26"/>
        </w:rPr>
        <w:t xml:space="preserve">Direct Selling </w:t>
      </w:r>
      <w:r w:rsidRPr="00FF4E93">
        <w:rPr>
          <w:rFonts w:eastAsia="Times New Roman"/>
          <w:sz w:val="26"/>
        </w:rPr>
        <w:t xml:space="preserve">pattern. Defined as a sale without intermediary (Gassmann </w:t>
      </w:r>
      <w:r w:rsidRPr="00FF4E93">
        <w:rPr>
          <w:rFonts w:eastAsia="Times New Roman"/>
          <w:i/>
          <w:sz w:val="26"/>
        </w:rPr>
        <w:t xml:space="preserve">et al., </w:t>
      </w:r>
      <w:r w:rsidRPr="00FF4E93">
        <w:rPr>
          <w:rFonts w:eastAsia="Times New Roman"/>
          <w:sz w:val="26"/>
        </w:rPr>
        <w:t xml:space="preserve">2016), the pattern enables close customer contact and a more personal experience. This is critical for the sophisticated technology products typically offered by companies using configuration 1. Our analysis revealed that in emerging technology domains, companies often focus on very specific applications of a technology and mostly serve enterprise clients (B2B). For that reason, the </w:t>
      </w:r>
      <w:r w:rsidRPr="00FF4E93">
        <w:rPr>
          <w:rFonts w:eastAsia="Times New Roman"/>
          <w:i/>
          <w:sz w:val="26"/>
        </w:rPr>
        <w:t xml:space="preserve">Direct Sales </w:t>
      </w:r>
      <w:r w:rsidRPr="00FF4E93">
        <w:rPr>
          <w:rFonts w:eastAsia="Times New Roman"/>
          <w:sz w:val="26"/>
        </w:rPr>
        <w:t xml:space="preserve">add-on is an ideal fit as it allows the firms to directly share their technical know-how with potential clients. </w:t>
      </w:r>
    </w:p>
    <w:p w14:paraId="614CF420" w14:textId="77777777" w:rsidR="00151DC1" w:rsidRPr="00FF4E93" w:rsidRDefault="00151DC1" w:rsidP="00151DC1">
      <w:pPr>
        <w:spacing w:after="0"/>
        <w:rPr>
          <w:rFonts w:eastAsia="Times New Roman"/>
          <w:sz w:val="26"/>
        </w:rPr>
      </w:pPr>
      <w:proofErr w:type="spellStart"/>
      <w:r w:rsidRPr="00FF4E93">
        <w:rPr>
          <w:rFonts w:eastAsia="Times New Roman"/>
          <w:i/>
          <w:sz w:val="26"/>
        </w:rPr>
        <w:t>Zeitgold</w:t>
      </w:r>
      <w:proofErr w:type="spellEnd"/>
      <w:r w:rsidRPr="00FF4E93">
        <w:rPr>
          <w:rFonts w:eastAsia="Times New Roman"/>
          <w:i/>
          <w:sz w:val="26"/>
        </w:rPr>
        <w:t xml:space="preserve"> </w:t>
      </w:r>
      <w:r w:rsidRPr="00FF4E93">
        <w:rPr>
          <w:rFonts w:eastAsia="Times New Roman"/>
          <w:sz w:val="26"/>
        </w:rPr>
        <w:t xml:space="preserve">is applying the pattern by selling directly through its website. Customers can request a demo or reach out to be contacted by a sales representative. </w:t>
      </w:r>
      <w:r w:rsidRPr="00FF4E93">
        <w:rPr>
          <w:rFonts w:eastAsia="Times New Roman"/>
          <w:i/>
          <w:sz w:val="26"/>
        </w:rPr>
        <w:t>Clear Flight Solutions</w:t>
      </w:r>
      <w:r w:rsidRPr="00FF4E93">
        <w:rPr>
          <w:rFonts w:eastAsia="Times New Roman"/>
          <w:sz w:val="26"/>
        </w:rPr>
        <w:t xml:space="preserve">, active in the drone domain, takes an even more customized approach. As the company is active in a very niche market (leveraging drones for effective bird control), </w:t>
      </w:r>
      <w:r w:rsidRPr="00FF4E93">
        <w:rPr>
          <w:rFonts w:eastAsia="Times New Roman"/>
          <w:i/>
          <w:sz w:val="26"/>
        </w:rPr>
        <w:t xml:space="preserve">Clear Flight Solutions </w:t>
      </w:r>
      <w:r w:rsidRPr="00FF4E93">
        <w:rPr>
          <w:rFonts w:eastAsia="Times New Roman"/>
          <w:sz w:val="26"/>
        </w:rPr>
        <w:t xml:space="preserve">is not selling its hardware but instead provides clients with a tailored service, executed by a firm representative. This approach is beneficial for clients insofar, as they are not required to commit a substantial investment for procuring drones themselves but can instead rely on the expertise of a service provider. Consequently, </w:t>
      </w:r>
      <w:r w:rsidRPr="00FF4E93">
        <w:rPr>
          <w:rFonts w:eastAsia="Times New Roman"/>
          <w:i/>
          <w:sz w:val="26"/>
        </w:rPr>
        <w:t>Clear Flight Solutions</w:t>
      </w:r>
      <w:r w:rsidRPr="00FF4E93">
        <w:rPr>
          <w:rFonts w:eastAsia="Times New Roman"/>
          <w:sz w:val="26"/>
        </w:rPr>
        <w:t xml:space="preserve"> initiates the sales process by asking interested potential clients to proactively get in touch.</w:t>
      </w:r>
    </w:p>
    <w:p w14:paraId="603E687C" w14:textId="77777777" w:rsidR="00151DC1" w:rsidRPr="00FF4E93" w:rsidRDefault="00151DC1" w:rsidP="00151DC1">
      <w:pPr>
        <w:spacing w:after="0"/>
        <w:rPr>
          <w:rFonts w:eastAsia="Times New Roman"/>
          <w:i/>
          <w:sz w:val="26"/>
        </w:rPr>
      </w:pPr>
      <w:r w:rsidRPr="00FF4E93">
        <w:rPr>
          <w:rFonts w:eastAsia="Times New Roman"/>
          <w:i/>
          <w:sz w:val="26"/>
        </w:rPr>
        <w:t>Integrator (Add-on)</w:t>
      </w:r>
    </w:p>
    <w:p w14:paraId="553B365C" w14:textId="77777777" w:rsidR="00151DC1" w:rsidRPr="00FF4E93" w:rsidRDefault="00151DC1" w:rsidP="00151DC1">
      <w:pPr>
        <w:spacing w:after="0"/>
        <w:rPr>
          <w:rFonts w:eastAsia="Times New Roman"/>
          <w:color w:val="000000"/>
          <w:sz w:val="26"/>
        </w:rPr>
      </w:pPr>
      <w:r w:rsidRPr="00FF4E93">
        <w:rPr>
          <w:rFonts w:eastAsia="Times New Roman"/>
          <w:color w:val="000000"/>
          <w:sz w:val="26"/>
        </w:rPr>
        <w:t>While the previous variants</w:t>
      </w:r>
      <w:r w:rsidRPr="00FF4E93">
        <w:rPr>
          <w:rFonts w:eastAsia="Times New Roman"/>
          <w:i/>
          <w:color w:val="000000"/>
          <w:sz w:val="26"/>
        </w:rPr>
        <w:t xml:space="preserve"> </w:t>
      </w:r>
      <w:r w:rsidRPr="00FF4E93">
        <w:rPr>
          <w:rFonts w:eastAsia="Times New Roman"/>
          <w:color w:val="000000"/>
          <w:sz w:val="26"/>
        </w:rPr>
        <w:t xml:space="preserve">are found across technology domains, the </w:t>
      </w:r>
      <w:r w:rsidRPr="00FF4E93">
        <w:rPr>
          <w:rFonts w:eastAsia="Times New Roman"/>
          <w:i/>
          <w:color w:val="000000"/>
          <w:sz w:val="26"/>
        </w:rPr>
        <w:t xml:space="preserve">Integrator </w:t>
      </w:r>
      <w:r w:rsidRPr="00FF4E93">
        <w:rPr>
          <w:rFonts w:eastAsia="Times New Roman"/>
          <w:color w:val="000000"/>
          <w:sz w:val="26"/>
        </w:rPr>
        <w:t xml:space="preserve">pattern (which refers to a strategy of controlling most parts of the value chain without depending on external suppliers) is rather industry-specific as it is dominantly found at firms in the drone sector. Our analysis revealed that this is mostly due to the fact that those drone-tech players, which are developing highly particular solutions with niche applications </w:t>
      </w:r>
      <w:r w:rsidRPr="00FF4E93">
        <w:rPr>
          <w:rFonts w:eastAsia="Times New Roman"/>
          <w:i/>
          <w:color w:val="000000"/>
          <w:sz w:val="26"/>
        </w:rPr>
        <w:t xml:space="preserve">(Solution Provider; Layer Player), </w:t>
      </w:r>
      <w:r w:rsidRPr="00FF4E93">
        <w:rPr>
          <w:rFonts w:eastAsia="Times New Roman"/>
          <w:color w:val="000000"/>
          <w:sz w:val="26"/>
        </w:rPr>
        <w:t xml:space="preserve">are using very specific resources and capabilities. Since these are usually not commonly available on the market, outsourcing is difficult and thus, those startups bank on full in-house development. Examples are </w:t>
      </w:r>
      <w:r w:rsidRPr="00FF4E93">
        <w:rPr>
          <w:rFonts w:eastAsia="Times New Roman"/>
          <w:i/>
          <w:color w:val="000000"/>
          <w:sz w:val="26"/>
        </w:rPr>
        <w:t xml:space="preserve">Inertial Sense, </w:t>
      </w:r>
      <w:r w:rsidRPr="00FF4E93">
        <w:rPr>
          <w:rFonts w:eastAsia="Times New Roman"/>
          <w:color w:val="000000"/>
          <w:sz w:val="26"/>
        </w:rPr>
        <w:t xml:space="preserve">which applies the </w:t>
      </w:r>
      <w:r w:rsidRPr="00FF4E93">
        <w:rPr>
          <w:rFonts w:eastAsia="Times New Roman"/>
          <w:i/>
          <w:color w:val="000000"/>
          <w:sz w:val="26"/>
        </w:rPr>
        <w:t xml:space="preserve">Integrator </w:t>
      </w:r>
      <w:r w:rsidRPr="00FF4E93">
        <w:rPr>
          <w:rFonts w:eastAsia="Times New Roman"/>
          <w:color w:val="000000"/>
          <w:sz w:val="26"/>
        </w:rPr>
        <w:t xml:space="preserve">pattern to offer an extraordinarily small, low cost precision GPS solution for drones, or also </w:t>
      </w:r>
      <w:proofErr w:type="spellStart"/>
      <w:r w:rsidRPr="00FF4E93">
        <w:rPr>
          <w:rFonts w:eastAsia="Times New Roman"/>
          <w:i/>
          <w:color w:val="000000"/>
          <w:sz w:val="26"/>
        </w:rPr>
        <w:t>Elistair</w:t>
      </w:r>
      <w:proofErr w:type="spellEnd"/>
      <w:r w:rsidRPr="00FF4E93">
        <w:rPr>
          <w:rFonts w:eastAsia="Times New Roman"/>
          <w:i/>
          <w:color w:val="000000"/>
          <w:sz w:val="26"/>
        </w:rPr>
        <w:t xml:space="preserve">, </w:t>
      </w:r>
      <w:r w:rsidRPr="00FF4E93">
        <w:rPr>
          <w:rFonts w:eastAsia="Times New Roman"/>
          <w:color w:val="000000"/>
          <w:sz w:val="26"/>
        </w:rPr>
        <w:t xml:space="preserve">developing a </w:t>
      </w:r>
      <w:r w:rsidRPr="00FF4E93">
        <w:rPr>
          <w:rFonts w:eastAsia="Times New Roman"/>
          <w:i/>
          <w:color w:val="000000"/>
          <w:sz w:val="26"/>
        </w:rPr>
        <w:t xml:space="preserve">“fully automated, powerful and highly portable tethered drone system”. Drone Delivery Canada </w:t>
      </w:r>
      <w:r w:rsidRPr="00FF4E93">
        <w:rPr>
          <w:rFonts w:eastAsia="Times New Roman"/>
          <w:color w:val="000000"/>
          <w:sz w:val="26"/>
        </w:rPr>
        <w:t>exemplifies how an integrated value chain set-up can look like, controlling the entire process from research and development over design to implementation:</w:t>
      </w:r>
    </w:p>
    <w:p w14:paraId="5BA1550A" w14:textId="77777777" w:rsidR="00151DC1" w:rsidRPr="00FF4E93" w:rsidRDefault="00151DC1" w:rsidP="00151DC1">
      <w:pPr>
        <w:spacing w:before="0" w:after="0" w:line="240" w:lineRule="auto"/>
        <w:jc w:val="left"/>
        <w:rPr>
          <w:rFonts w:eastAsia="Times New Roman"/>
          <w:color w:val="000000"/>
          <w:sz w:val="26"/>
        </w:rPr>
      </w:pPr>
      <w:r w:rsidRPr="00FF4E93">
        <w:rPr>
          <w:rFonts w:eastAsia="Times New Roman"/>
          <w:color w:val="000000"/>
          <w:sz w:val="26"/>
        </w:rPr>
        <w:br w:type="page"/>
      </w:r>
    </w:p>
    <w:p w14:paraId="574856DE" w14:textId="77777777" w:rsidR="00151DC1" w:rsidRPr="00FF4E93" w:rsidRDefault="00151DC1" w:rsidP="00151DC1">
      <w:pPr>
        <w:spacing w:before="200" w:after="160"/>
        <w:ind w:left="864" w:right="864"/>
        <w:rPr>
          <w:rFonts w:eastAsia="Times New Roman"/>
          <w:i/>
          <w:iCs/>
          <w:color w:val="404040"/>
          <w:sz w:val="26"/>
        </w:rPr>
      </w:pPr>
      <w:r w:rsidRPr="00FF4E93">
        <w:rPr>
          <w:rFonts w:eastAsia="Times New Roman"/>
          <w:i/>
          <w:iCs/>
          <w:color w:val="000000"/>
          <w:sz w:val="26"/>
        </w:rPr>
        <w:lastRenderedPageBreak/>
        <w:t xml:space="preserve"> “Drone Delivery Canada is a pioneering technology firm […] with a focus on designing, developing and implementing a commercially viable drone delivery system […]. Our R&amp;D group is integrating next generation Super Materials into our delivery drone designs which include Graphene and Carbon </w:t>
      </w:r>
      <w:proofErr w:type="spellStart"/>
      <w:r w:rsidRPr="00FF4E93">
        <w:rPr>
          <w:rFonts w:eastAsia="Times New Roman"/>
          <w:i/>
          <w:iCs/>
          <w:color w:val="000000"/>
          <w:sz w:val="26"/>
        </w:rPr>
        <w:t>Fiber</w:t>
      </w:r>
      <w:proofErr w:type="spellEnd"/>
      <w:r w:rsidRPr="00FF4E93">
        <w:rPr>
          <w:rFonts w:eastAsia="Times New Roman"/>
          <w:i/>
          <w:iCs/>
          <w:color w:val="000000"/>
          <w:sz w:val="26"/>
        </w:rPr>
        <w:t>. Our prototyping and design platform also utilizes 3D Printing systems to expedite concept design.”</w:t>
      </w:r>
    </w:p>
    <w:p w14:paraId="0D39749E" w14:textId="77777777" w:rsidR="00151DC1" w:rsidRPr="00FF4E93" w:rsidRDefault="00151DC1" w:rsidP="00151DC1">
      <w:pPr>
        <w:spacing w:after="0"/>
        <w:rPr>
          <w:rFonts w:eastAsia="Times New Roman"/>
          <w:i/>
          <w:color w:val="000000"/>
          <w:sz w:val="26"/>
        </w:rPr>
      </w:pPr>
      <w:r w:rsidRPr="00FF4E93">
        <w:rPr>
          <w:rFonts w:eastAsia="Times New Roman"/>
          <w:i/>
          <w:color w:val="000000"/>
          <w:sz w:val="26"/>
        </w:rPr>
        <w:t>Two-sided market</w:t>
      </w:r>
      <w:r w:rsidRPr="00FF4E93">
        <w:rPr>
          <w:rFonts w:eastAsia="Times New Roman"/>
          <w:i/>
          <w:sz w:val="26"/>
        </w:rPr>
        <w:t xml:space="preserve"> (Add-on)</w:t>
      </w:r>
    </w:p>
    <w:p w14:paraId="703B8F70" w14:textId="77777777" w:rsidR="00151DC1" w:rsidRPr="00FF4E93" w:rsidRDefault="00151DC1" w:rsidP="00151DC1">
      <w:pPr>
        <w:spacing w:after="0"/>
        <w:rPr>
          <w:rFonts w:eastAsia="Times New Roman"/>
          <w:i/>
          <w:color w:val="000000"/>
          <w:sz w:val="26"/>
        </w:rPr>
      </w:pPr>
      <w:r w:rsidRPr="00FF4E93">
        <w:rPr>
          <w:rFonts w:eastAsia="Times New Roman"/>
          <w:color w:val="000000"/>
          <w:sz w:val="26"/>
        </w:rPr>
        <w:t xml:space="preserve">Another industry-specific variant, found only in the AR/VR sample, is the combination with the </w:t>
      </w:r>
      <w:r w:rsidRPr="00FF4E93">
        <w:rPr>
          <w:rFonts w:eastAsia="Times New Roman"/>
          <w:i/>
          <w:color w:val="000000"/>
          <w:sz w:val="26"/>
        </w:rPr>
        <w:t xml:space="preserve">Two-sided market </w:t>
      </w:r>
      <w:r w:rsidRPr="00FF4E93">
        <w:rPr>
          <w:rFonts w:eastAsia="Times New Roman"/>
          <w:color w:val="000000"/>
          <w:sz w:val="26"/>
        </w:rPr>
        <w:t xml:space="preserve">pattern. In line with the general development that today oftentimes </w:t>
      </w:r>
      <w:r w:rsidRPr="00FF4E93">
        <w:rPr>
          <w:rFonts w:eastAsia="Times New Roman"/>
          <w:i/>
          <w:color w:val="000000"/>
          <w:sz w:val="26"/>
        </w:rPr>
        <w:t>“traditional one-on-one models no longer suffice to compete in the market successfully”</w:t>
      </w:r>
      <w:r w:rsidRPr="00FF4E93">
        <w:rPr>
          <w:rFonts w:eastAsia="Times New Roman"/>
          <w:color w:val="000000"/>
          <w:sz w:val="26"/>
        </w:rPr>
        <w:t xml:space="preserve"> (</w:t>
      </w:r>
      <w:r w:rsidRPr="00FF4E93">
        <w:rPr>
          <w:rFonts w:eastAsia="Times New Roman"/>
          <w:sz w:val="26"/>
        </w:rPr>
        <w:t xml:space="preserve">Gassmann </w:t>
      </w:r>
      <w:r w:rsidRPr="00FF4E93">
        <w:rPr>
          <w:rFonts w:eastAsia="Times New Roman"/>
          <w:i/>
          <w:sz w:val="26"/>
        </w:rPr>
        <w:t xml:space="preserve">et al., </w:t>
      </w:r>
      <w:r w:rsidRPr="00FF4E93">
        <w:rPr>
          <w:rFonts w:eastAsia="Times New Roman"/>
          <w:sz w:val="26"/>
        </w:rPr>
        <w:t>2016, p. 324</w:t>
      </w:r>
      <w:r w:rsidRPr="00FF4E93">
        <w:rPr>
          <w:rFonts w:eastAsia="Times New Roman"/>
          <w:color w:val="000000"/>
          <w:sz w:val="26"/>
        </w:rPr>
        <w:t xml:space="preserve">), this variant is centred around the idea of offering a fully integrated solution that connects relevant stakeholders. For AR/VR technology, this can be frequently observed for businesses which provide advertisement- and monetization platforms, such as the 2015 founded US startup </w:t>
      </w:r>
      <w:r w:rsidRPr="00FF4E93">
        <w:rPr>
          <w:rFonts w:eastAsia="Times New Roman"/>
          <w:i/>
          <w:color w:val="000000"/>
          <w:sz w:val="26"/>
        </w:rPr>
        <w:t>Vertebrae.</w:t>
      </w:r>
    </w:p>
    <w:p w14:paraId="37FAA4D0" w14:textId="77777777" w:rsidR="00151DC1" w:rsidRPr="00FF4E93" w:rsidRDefault="00151DC1" w:rsidP="00151DC1">
      <w:pPr>
        <w:spacing w:before="200" w:after="160"/>
        <w:ind w:left="864" w:right="864"/>
        <w:rPr>
          <w:rFonts w:eastAsia="Times New Roman"/>
          <w:i/>
          <w:iCs/>
          <w:color w:val="000000"/>
          <w:sz w:val="26"/>
        </w:rPr>
      </w:pPr>
      <w:r w:rsidRPr="00FF4E93">
        <w:rPr>
          <w:rFonts w:eastAsia="Times New Roman"/>
          <w:i/>
          <w:iCs/>
          <w:color w:val="000000"/>
          <w:sz w:val="26"/>
        </w:rPr>
        <w:t>“Vertebrae, Inc. provides an advertising platform to create virtual and augmented reality advertising formats. Its platform allows publishers and developers to monetize and drive the discovery of virtual reality and 360º video applications; and enables advertisers to reach and engage consumers with new advertising formats”</w:t>
      </w:r>
    </w:p>
    <w:p w14:paraId="25919369" w14:textId="77777777" w:rsidR="00151DC1" w:rsidRPr="00FF4E93" w:rsidRDefault="00151DC1" w:rsidP="00151DC1">
      <w:pPr>
        <w:spacing w:after="0"/>
        <w:rPr>
          <w:rFonts w:eastAsia="Times New Roman"/>
          <w:sz w:val="26"/>
        </w:rPr>
      </w:pPr>
      <w:r w:rsidRPr="00FF4E93">
        <w:rPr>
          <w:rFonts w:eastAsia="Times New Roman"/>
          <w:sz w:val="26"/>
        </w:rPr>
        <w:t xml:space="preserve">As augmented and virtual reality open up entirely new possibilities for real-time and emotional advertisement, both technologies become increasingly relevant for advertisers across industries and markets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{"citationItems":[{"id":"ITEM-1","itemData":{"author":[{"dropping-particle":"","family":"Hall","given":"J.","non-dropping-particle":"","parse-names":false,"suffix":""}],"container-title":"Forbes","id":"ITEM-1","issued":{"date-parts":[["2017"]]},"title":"How Augmented Reality Is Changing The World Of Consumer Marketing","type":"article-journal"},"uris":["http://www.mendeley.com/documents/?uuid=1e488a06-c48d-4be0-a955-5b838b56f3a6"]},{"id":"ITEM-2","itemData":{"author":[{"dropping-particle":"","family":"Luber","given":"A.","non-dropping-particle":"","parse-names":false,"suffix":""}],"container-title":"Think with Google","id":"ITEM-2","issued":{"date-parts":[["2016"]]},"title":"What Virtual Reality Will Mean for Advertising","type":"article-journal"},"uris":["http://www.mendeley.com/documents/?uuid=7105ce7d-f092-4755-a128-f0d493ab2324"]}],"mendeley":{"formattedCitation":"(J. Hall, 2017; Luber, 2016)","manualFormatting":"(e.g. Hall, 2017; Luber, 2016)","plainTextFormattedCitation":"(J. Hall, 2017; Luber, 2016)","previouslyFormattedCitation":"(J. Hall, 2017; Luber, 2016)"},"properties":{"noteIndex":0},"schema":"https://github.com/citation-style-language/schema/raw/master/csl-citation.json"}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(e.g. Hall, 2017; Luber, 2016)</w:t>
      </w:r>
      <w:r w:rsidRPr="00FF4E93">
        <w:rPr>
          <w:rFonts w:eastAsia="Times New Roman"/>
          <w:sz w:val="26"/>
        </w:rPr>
        <w:fldChar w:fldCharType="end"/>
      </w:r>
      <w:r w:rsidRPr="00FF4E93">
        <w:rPr>
          <w:rFonts w:eastAsia="Times New Roman"/>
          <w:sz w:val="26"/>
        </w:rPr>
        <w:t xml:space="preserve">. However, the technological complexity poses a significant adoption hurdle: our analysis revealed that most companies contract AR/VR capabilities from expert firms but do not have the know-how readily available in-house. The low supply of AR/VR advertisement in turn limits the possibility of publishers and developers to monetize their content. </w:t>
      </w:r>
      <w:r w:rsidRPr="00FF4E93">
        <w:rPr>
          <w:rFonts w:eastAsia="Times New Roman"/>
          <w:i/>
          <w:sz w:val="26"/>
        </w:rPr>
        <w:t xml:space="preserve">Vertebrae’s </w:t>
      </w:r>
      <w:r w:rsidRPr="00FF4E93">
        <w:rPr>
          <w:rFonts w:eastAsia="Times New Roman"/>
          <w:sz w:val="26"/>
        </w:rPr>
        <w:t>two-sided platform business model tackles exactly this issue by providing a full-service solution for both sides, publishers and advertisers, applicable across industries.</w:t>
      </w:r>
    </w:p>
    <w:p w14:paraId="5CD0E06F" w14:textId="77777777" w:rsidR="00151DC1" w:rsidRPr="00FF4E93" w:rsidRDefault="00151DC1" w:rsidP="00151DC1">
      <w:pPr>
        <w:spacing w:before="200" w:after="160"/>
        <w:ind w:left="864" w:right="864"/>
        <w:rPr>
          <w:rFonts w:eastAsia="Times New Roman"/>
          <w:i/>
          <w:iCs/>
          <w:color w:val="000000"/>
          <w:sz w:val="26"/>
        </w:rPr>
      </w:pPr>
      <w:r w:rsidRPr="00FF4E93">
        <w:rPr>
          <w:rFonts w:eastAsia="Times New Roman"/>
          <w:i/>
          <w:iCs/>
          <w:color w:val="000000"/>
          <w:sz w:val="26"/>
        </w:rPr>
        <w:t xml:space="preserve">“[Vertebrae] provides a comprehensive cross-platform solution to enable brands and marketers to effectively leverage immersive media at scale. It serves entertainment studios, gaming companies, brands, and creative agencies. [For| Advertisers [it offers] platform analytics to quantify engagement </w:t>
      </w:r>
      <w:proofErr w:type="spellStart"/>
      <w:r w:rsidRPr="00FF4E93">
        <w:rPr>
          <w:rFonts w:eastAsia="Times New Roman"/>
          <w:i/>
          <w:iCs/>
          <w:color w:val="000000"/>
          <w:sz w:val="26"/>
        </w:rPr>
        <w:t>behavior</w:t>
      </w:r>
      <w:proofErr w:type="spellEnd"/>
      <w:r w:rsidRPr="00FF4E93">
        <w:rPr>
          <w:rFonts w:eastAsia="Times New Roman"/>
          <w:i/>
          <w:iCs/>
          <w:color w:val="000000"/>
          <w:sz w:val="26"/>
        </w:rPr>
        <w:t xml:space="preserve"> […]. [Its] In-House Creative Studio </w:t>
      </w:r>
      <w:r w:rsidRPr="00FF4E93">
        <w:rPr>
          <w:rFonts w:eastAsia="Times New Roman"/>
          <w:i/>
          <w:iCs/>
          <w:color w:val="000000"/>
          <w:sz w:val="26"/>
        </w:rPr>
        <w:lastRenderedPageBreak/>
        <w:t>&amp; Builder [enables developers and designers] to build best-in-class optimized augmented reality”</w:t>
      </w:r>
    </w:p>
    <w:p w14:paraId="543EF27E" w14:textId="77777777" w:rsidR="00151DC1" w:rsidRPr="00FF4E93" w:rsidRDefault="00151DC1" w:rsidP="00151DC1">
      <w:pPr>
        <w:spacing w:after="0"/>
        <w:rPr>
          <w:rFonts w:eastAsia="Times New Roman"/>
          <w:sz w:val="26"/>
        </w:rPr>
      </w:pPr>
      <w:r w:rsidRPr="00FF4E93">
        <w:rPr>
          <w:rFonts w:eastAsia="Times New Roman"/>
          <w:sz w:val="26"/>
        </w:rPr>
        <w:t xml:space="preserve">Firms, which operate a similar business model for the monetization and distribution of AR/VR content include </w:t>
      </w:r>
      <w:proofErr w:type="spellStart"/>
      <w:r w:rsidRPr="00FF4E93">
        <w:rPr>
          <w:rFonts w:eastAsia="Times New Roman"/>
          <w:i/>
          <w:sz w:val="26"/>
        </w:rPr>
        <w:t>ChannelSight</w:t>
      </w:r>
      <w:proofErr w:type="spellEnd"/>
      <w:r w:rsidRPr="00FF4E93">
        <w:rPr>
          <w:rFonts w:eastAsia="Times New Roman"/>
          <w:sz w:val="26"/>
        </w:rPr>
        <w:t xml:space="preserve">, </w:t>
      </w:r>
      <w:r w:rsidRPr="00FF4E93">
        <w:rPr>
          <w:rFonts w:eastAsia="Times New Roman"/>
          <w:i/>
          <w:sz w:val="26"/>
        </w:rPr>
        <w:t>Blend Media</w:t>
      </w:r>
      <w:r w:rsidRPr="00FF4E93">
        <w:rPr>
          <w:rFonts w:eastAsia="Times New Roman"/>
          <w:sz w:val="26"/>
        </w:rPr>
        <w:t xml:space="preserve">, </w:t>
      </w:r>
      <w:proofErr w:type="spellStart"/>
      <w:r w:rsidRPr="00FF4E93">
        <w:rPr>
          <w:rFonts w:eastAsia="Times New Roman"/>
          <w:i/>
          <w:sz w:val="26"/>
        </w:rPr>
        <w:t>Immersv</w:t>
      </w:r>
      <w:proofErr w:type="spellEnd"/>
      <w:r w:rsidRPr="00FF4E93">
        <w:rPr>
          <w:rFonts w:eastAsia="Times New Roman"/>
          <w:sz w:val="26"/>
        </w:rPr>
        <w:t xml:space="preserve">, as well as </w:t>
      </w:r>
      <w:proofErr w:type="spellStart"/>
      <w:r w:rsidRPr="00FF4E93">
        <w:rPr>
          <w:rFonts w:eastAsia="Times New Roman"/>
          <w:i/>
          <w:sz w:val="26"/>
        </w:rPr>
        <w:t>Gbox</w:t>
      </w:r>
      <w:proofErr w:type="spellEnd"/>
      <w:r w:rsidRPr="00FF4E93">
        <w:rPr>
          <w:rFonts w:eastAsia="Times New Roman"/>
          <w:i/>
          <w:sz w:val="26"/>
        </w:rPr>
        <w:t xml:space="preserve"> by </w:t>
      </w:r>
      <w:proofErr w:type="spellStart"/>
      <w:r w:rsidRPr="00FF4E93">
        <w:rPr>
          <w:rFonts w:eastAsia="Times New Roman"/>
          <w:i/>
          <w:sz w:val="26"/>
        </w:rPr>
        <w:t>OnCircle</w:t>
      </w:r>
      <w:proofErr w:type="spellEnd"/>
      <w:r w:rsidRPr="00FF4E93">
        <w:rPr>
          <w:rFonts w:eastAsia="Times New Roman"/>
          <w:i/>
          <w:sz w:val="26"/>
        </w:rPr>
        <w:t>, Inc</w:t>
      </w:r>
      <w:r w:rsidRPr="00FF4E93">
        <w:rPr>
          <w:rFonts w:eastAsia="Times New Roman"/>
          <w:sz w:val="26"/>
        </w:rPr>
        <w:t xml:space="preserve">. However, the exact offering differs, as </w:t>
      </w:r>
      <w:proofErr w:type="spellStart"/>
      <w:r w:rsidRPr="00FF4E93">
        <w:rPr>
          <w:rFonts w:eastAsia="Times New Roman"/>
          <w:i/>
          <w:sz w:val="26"/>
        </w:rPr>
        <w:t>Gbox</w:t>
      </w:r>
      <w:proofErr w:type="spellEnd"/>
      <w:r w:rsidRPr="00FF4E93">
        <w:rPr>
          <w:rFonts w:eastAsia="Times New Roman"/>
          <w:i/>
          <w:sz w:val="26"/>
        </w:rPr>
        <w:t xml:space="preserve"> by </w:t>
      </w:r>
      <w:proofErr w:type="spellStart"/>
      <w:r w:rsidRPr="00FF4E93">
        <w:rPr>
          <w:rFonts w:eastAsia="Times New Roman"/>
          <w:i/>
          <w:sz w:val="26"/>
        </w:rPr>
        <w:t>OnCircle</w:t>
      </w:r>
      <w:proofErr w:type="spellEnd"/>
      <w:r w:rsidRPr="00FF4E93">
        <w:rPr>
          <w:rFonts w:eastAsia="Times New Roman"/>
          <w:i/>
          <w:sz w:val="26"/>
        </w:rPr>
        <w:t>, Inc</w:t>
      </w:r>
      <w:r w:rsidRPr="00FF4E93">
        <w:rPr>
          <w:rFonts w:eastAsia="Times New Roman"/>
          <w:sz w:val="26"/>
        </w:rPr>
        <w:t>. exemplifies:</w:t>
      </w:r>
    </w:p>
    <w:p w14:paraId="0DE9A265" w14:textId="77777777" w:rsidR="00151DC1" w:rsidRPr="00FF4E93" w:rsidRDefault="00151DC1" w:rsidP="00151DC1">
      <w:pPr>
        <w:spacing w:before="200" w:after="160"/>
        <w:ind w:left="864" w:right="864"/>
        <w:rPr>
          <w:rFonts w:eastAsia="Times New Roman"/>
          <w:i/>
          <w:iCs/>
          <w:color w:val="000000"/>
          <w:sz w:val="26"/>
        </w:rPr>
      </w:pPr>
      <w:r w:rsidRPr="00FF4E93">
        <w:rPr>
          <w:rFonts w:eastAsia="Times New Roman"/>
          <w:i/>
          <w:iCs/>
          <w:color w:val="000000"/>
          <w:sz w:val="26"/>
        </w:rPr>
        <w:t xml:space="preserve">“The mission of </w:t>
      </w:r>
      <w:proofErr w:type="spellStart"/>
      <w:r w:rsidRPr="00FF4E93">
        <w:rPr>
          <w:rFonts w:eastAsia="Times New Roman"/>
          <w:i/>
          <w:iCs/>
          <w:color w:val="000000"/>
          <w:sz w:val="26"/>
        </w:rPr>
        <w:t>Gbox</w:t>
      </w:r>
      <w:proofErr w:type="spellEnd"/>
      <w:r w:rsidRPr="00FF4E93">
        <w:rPr>
          <w:rFonts w:eastAsia="Times New Roman"/>
          <w:i/>
          <w:iCs/>
          <w:color w:val="000000"/>
          <w:sz w:val="26"/>
        </w:rPr>
        <w:t xml:space="preserve"> is to take the interaction between brands and their fans to the next level. To achieve this they […] created </w:t>
      </w:r>
      <w:proofErr w:type="spellStart"/>
      <w:r w:rsidRPr="00FF4E93">
        <w:rPr>
          <w:rFonts w:eastAsia="Times New Roman"/>
          <w:i/>
          <w:iCs/>
          <w:color w:val="000000"/>
          <w:sz w:val="26"/>
        </w:rPr>
        <w:t>Gbox</w:t>
      </w:r>
      <w:proofErr w:type="spellEnd"/>
      <w:r w:rsidRPr="00FF4E93">
        <w:rPr>
          <w:rFonts w:eastAsia="Times New Roman"/>
          <w:i/>
          <w:iCs/>
          <w:color w:val="000000"/>
          <w:sz w:val="26"/>
        </w:rPr>
        <w:t>, the direct-to-fan platform. [The] multimedia platform […] helps to delight your audience with superior digital experiences and maximize your income streams”</w:t>
      </w:r>
    </w:p>
    <w:p w14:paraId="5707AF44" w14:textId="77777777" w:rsidR="00151DC1" w:rsidRPr="00FF4E93" w:rsidRDefault="00151DC1" w:rsidP="00151DC1">
      <w:pPr>
        <w:spacing w:after="0"/>
        <w:rPr>
          <w:rFonts w:eastAsia="Times New Roman"/>
          <w:i/>
          <w:sz w:val="26"/>
        </w:rPr>
      </w:pPr>
      <w:r w:rsidRPr="00FF4E93">
        <w:rPr>
          <w:rFonts w:eastAsia="Times New Roman"/>
          <w:b/>
          <w:sz w:val="26"/>
        </w:rPr>
        <w:t>Configuration 2</w:t>
      </w:r>
      <w:r w:rsidRPr="00FF4E93">
        <w:rPr>
          <w:rFonts w:eastAsia="Times New Roman"/>
          <w:i/>
          <w:sz w:val="26"/>
        </w:rPr>
        <w:t xml:space="preserve"> {Layer Player, Open Business Model}</w:t>
      </w:r>
    </w:p>
    <w:p w14:paraId="5CDBB4D8" w14:textId="77777777" w:rsidR="00151DC1" w:rsidRPr="00FF4E93" w:rsidRDefault="00151DC1" w:rsidP="00151DC1">
      <w:pPr>
        <w:spacing w:after="0"/>
        <w:rPr>
          <w:rFonts w:eastAsia="Times New Roman"/>
          <w:color w:val="000000"/>
          <w:sz w:val="26"/>
        </w:rPr>
      </w:pPr>
      <w:r w:rsidRPr="00FF4E93">
        <w:rPr>
          <w:rFonts w:eastAsia="Times New Roman"/>
          <w:color w:val="000000"/>
          <w:sz w:val="26"/>
        </w:rPr>
        <w:t xml:space="preserve">Configuration 2 is based on the combination of the </w:t>
      </w:r>
      <w:r w:rsidRPr="00FF4E93">
        <w:rPr>
          <w:rFonts w:eastAsia="Times New Roman"/>
          <w:i/>
          <w:color w:val="000000"/>
          <w:sz w:val="26"/>
        </w:rPr>
        <w:t xml:space="preserve">Layer Player </w:t>
      </w:r>
      <w:r w:rsidRPr="00FF4E93">
        <w:rPr>
          <w:rFonts w:eastAsia="Times New Roman"/>
          <w:color w:val="000000"/>
          <w:sz w:val="26"/>
        </w:rPr>
        <w:t xml:space="preserve">and </w:t>
      </w:r>
      <w:r w:rsidRPr="00FF4E93">
        <w:rPr>
          <w:rFonts w:eastAsia="Times New Roman"/>
          <w:i/>
          <w:color w:val="000000"/>
          <w:sz w:val="26"/>
        </w:rPr>
        <w:t>Open Business Model (OBM)</w:t>
      </w:r>
      <w:r w:rsidRPr="00FF4E93">
        <w:rPr>
          <w:rFonts w:eastAsia="Times New Roman"/>
          <w:color w:val="000000"/>
          <w:sz w:val="26"/>
        </w:rPr>
        <w:t xml:space="preserve"> patterns. Previous research has found that almost all ventures engaging in ‘deep-technology’ domains, actively seek collaborations with corporates, with the underlying motives ranging from funding over market access to talent acquisition </w:t>
      </w:r>
      <w:r w:rsidRPr="00FF4E93">
        <w:rPr>
          <w:rFonts w:eastAsia="Times New Roman"/>
          <w:color w:val="000000"/>
          <w:sz w:val="26"/>
        </w:rPr>
        <w:fldChar w:fldCharType="begin" w:fldLock="1"/>
      </w:r>
      <w:r w:rsidRPr="00FF4E93">
        <w:rPr>
          <w:rFonts w:eastAsia="Times New Roman"/>
          <w:color w:val="000000"/>
          <w:sz w:val="26"/>
        </w:rPr>
        <w:instrText>ADDIN CSL_CITATION {"citationItems":[{"id":"ITEM-1","itemData":{"abstract":"A three-dimensional, fully non-linear semi-diagnostic (adaptation) model is described. This model is used to compute the climatological mean circulation and to understand the role of local, steady forcing of the wind and thermohaline forcing on the observed circulation in the western tropical Indian Ocean. The model consists of equations of motion and continuity, sea surface topography, equations of state and temperature, and salinity diffusion equations. While the sea surface topography equation is solved by a successive overrelaxation technique, the other model equations are solved by a leap-frog numerical scheme. Two versions of the model, having 18 and 33 levels in the vertical direction, were prepared to study climatological mean circulation in the western tropical Indian Ocean. The first numerical experiment is carried out with the 18-level adaptation model to study the sensitivity of the solution to different values of eddy coefficients. The main scientific rationale behind these numerical experiments was to obtain the most appropriate values of the eddy coefficients for the realistic computation of climatological circulation in the western tropical Indian Ocean. Three numerical experiments were conducted for the month of February to understand the sensitivity of the model solution to different eddy coefficients. The model reproduced the circulation features during February, even with low values of horizontal and vertical eddy coefficients. In the second experiment, the adaptation model, with 33 levels in the vertical direction, is applied to study the seasonal mean climatological circulation at selected depths during Spring in the western tropical Indian Ocean. Adapted (steady state) results of currents, sea surface topography, temperature and salinity anomaly fields are presented. Reasonable agreement is obtained between the model results on currents and the observational data. The computed anomaly fields for temperature and salinity at selected depths during Spring show that the observed temperature and salinity data were adapted with surface wind, flow field and bottom relief of the ocean and that the observed data were found to be fully smoothed during the adaptation stage.","author":[{"dropping-particle":"","family":"Harlé","given":"Nicolas","non-dropping-particle":"","parse-names":false,"suffix":""},{"dropping-particle":"","family":"Soussan","given":"Philippe","non-dropping-particle":"","parse-names":false,"suffix":""},{"dropping-particle":"","family":"la Tour","given":"Arnaud","non-dropping-particle":"de","parse-names":false,"suffix":""}],"container-title":"BCG perspectives","id":"ITEM-1","issued":{"date-parts":[["2017"]]},"title":"What Deep-Tech Startups Want from Corporate Partners","type":"article-journal"},"uris":["http://www.mendeley.com/documents/?uuid=bd09284a-d8cf-4b73-b496-54110dac2bb8"]}],"mendeley":{"formattedCitation":"(Harlé, Soussan, &amp; de la Tour, 2017)","plainTextFormattedCitation":"(Harlé, Soussan, &amp; de la Tour, 2017)","previouslyFormattedCitation":"(Harlé, Soussan, &amp; de la Tour, 2017)"},"properties":{"noteIndex":0},"schema":"https://github.com/citation-style-language/schema/raw/master/csl-citation.json"}</w:instrText>
      </w:r>
      <w:r w:rsidRPr="00FF4E93">
        <w:rPr>
          <w:rFonts w:eastAsia="Times New Roman"/>
          <w:color w:val="000000"/>
          <w:sz w:val="26"/>
        </w:rPr>
        <w:fldChar w:fldCharType="separate"/>
      </w:r>
      <w:r w:rsidRPr="00FF4E93">
        <w:rPr>
          <w:rFonts w:eastAsia="Times New Roman"/>
          <w:noProof/>
          <w:color w:val="000000"/>
          <w:sz w:val="26"/>
        </w:rPr>
        <w:t>(Harlé, Soussan, &amp; de la Tour, 2017)</w:t>
      </w:r>
      <w:r w:rsidRPr="00FF4E93">
        <w:rPr>
          <w:rFonts w:eastAsia="Times New Roman"/>
          <w:color w:val="000000"/>
          <w:sz w:val="26"/>
        </w:rPr>
        <w:fldChar w:fldCharType="end"/>
      </w:r>
      <w:r w:rsidRPr="00FF4E93">
        <w:rPr>
          <w:rFonts w:eastAsia="Times New Roman"/>
          <w:color w:val="000000"/>
          <w:sz w:val="26"/>
        </w:rPr>
        <w:t xml:space="preserve">. While the original definition for </w:t>
      </w:r>
      <w:r w:rsidRPr="00FF4E93">
        <w:rPr>
          <w:rFonts w:eastAsia="Times New Roman"/>
          <w:i/>
          <w:color w:val="000000"/>
          <w:sz w:val="26"/>
        </w:rPr>
        <w:t>Open Business Model</w:t>
      </w:r>
      <w:r w:rsidRPr="00FF4E93">
        <w:rPr>
          <w:rFonts w:eastAsia="Times New Roman"/>
          <w:color w:val="000000"/>
          <w:sz w:val="26"/>
        </w:rPr>
        <w:t xml:space="preserve"> is fairly narrow and mostly refers to full partner ecosystems, for the purpose of optimally evaluating the pattern for emergent technologies, all partnerships central to value creation were considered.</w:t>
      </w:r>
    </w:p>
    <w:p w14:paraId="73B5A6F2" w14:textId="77777777" w:rsidR="00151DC1" w:rsidRPr="00FF4E93" w:rsidRDefault="00151DC1" w:rsidP="00151DC1">
      <w:pPr>
        <w:spacing w:after="0"/>
        <w:rPr>
          <w:rFonts w:eastAsia="Times New Roman"/>
          <w:color w:val="000000"/>
          <w:sz w:val="26"/>
        </w:rPr>
      </w:pPr>
      <w:r w:rsidRPr="00FF4E93">
        <w:rPr>
          <w:rFonts w:eastAsia="Times New Roman"/>
          <w:color w:val="000000"/>
          <w:sz w:val="26"/>
        </w:rPr>
        <w:t xml:space="preserve">Our analysis revealed a strong tendency for partnerships and open value creation across all samples. The most commonly found motives in the analysis were resource and technology partnerships, joint product development and distribution, as well as associations for jointly shaping the industry and related regulations. An example for the second motive is </w:t>
      </w:r>
      <w:r w:rsidRPr="00FF4E93">
        <w:rPr>
          <w:rFonts w:eastAsia="Times New Roman"/>
          <w:i/>
          <w:color w:val="000000"/>
          <w:sz w:val="26"/>
        </w:rPr>
        <w:t xml:space="preserve">Sight Machine, </w:t>
      </w:r>
      <w:r w:rsidRPr="00FF4E93">
        <w:rPr>
          <w:rFonts w:eastAsia="Times New Roman"/>
          <w:color w:val="000000"/>
          <w:sz w:val="26"/>
        </w:rPr>
        <w:t>a US provider of a manufacturing analytics platform:</w:t>
      </w:r>
    </w:p>
    <w:p w14:paraId="1AD28202" w14:textId="77777777" w:rsidR="00151DC1" w:rsidRPr="00FF4E93" w:rsidRDefault="00151DC1" w:rsidP="00151DC1">
      <w:pPr>
        <w:spacing w:before="200" w:after="160"/>
        <w:ind w:left="864" w:right="864"/>
        <w:rPr>
          <w:rFonts w:eastAsia="Times New Roman"/>
          <w:i/>
          <w:iCs/>
          <w:color w:val="000000"/>
          <w:sz w:val="26"/>
        </w:rPr>
      </w:pPr>
      <w:r w:rsidRPr="00FF4E93">
        <w:rPr>
          <w:rFonts w:eastAsia="Times New Roman"/>
          <w:i/>
          <w:iCs/>
          <w:color w:val="000000"/>
          <w:sz w:val="26"/>
        </w:rPr>
        <w:t xml:space="preserve">“Sight Machine partners with the world’s most innovative companies to deliver our […] solutions. This group includes the leading cloud providers, factory automation &amp; machine builders, integrators &amp; value-added resellers, and global management consultancies” </w:t>
      </w:r>
    </w:p>
    <w:p w14:paraId="18D25661" w14:textId="77777777" w:rsidR="00151DC1" w:rsidRPr="00FF4E93" w:rsidRDefault="00151DC1" w:rsidP="00151DC1">
      <w:pPr>
        <w:spacing w:after="0"/>
        <w:rPr>
          <w:rFonts w:eastAsia="Times New Roman"/>
          <w:color w:val="000000"/>
          <w:sz w:val="26"/>
        </w:rPr>
      </w:pPr>
      <w:r w:rsidRPr="00FF4E93">
        <w:rPr>
          <w:rFonts w:eastAsia="Times New Roman"/>
          <w:color w:val="000000"/>
          <w:sz w:val="26"/>
        </w:rPr>
        <w:t xml:space="preserve">The analysis also revealed more innovative approaches such as the one pursued by aerial-advertising startup </w:t>
      </w:r>
      <w:proofErr w:type="spellStart"/>
      <w:r w:rsidRPr="00FF4E93">
        <w:rPr>
          <w:rFonts w:eastAsia="Times New Roman"/>
          <w:i/>
          <w:color w:val="000000"/>
          <w:sz w:val="26"/>
        </w:rPr>
        <w:t>DroneCast</w:t>
      </w:r>
      <w:proofErr w:type="spellEnd"/>
      <w:r w:rsidRPr="00FF4E93">
        <w:rPr>
          <w:rFonts w:eastAsia="Times New Roman"/>
          <w:color w:val="000000"/>
          <w:sz w:val="26"/>
        </w:rPr>
        <w:t>:</w:t>
      </w:r>
      <w:r w:rsidRPr="00FF4E93">
        <w:rPr>
          <w:rFonts w:eastAsia="Times New Roman"/>
          <w:i/>
          <w:color w:val="000000"/>
          <w:sz w:val="26"/>
        </w:rPr>
        <w:t xml:space="preserve"> </w:t>
      </w:r>
      <w:r w:rsidRPr="00FF4E93">
        <w:rPr>
          <w:rFonts w:eastAsia="Times New Roman"/>
          <w:color w:val="000000"/>
          <w:sz w:val="26"/>
        </w:rPr>
        <w:t xml:space="preserve">to provide their services to enterprise clients, </w:t>
      </w:r>
      <w:proofErr w:type="spellStart"/>
      <w:r w:rsidRPr="00FF4E93">
        <w:rPr>
          <w:rFonts w:eastAsia="Times New Roman"/>
          <w:i/>
          <w:color w:val="000000"/>
          <w:sz w:val="26"/>
        </w:rPr>
        <w:t>DroneCast</w:t>
      </w:r>
      <w:proofErr w:type="spellEnd"/>
      <w:r w:rsidRPr="00FF4E93">
        <w:rPr>
          <w:rFonts w:eastAsia="Times New Roman"/>
          <w:i/>
          <w:color w:val="000000"/>
          <w:sz w:val="26"/>
        </w:rPr>
        <w:t xml:space="preserve"> </w:t>
      </w:r>
      <w:r w:rsidRPr="00FF4E93">
        <w:rPr>
          <w:rFonts w:eastAsia="Times New Roman"/>
          <w:color w:val="000000"/>
          <w:sz w:val="26"/>
        </w:rPr>
        <w:t xml:space="preserve">operates an own open network of pilots (called the </w:t>
      </w:r>
      <w:r w:rsidRPr="00FF4E93">
        <w:rPr>
          <w:rFonts w:eastAsia="Times New Roman"/>
          <w:i/>
          <w:color w:val="000000"/>
          <w:sz w:val="26"/>
        </w:rPr>
        <w:t>‘Partner program’</w:t>
      </w:r>
      <w:r w:rsidRPr="00FF4E93">
        <w:rPr>
          <w:rFonts w:eastAsia="Times New Roman"/>
          <w:color w:val="000000"/>
          <w:sz w:val="26"/>
        </w:rPr>
        <w:t xml:space="preserve">), that are trained, certified and then financially rewarded for each flight completed. From a business model perspective, </w:t>
      </w:r>
      <w:proofErr w:type="spellStart"/>
      <w:r w:rsidRPr="00FF4E93">
        <w:rPr>
          <w:rFonts w:eastAsia="Times New Roman"/>
          <w:i/>
          <w:color w:val="000000"/>
          <w:sz w:val="26"/>
        </w:rPr>
        <w:t>DroneCast</w:t>
      </w:r>
      <w:proofErr w:type="spellEnd"/>
      <w:r w:rsidRPr="00FF4E93">
        <w:rPr>
          <w:rFonts w:eastAsia="Times New Roman"/>
          <w:i/>
          <w:color w:val="000000"/>
          <w:sz w:val="26"/>
        </w:rPr>
        <w:t xml:space="preserve"> </w:t>
      </w:r>
      <w:r w:rsidRPr="00FF4E93">
        <w:rPr>
          <w:rFonts w:eastAsia="Times New Roman"/>
          <w:color w:val="000000"/>
          <w:sz w:val="26"/>
        </w:rPr>
        <w:t xml:space="preserve">is opening up its value creation process to </w:t>
      </w:r>
      <w:r w:rsidRPr="00FF4E93">
        <w:rPr>
          <w:rFonts w:eastAsia="Times New Roman"/>
          <w:color w:val="000000"/>
          <w:sz w:val="26"/>
        </w:rPr>
        <w:lastRenderedPageBreak/>
        <w:t xml:space="preserve">outside partners in the form of independent individuals, certified to fly drones. Instead of hiring own employees to complete flights for enterprise clients, </w:t>
      </w:r>
      <w:proofErr w:type="spellStart"/>
      <w:r w:rsidRPr="00FF4E93">
        <w:rPr>
          <w:rFonts w:eastAsia="Times New Roman"/>
          <w:i/>
          <w:color w:val="000000"/>
          <w:sz w:val="26"/>
        </w:rPr>
        <w:t>DroneCast</w:t>
      </w:r>
      <w:proofErr w:type="spellEnd"/>
      <w:r w:rsidRPr="00FF4E93">
        <w:rPr>
          <w:rFonts w:eastAsia="Times New Roman"/>
          <w:color w:val="000000"/>
          <w:sz w:val="26"/>
        </w:rPr>
        <w:t xml:space="preserve"> pay their network pilots per hour and offers them the flexibility to accept jobs whenever convenient for them.</w:t>
      </w:r>
    </w:p>
    <w:p w14:paraId="58487DEF" w14:textId="77777777" w:rsidR="00151DC1" w:rsidRPr="00FF4E93" w:rsidRDefault="00151DC1" w:rsidP="00151DC1">
      <w:pPr>
        <w:spacing w:after="0"/>
        <w:rPr>
          <w:rFonts w:eastAsia="Times New Roman"/>
          <w:color w:val="000000"/>
          <w:sz w:val="26"/>
        </w:rPr>
      </w:pPr>
      <w:r w:rsidRPr="00FF4E93">
        <w:rPr>
          <w:rFonts w:eastAsia="Times New Roman"/>
          <w:color w:val="000000"/>
          <w:sz w:val="26"/>
        </w:rPr>
        <w:t xml:space="preserve">The type of partners in open business models can be very distinct: our analysis showed that partnerships with large corporates are extremely frequent due to vast possibilities for mutual benefit. For instance, </w:t>
      </w:r>
      <w:r w:rsidRPr="00FF4E93">
        <w:rPr>
          <w:rFonts w:eastAsia="Times New Roman"/>
          <w:i/>
          <w:color w:val="000000"/>
          <w:sz w:val="26"/>
        </w:rPr>
        <w:t xml:space="preserve">Measure </w:t>
      </w:r>
      <w:r w:rsidRPr="00FF4E93">
        <w:rPr>
          <w:rFonts w:eastAsia="Times New Roman"/>
          <w:color w:val="000000"/>
          <w:sz w:val="26"/>
        </w:rPr>
        <w:t>(a drone-as-a-service operator) partnered with the</w:t>
      </w:r>
      <w:r w:rsidRPr="00FF4E93">
        <w:rPr>
          <w:rFonts w:eastAsia="Times New Roman"/>
          <w:i/>
          <w:color w:val="000000"/>
          <w:sz w:val="26"/>
        </w:rPr>
        <w:t xml:space="preserve"> AES Corporation </w:t>
      </w:r>
      <w:r w:rsidRPr="00FF4E93">
        <w:rPr>
          <w:rFonts w:eastAsia="Times New Roman"/>
          <w:color w:val="000000"/>
          <w:sz w:val="26"/>
        </w:rPr>
        <w:t>(a Fortune 500 global power generation and utility company)</w:t>
      </w:r>
      <w:r w:rsidRPr="00FF4E93">
        <w:rPr>
          <w:rFonts w:eastAsia="Times New Roman"/>
          <w:i/>
          <w:sz w:val="26"/>
        </w:rPr>
        <w:t xml:space="preserve"> “to scale and leverage its industry-leading drone service to inspect AES’ energy infrastructure in 17 countries. The use of the drone technology is expected to help AES improve safety and avoid more than 30,000 hours of hazardous work per year […]”</w:t>
      </w:r>
      <w:r w:rsidRPr="00FF4E93">
        <w:rPr>
          <w:rFonts w:eastAsia="Times New Roman"/>
          <w:color w:val="000000"/>
          <w:sz w:val="26"/>
        </w:rPr>
        <w:t xml:space="preserve"> On top of that, startups often partner with universities for research, governments for regulation and incubators to jumpstart their business.</w:t>
      </w:r>
    </w:p>
    <w:p w14:paraId="70142A97" w14:textId="77777777" w:rsidR="00151DC1" w:rsidRPr="00FF4E93" w:rsidRDefault="00151DC1" w:rsidP="00151DC1">
      <w:pPr>
        <w:spacing w:after="0"/>
        <w:rPr>
          <w:rFonts w:eastAsia="Times New Roman"/>
          <w:color w:val="000000"/>
          <w:sz w:val="26"/>
        </w:rPr>
      </w:pPr>
      <w:r w:rsidRPr="00FF4E93">
        <w:rPr>
          <w:rFonts w:eastAsia="Times New Roman"/>
          <w:color w:val="000000"/>
          <w:sz w:val="26"/>
        </w:rPr>
        <w:t xml:space="preserve">We observed, that the core of the fit between the </w:t>
      </w:r>
      <w:r w:rsidRPr="00FF4E93">
        <w:rPr>
          <w:rFonts w:eastAsia="Times New Roman"/>
          <w:i/>
          <w:color w:val="000000"/>
          <w:sz w:val="26"/>
        </w:rPr>
        <w:t>OBM</w:t>
      </w:r>
      <w:r w:rsidRPr="00FF4E93">
        <w:rPr>
          <w:rFonts w:eastAsia="Times New Roman"/>
          <w:color w:val="000000"/>
          <w:sz w:val="26"/>
        </w:rPr>
        <w:t xml:space="preserve"> pattern and the </w:t>
      </w:r>
      <w:r w:rsidRPr="00FF4E93">
        <w:rPr>
          <w:rFonts w:eastAsia="Times New Roman"/>
          <w:i/>
          <w:color w:val="000000"/>
          <w:sz w:val="26"/>
        </w:rPr>
        <w:t xml:space="preserve">Layer Player </w:t>
      </w:r>
      <w:r w:rsidRPr="00FF4E93">
        <w:rPr>
          <w:rFonts w:eastAsia="Times New Roman"/>
          <w:color w:val="000000"/>
          <w:sz w:val="26"/>
        </w:rPr>
        <w:t xml:space="preserve">model, refers to the highly flexible value creation mechanisms provided through the collaboration with various partners in order to provide fitting solutions to various customers across a wide range of sectors. In our analysis, this business model foundation was observed to fit with a wide range of </w:t>
      </w:r>
      <w:r w:rsidRPr="00FF4E93">
        <w:rPr>
          <w:rFonts w:eastAsia="Times New Roman"/>
          <w:i/>
          <w:color w:val="000000"/>
          <w:sz w:val="26"/>
        </w:rPr>
        <w:t xml:space="preserve">Add-Ons. </w:t>
      </w:r>
      <w:r w:rsidRPr="00FF4E93">
        <w:rPr>
          <w:rFonts w:eastAsia="Times New Roman"/>
          <w:color w:val="000000"/>
          <w:sz w:val="26"/>
        </w:rPr>
        <w:t xml:space="preserve">For </w:t>
      </w:r>
      <w:r w:rsidRPr="00FF4E93">
        <w:rPr>
          <w:rFonts w:eastAsia="Times New Roman"/>
          <w:i/>
          <w:color w:val="000000"/>
          <w:sz w:val="26"/>
        </w:rPr>
        <w:t>Sight Machine</w:t>
      </w:r>
      <w:r w:rsidRPr="00FF4E93">
        <w:rPr>
          <w:rFonts w:eastAsia="Times New Roman"/>
          <w:color w:val="000000"/>
          <w:sz w:val="26"/>
        </w:rPr>
        <w:t>,</w:t>
      </w:r>
      <w:r w:rsidRPr="00FF4E93">
        <w:rPr>
          <w:rFonts w:eastAsia="Times New Roman"/>
          <w:i/>
          <w:color w:val="000000"/>
          <w:sz w:val="26"/>
        </w:rPr>
        <w:t xml:space="preserve"> </w:t>
      </w:r>
      <w:r w:rsidRPr="00FF4E93">
        <w:rPr>
          <w:rFonts w:eastAsia="Times New Roman"/>
          <w:color w:val="000000"/>
          <w:sz w:val="26"/>
        </w:rPr>
        <w:t xml:space="preserve">for instance, the ecosystem approach is key to offering an innovative and robust platform. As a result, they are able to serve a wide range of industries, including </w:t>
      </w:r>
      <w:r w:rsidRPr="00FF4E93">
        <w:rPr>
          <w:rFonts w:eastAsia="Times New Roman"/>
          <w:i/>
          <w:color w:val="000000"/>
          <w:sz w:val="26"/>
        </w:rPr>
        <w:t>“aerospace, apparel and textiles, automotive, CPG, electronics, food and beverage, industrial, oil and gas, medical devices, and pharmaceuticals sectors; and other Global 500 companies.”</w:t>
      </w:r>
      <w:r w:rsidRPr="00FF4E93">
        <w:rPr>
          <w:rFonts w:eastAsia="Times New Roman"/>
          <w:color w:val="000000"/>
          <w:sz w:val="26"/>
        </w:rPr>
        <w:t xml:space="preserve"> </w:t>
      </w:r>
    </w:p>
    <w:p w14:paraId="50B2CADB" w14:textId="77777777" w:rsidR="00151DC1" w:rsidRPr="00FF4E93" w:rsidRDefault="00151DC1" w:rsidP="00151DC1">
      <w:pPr>
        <w:spacing w:after="0"/>
        <w:rPr>
          <w:rFonts w:eastAsia="Times New Roman"/>
          <w:color w:val="000000"/>
          <w:sz w:val="26"/>
        </w:rPr>
      </w:pPr>
      <w:r w:rsidRPr="00FF4E93">
        <w:rPr>
          <w:rFonts w:eastAsia="Times New Roman"/>
          <w:i/>
          <w:color w:val="000000"/>
          <w:sz w:val="26"/>
        </w:rPr>
        <w:t>Boulevard Arts, Inc.</w:t>
      </w:r>
      <w:r w:rsidRPr="00FF4E93">
        <w:rPr>
          <w:rFonts w:eastAsia="Times New Roman"/>
          <w:color w:val="000000"/>
          <w:sz w:val="26"/>
        </w:rPr>
        <w:t xml:space="preserve"> is pairing both patterns insofar as it collaborates with clients such as museum to virtualize their experience for interested users.</w:t>
      </w:r>
    </w:p>
    <w:p w14:paraId="761D11E4" w14:textId="77777777" w:rsidR="00151DC1" w:rsidRPr="00FF4E93" w:rsidRDefault="00151DC1" w:rsidP="00151DC1">
      <w:pPr>
        <w:spacing w:before="200" w:after="160"/>
        <w:ind w:left="864" w:right="864"/>
        <w:rPr>
          <w:rFonts w:eastAsia="Times New Roman"/>
          <w:i/>
          <w:iCs/>
          <w:color w:val="000000"/>
          <w:sz w:val="26"/>
        </w:rPr>
      </w:pPr>
      <w:r w:rsidRPr="00FF4E93">
        <w:rPr>
          <w:rFonts w:eastAsia="Times New Roman"/>
          <w:i/>
          <w:iCs/>
          <w:color w:val="000000"/>
          <w:sz w:val="26"/>
        </w:rPr>
        <w:t>“[Boulevard] operates a platform that enables customers to virtually tour museums and other culturally significant sites from anywhere in the world. [The firm] partners with the world's leading museums to share their collections through cutting-edge VR technology. Each [VR] experience engages […] audiences around the globe. [Boulevard] develops tools and curriculum for in-class use from Kindergarten to 12th grade, home school families, and life-long learners who are interested in art, architecture, and culture”</w:t>
      </w:r>
    </w:p>
    <w:p w14:paraId="54444BF7" w14:textId="015B4B91" w:rsidR="00151DC1" w:rsidRPr="00FF4E93" w:rsidRDefault="00151DC1" w:rsidP="00151DC1">
      <w:pPr>
        <w:spacing w:after="0"/>
        <w:rPr>
          <w:rFonts w:eastAsia="Times New Roman"/>
          <w:i/>
          <w:sz w:val="26"/>
        </w:rPr>
      </w:pPr>
      <w:r w:rsidRPr="00FF4E93">
        <w:rPr>
          <w:rFonts w:eastAsia="Times New Roman"/>
          <w:sz w:val="26"/>
        </w:rPr>
        <w:t xml:space="preserve">In the following, we elaborate on the most dominant variants we observed for this configuration </w:t>
      </w:r>
      <w:r w:rsidRPr="00FF4E93">
        <w:rPr>
          <w:rFonts w:eastAsia="Times New Roman"/>
          <w:i/>
          <w:sz w:val="26"/>
        </w:rPr>
        <w:t>(</w:t>
      </w:r>
      <w:r w:rsidRPr="00FF4E93">
        <w:rPr>
          <w:rFonts w:eastAsia="Times New Roman"/>
          <w:i/>
          <w:sz w:val="26"/>
        </w:rPr>
        <w:fldChar w:fldCharType="begin"/>
      </w:r>
      <w:r w:rsidRPr="00FF4E93">
        <w:rPr>
          <w:rFonts w:eastAsia="Times New Roman"/>
          <w:i/>
          <w:sz w:val="26"/>
        </w:rPr>
        <w:instrText xml:space="preserve"> REF _Ref532286998 \h  \* MERGEFORMAT </w:instrText>
      </w:r>
      <w:r w:rsidRPr="00FF4E93">
        <w:rPr>
          <w:rFonts w:eastAsia="Times New Roman"/>
          <w:i/>
          <w:sz w:val="26"/>
        </w:rPr>
      </w:r>
      <w:r w:rsidRPr="00FF4E93">
        <w:rPr>
          <w:rFonts w:eastAsia="Times New Roman"/>
          <w:i/>
          <w:sz w:val="26"/>
        </w:rPr>
        <w:fldChar w:fldCharType="separate"/>
      </w:r>
      <w:r w:rsidR="00D231CD" w:rsidRPr="00FF4E93">
        <w:rPr>
          <w:rFonts w:eastAsia="Times New Roman"/>
          <w:i/>
          <w:sz w:val="26"/>
        </w:rPr>
        <w:t>Table 4</w:t>
      </w:r>
      <w:r w:rsidR="00D231CD" w:rsidRPr="00FF4E93">
        <w:rPr>
          <w:rFonts w:eastAsia="Times New Roman"/>
          <w:i/>
          <w:sz w:val="26"/>
        </w:rPr>
        <w:noBreakHyphen/>
        <w:t>2</w:t>
      </w:r>
      <w:r w:rsidRPr="00FF4E93">
        <w:rPr>
          <w:rFonts w:eastAsia="Times New Roman"/>
          <w:i/>
          <w:sz w:val="26"/>
        </w:rPr>
        <w:fldChar w:fldCharType="end"/>
      </w:r>
      <w:r w:rsidRPr="00FF4E93">
        <w:rPr>
          <w:rFonts w:eastAsia="Times New Roman"/>
          <w:i/>
          <w:sz w:val="26"/>
        </w:rPr>
        <w:t>)</w:t>
      </w:r>
    </w:p>
    <w:p w14:paraId="5B23318C" w14:textId="18C877C1" w:rsidR="00151DC1" w:rsidRPr="00FF4E93" w:rsidRDefault="00151DC1" w:rsidP="00151DC1">
      <w:pPr>
        <w:spacing w:before="240" w:after="240"/>
        <w:ind w:right="521"/>
        <w:rPr>
          <w:rFonts w:eastAsia="Calibri"/>
          <w:iCs/>
          <w:color w:val="000000"/>
          <w:szCs w:val="18"/>
          <w:lang w:eastAsia="de-DE"/>
        </w:rPr>
      </w:pPr>
      <w:bookmarkStart w:id="16" w:name="_Ref532286998"/>
      <w:bookmarkStart w:id="17" w:name="_Toc536101332"/>
      <w:r w:rsidRPr="00FF4E93">
        <w:rPr>
          <w:rFonts w:eastAsia="Calibri"/>
          <w:b/>
          <w:iCs/>
          <w:color w:val="000000"/>
          <w:szCs w:val="18"/>
          <w:lang w:eastAsia="de-DE"/>
        </w:rPr>
        <w:lastRenderedPageBreak/>
        <w:t xml:space="preserve">Table </w:t>
      </w:r>
      <w:r w:rsidRPr="00FF4E93">
        <w:rPr>
          <w:rFonts w:eastAsia="Calibri"/>
          <w:b/>
          <w:iCs/>
          <w:color w:val="000000"/>
          <w:szCs w:val="18"/>
          <w:lang w:eastAsia="de-DE"/>
        </w:rPr>
        <w:fldChar w:fldCharType="begin"/>
      </w:r>
      <w:r w:rsidRPr="00FF4E93">
        <w:rPr>
          <w:rFonts w:eastAsia="Calibri"/>
          <w:b/>
          <w:iCs/>
          <w:color w:val="000000"/>
          <w:szCs w:val="18"/>
          <w:lang w:eastAsia="de-DE"/>
        </w:rPr>
        <w:instrText xml:space="preserve"> STYLEREF 1 \s </w:instrText>
      </w:r>
      <w:r w:rsidRPr="00FF4E93">
        <w:rPr>
          <w:rFonts w:eastAsia="Calibri"/>
          <w:b/>
          <w:iCs/>
          <w:color w:val="000000"/>
          <w:szCs w:val="18"/>
          <w:lang w:eastAsia="de-DE"/>
        </w:rPr>
        <w:fldChar w:fldCharType="separate"/>
      </w:r>
      <w:r w:rsidR="00D231CD" w:rsidRPr="00FF4E93">
        <w:rPr>
          <w:rFonts w:eastAsia="Calibri"/>
          <w:b/>
          <w:iCs/>
          <w:noProof/>
          <w:color w:val="000000"/>
          <w:szCs w:val="18"/>
          <w:lang w:eastAsia="de-DE"/>
        </w:rPr>
        <w:t>4</w:t>
      </w:r>
      <w:r w:rsidRPr="00FF4E93">
        <w:rPr>
          <w:rFonts w:eastAsia="Calibri"/>
          <w:b/>
          <w:iCs/>
          <w:color w:val="000000"/>
          <w:szCs w:val="18"/>
          <w:lang w:eastAsia="de-DE"/>
        </w:rPr>
        <w:fldChar w:fldCharType="end"/>
      </w:r>
      <w:r w:rsidRPr="00FF4E93">
        <w:rPr>
          <w:rFonts w:eastAsia="Calibri"/>
          <w:b/>
          <w:iCs/>
          <w:color w:val="000000"/>
          <w:szCs w:val="18"/>
          <w:lang w:eastAsia="de-DE"/>
        </w:rPr>
        <w:noBreakHyphen/>
      </w:r>
      <w:r w:rsidRPr="00FF4E93">
        <w:rPr>
          <w:rFonts w:eastAsia="Calibri"/>
          <w:b/>
          <w:iCs/>
          <w:color w:val="000000"/>
          <w:szCs w:val="18"/>
          <w:lang w:eastAsia="de-DE"/>
        </w:rPr>
        <w:fldChar w:fldCharType="begin"/>
      </w:r>
      <w:r w:rsidRPr="00FF4E93">
        <w:rPr>
          <w:rFonts w:eastAsia="Calibri"/>
          <w:b/>
          <w:iCs/>
          <w:color w:val="000000"/>
          <w:szCs w:val="18"/>
          <w:lang w:eastAsia="de-DE"/>
        </w:rPr>
        <w:instrText xml:space="preserve"> SEQ Table \* ARABIC \s 1 </w:instrText>
      </w:r>
      <w:r w:rsidRPr="00FF4E93">
        <w:rPr>
          <w:rFonts w:eastAsia="Calibri"/>
          <w:b/>
          <w:iCs/>
          <w:color w:val="000000"/>
          <w:szCs w:val="18"/>
          <w:lang w:eastAsia="de-DE"/>
        </w:rPr>
        <w:fldChar w:fldCharType="separate"/>
      </w:r>
      <w:r w:rsidR="00D231CD" w:rsidRPr="00FF4E93">
        <w:rPr>
          <w:rFonts w:eastAsia="Calibri"/>
          <w:b/>
          <w:iCs/>
          <w:noProof/>
          <w:color w:val="000000"/>
          <w:szCs w:val="18"/>
          <w:lang w:eastAsia="de-DE"/>
        </w:rPr>
        <w:t>2</w:t>
      </w:r>
      <w:r w:rsidRPr="00FF4E93">
        <w:rPr>
          <w:rFonts w:eastAsia="Calibri"/>
          <w:b/>
          <w:iCs/>
          <w:color w:val="000000"/>
          <w:szCs w:val="18"/>
          <w:lang w:eastAsia="de-DE"/>
        </w:rPr>
        <w:fldChar w:fldCharType="end"/>
      </w:r>
      <w:bookmarkEnd w:id="16"/>
      <w:r w:rsidRPr="00FF4E93">
        <w:rPr>
          <w:rFonts w:eastAsia="Calibri"/>
          <w:iCs/>
          <w:color w:val="000000"/>
          <w:szCs w:val="18"/>
          <w:lang w:eastAsia="de-DE"/>
        </w:rPr>
        <w:t>: Relative frequency of configuration 2 variants</w:t>
      </w:r>
      <w:bookmarkEnd w:id="17"/>
      <w:r w:rsidRPr="00FF4E93">
        <w:rPr>
          <w:rFonts w:eastAsia="Calibri"/>
          <w:iCs/>
          <w:color w:val="000000"/>
          <w:szCs w:val="18"/>
          <w:lang w:eastAsia="de-DE"/>
        </w:rPr>
        <w:t xml:space="preserve"> </w:t>
      </w:r>
    </w:p>
    <w:tbl>
      <w:tblPr>
        <w:tblW w:w="8889" w:type="dxa"/>
        <w:tblBorders>
          <w:top w:val="single" w:sz="4" w:space="0" w:color="auto"/>
          <w:bottom w:val="single" w:sz="4" w:space="0" w:color="auto"/>
        </w:tblBorders>
        <w:tblLook w:val="04A0" w:firstRow="1" w:lastRow="0" w:firstColumn="1" w:lastColumn="0" w:noHBand="0" w:noVBand="1"/>
      </w:tblPr>
      <w:tblGrid>
        <w:gridCol w:w="2687"/>
        <w:gridCol w:w="2302"/>
        <w:gridCol w:w="1300"/>
        <w:gridCol w:w="1300"/>
        <w:gridCol w:w="1300"/>
      </w:tblGrid>
      <w:tr w:rsidR="00151DC1" w:rsidRPr="00FF4E93" w14:paraId="6B4FEE07" w14:textId="77777777" w:rsidTr="00C54569">
        <w:trPr>
          <w:trHeight w:val="280"/>
        </w:trPr>
        <w:tc>
          <w:tcPr>
            <w:tcW w:w="2687" w:type="dxa"/>
            <w:tcBorders>
              <w:top w:val="single" w:sz="4" w:space="0" w:color="auto"/>
              <w:bottom w:val="single" w:sz="4" w:space="0" w:color="auto"/>
            </w:tcBorders>
            <w:shd w:val="clear" w:color="auto" w:fill="auto"/>
            <w:noWrap/>
            <w:hideMark/>
          </w:tcPr>
          <w:p w14:paraId="7030BA7F" w14:textId="77777777" w:rsidR="00151DC1" w:rsidRPr="00FF4E93" w:rsidRDefault="00151DC1" w:rsidP="00151DC1">
            <w:pPr>
              <w:spacing w:before="0" w:after="0" w:line="240" w:lineRule="auto"/>
              <w:jc w:val="left"/>
              <w:rPr>
                <w:rFonts w:eastAsia="Times New Roman"/>
                <w:iCs/>
                <w:color w:val="000000"/>
                <w:sz w:val="20"/>
                <w:szCs w:val="20"/>
              </w:rPr>
            </w:pPr>
            <w:r w:rsidRPr="00FF4E93">
              <w:rPr>
                <w:rFonts w:eastAsia="Times New Roman"/>
                <w:iCs/>
                <w:color w:val="000000"/>
                <w:sz w:val="20"/>
                <w:szCs w:val="20"/>
              </w:rPr>
              <w:t>Foundation</w:t>
            </w:r>
          </w:p>
        </w:tc>
        <w:tc>
          <w:tcPr>
            <w:tcW w:w="2302" w:type="dxa"/>
            <w:tcBorders>
              <w:top w:val="single" w:sz="4" w:space="0" w:color="auto"/>
              <w:bottom w:val="single" w:sz="4" w:space="0" w:color="auto"/>
            </w:tcBorders>
            <w:shd w:val="clear" w:color="auto" w:fill="auto"/>
            <w:noWrap/>
            <w:hideMark/>
          </w:tcPr>
          <w:p w14:paraId="186F96E5" w14:textId="77777777" w:rsidR="00151DC1" w:rsidRPr="00FF4E93" w:rsidRDefault="00151DC1" w:rsidP="00151DC1">
            <w:pPr>
              <w:spacing w:before="0" w:after="0" w:line="240" w:lineRule="auto"/>
              <w:jc w:val="left"/>
              <w:rPr>
                <w:rFonts w:eastAsia="Times New Roman"/>
                <w:iCs/>
                <w:color w:val="000000"/>
                <w:sz w:val="20"/>
                <w:szCs w:val="20"/>
              </w:rPr>
            </w:pPr>
            <w:r w:rsidRPr="00FF4E93">
              <w:rPr>
                <w:rFonts w:eastAsia="Times New Roman"/>
                <w:iCs/>
                <w:color w:val="000000"/>
                <w:sz w:val="20"/>
                <w:szCs w:val="20"/>
              </w:rPr>
              <w:t>Add-On</w:t>
            </w:r>
          </w:p>
        </w:tc>
        <w:tc>
          <w:tcPr>
            <w:tcW w:w="1300" w:type="dxa"/>
            <w:tcBorders>
              <w:top w:val="single" w:sz="4" w:space="0" w:color="auto"/>
              <w:bottom w:val="single" w:sz="4" w:space="0" w:color="auto"/>
            </w:tcBorders>
            <w:shd w:val="clear" w:color="auto" w:fill="auto"/>
            <w:noWrap/>
            <w:hideMark/>
          </w:tcPr>
          <w:p w14:paraId="0BFC934E" w14:textId="77777777" w:rsidR="00151DC1" w:rsidRPr="00FF4E93" w:rsidRDefault="00151DC1" w:rsidP="00151DC1">
            <w:pPr>
              <w:spacing w:before="0" w:after="0" w:line="240" w:lineRule="auto"/>
              <w:jc w:val="center"/>
              <w:rPr>
                <w:rFonts w:eastAsia="Times New Roman"/>
                <w:iCs/>
                <w:color w:val="000000"/>
                <w:sz w:val="20"/>
                <w:szCs w:val="20"/>
              </w:rPr>
            </w:pPr>
            <w:r w:rsidRPr="00FF4E93">
              <w:rPr>
                <w:rFonts w:eastAsia="Times New Roman"/>
                <w:iCs/>
                <w:color w:val="000000"/>
                <w:sz w:val="20"/>
                <w:szCs w:val="20"/>
              </w:rPr>
              <w:t>AI/ML</w:t>
            </w:r>
          </w:p>
        </w:tc>
        <w:tc>
          <w:tcPr>
            <w:tcW w:w="1300" w:type="dxa"/>
            <w:tcBorders>
              <w:top w:val="single" w:sz="4" w:space="0" w:color="auto"/>
              <w:bottom w:val="single" w:sz="4" w:space="0" w:color="auto"/>
            </w:tcBorders>
            <w:shd w:val="clear" w:color="auto" w:fill="auto"/>
            <w:noWrap/>
            <w:hideMark/>
          </w:tcPr>
          <w:p w14:paraId="73ABCF14" w14:textId="77777777" w:rsidR="00151DC1" w:rsidRPr="00FF4E93" w:rsidRDefault="00151DC1" w:rsidP="00151DC1">
            <w:pPr>
              <w:spacing w:before="0" w:after="0" w:line="240" w:lineRule="auto"/>
              <w:jc w:val="center"/>
              <w:rPr>
                <w:rFonts w:eastAsia="Times New Roman"/>
                <w:iCs/>
                <w:color w:val="000000"/>
                <w:sz w:val="20"/>
                <w:szCs w:val="20"/>
              </w:rPr>
            </w:pPr>
            <w:r w:rsidRPr="00FF4E93">
              <w:rPr>
                <w:rFonts w:eastAsia="Times New Roman"/>
                <w:iCs/>
                <w:color w:val="000000"/>
                <w:sz w:val="20"/>
                <w:szCs w:val="20"/>
              </w:rPr>
              <w:t>AR/VR</w:t>
            </w:r>
          </w:p>
        </w:tc>
        <w:tc>
          <w:tcPr>
            <w:tcW w:w="1300" w:type="dxa"/>
            <w:tcBorders>
              <w:top w:val="single" w:sz="4" w:space="0" w:color="auto"/>
              <w:bottom w:val="single" w:sz="4" w:space="0" w:color="auto"/>
            </w:tcBorders>
            <w:shd w:val="clear" w:color="auto" w:fill="auto"/>
            <w:noWrap/>
            <w:hideMark/>
          </w:tcPr>
          <w:p w14:paraId="213437DD" w14:textId="77777777" w:rsidR="00151DC1" w:rsidRPr="00FF4E93" w:rsidRDefault="00151DC1" w:rsidP="00151DC1">
            <w:pPr>
              <w:spacing w:before="0" w:after="0" w:line="240" w:lineRule="auto"/>
              <w:jc w:val="center"/>
              <w:rPr>
                <w:rFonts w:eastAsia="Times New Roman"/>
                <w:iCs/>
                <w:color w:val="000000"/>
                <w:sz w:val="20"/>
                <w:szCs w:val="20"/>
              </w:rPr>
            </w:pPr>
            <w:r w:rsidRPr="00FF4E93">
              <w:rPr>
                <w:rFonts w:eastAsia="Times New Roman"/>
                <w:iCs/>
                <w:color w:val="000000"/>
                <w:sz w:val="20"/>
                <w:szCs w:val="20"/>
              </w:rPr>
              <w:t>Drones</w:t>
            </w:r>
          </w:p>
        </w:tc>
      </w:tr>
      <w:tr w:rsidR="00151DC1" w:rsidRPr="00FF4E93" w14:paraId="4AD6BAE2" w14:textId="77777777" w:rsidTr="00C54569">
        <w:trPr>
          <w:trHeight w:val="300"/>
        </w:trPr>
        <w:tc>
          <w:tcPr>
            <w:tcW w:w="2687" w:type="dxa"/>
            <w:tcBorders>
              <w:top w:val="single" w:sz="4" w:space="0" w:color="auto"/>
            </w:tcBorders>
            <w:shd w:val="clear" w:color="auto" w:fill="auto"/>
            <w:noWrap/>
            <w:hideMark/>
          </w:tcPr>
          <w:p w14:paraId="746B6D17"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Layer Player, OBM</w:t>
            </w:r>
          </w:p>
        </w:tc>
        <w:tc>
          <w:tcPr>
            <w:tcW w:w="2302" w:type="dxa"/>
            <w:tcBorders>
              <w:top w:val="single" w:sz="4" w:space="0" w:color="auto"/>
            </w:tcBorders>
            <w:shd w:val="clear" w:color="auto" w:fill="auto"/>
            <w:noWrap/>
            <w:hideMark/>
          </w:tcPr>
          <w:p w14:paraId="5844F095"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Self-Service</w:t>
            </w:r>
          </w:p>
        </w:tc>
        <w:tc>
          <w:tcPr>
            <w:tcW w:w="1300" w:type="dxa"/>
            <w:tcBorders>
              <w:top w:val="single" w:sz="4" w:space="0" w:color="auto"/>
            </w:tcBorders>
            <w:shd w:val="clear" w:color="000000" w:fill="AAD380"/>
            <w:noWrap/>
            <w:hideMark/>
          </w:tcPr>
          <w:p w14:paraId="67CE6D40"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9.0%</w:t>
            </w:r>
          </w:p>
        </w:tc>
        <w:tc>
          <w:tcPr>
            <w:tcW w:w="1300" w:type="dxa"/>
            <w:tcBorders>
              <w:top w:val="single" w:sz="4" w:space="0" w:color="auto"/>
            </w:tcBorders>
            <w:shd w:val="clear" w:color="000000" w:fill="A3D17F"/>
            <w:noWrap/>
            <w:hideMark/>
          </w:tcPr>
          <w:p w14:paraId="75422A61"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9.5%</w:t>
            </w:r>
          </w:p>
        </w:tc>
        <w:tc>
          <w:tcPr>
            <w:tcW w:w="1300" w:type="dxa"/>
            <w:tcBorders>
              <w:top w:val="single" w:sz="4" w:space="0" w:color="auto"/>
            </w:tcBorders>
            <w:shd w:val="clear" w:color="000000" w:fill="D4DF82"/>
            <w:noWrap/>
            <w:hideMark/>
          </w:tcPr>
          <w:p w14:paraId="0660CE4B"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6.1%</w:t>
            </w:r>
          </w:p>
        </w:tc>
      </w:tr>
      <w:tr w:rsidR="00151DC1" w:rsidRPr="00FF4E93" w14:paraId="0C1DFBB1" w14:textId="77777777" w:rsidTr="00C54569">
        <w:trPr>
          <w:trHeight w:val="320"/>
        </w:trPr>
        <w:tc>
          <w:tcPr>
            <w:tcW w:w="2687" w:type="dxa"/>
            <w:shd w:val="clear" w:color="auto" w:fill="auto"/>
            <w:noWrap/>
            <w:hideMark/>
          </w:tcPr>
          <w:p w14:paraId="2ACC4D50"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7ABECE66"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Subscription</w:t>
            </w:r>
          </w:p>
        </w:tc>
        <w:tc>
          <w:tcPr>
            <w:tcW w:w="1300" w:type="dxa"/>
            <w:shd w:val="clear" w:color="000000" w:fill="D9E082"/>
            <w:noWrap/>
            <w:hideMark/>
          </w:tcPr>
          <w:p w14:paraId="0501252E"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5.7%</w:t>
            </w:r>
          </w:p>
        </w:tc>
        <w:tc>
          <w:tcPr>
            <w:tcW w:w="1300" w:type="dxa"/>
            <w:shd w:val="clear" w:color="000000" w:fill="DCE182"/>
            <w:noWrap/>
            <w:hideMark/>
          </w:tcPr>
          <w:p w14:paraId="17FC0E96"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5.5%</w:t>
            </w:r>
          </w:p>
        </w:tc>
        <w:tc>
          <w:tcPr>
            <w:tcW w:w="1300" w:type="dxa"/>
            <w:shd w:val="clear" w:color="auto" w:fill="auto"/>
            <w:noWrap/>
            <w:hideMark/>
          </w:tcPr>
          <w:p w14:paraId="3BC83ECC"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r>
      <w:tr w:rsidR="00151DC1" w:rsidRPr="00FF4E93" w14:paraId="0A6FBD14" w14:textId="77777777" w:rsidTr="00C54569">
        <w:trPr>
          <w:trHeight w:val="300"/>
        </w:trPr>
        <w:tc>
          <w:tcPr>
            <w:tcW w:w="2687" w:type="dxa"/>
            <w:shd w:val="clear" w:color="auto" w:fill="auto"/>
            <w:noWrap/>
            <w:hideMark/>
          </w:tcPr>
          <w:p w14:paraId="754D7822"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3806B174"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Digitization</w:t>
            </w:r>
          </w:p>
        </w:tc>
        <w:tc>
          <w:tcPr>
            <w:tcW w:w="1300" w:type="dxa"/>
            <w:shd w:val="clear" w:color="auto" w:fill="auto"/>
            <w:noWrap/>
            <w:hideMark/>
          </w:tcPr>
          <w:p w14:paraId="73D287C7"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2.1%</w:t>
            </w:r>
          </w:p>
        </w:tc>
        <w:tc>
          <w:tcPr>
            <w:tcW w:w="1300" w:type="dxa"/>
            <w:shd w:val="clear" w:color="000000" w:fill="B9D780"/>
            <w:noWrap/>
            <w:hideMark/>
          </w:tcPr>
          <w:p w14:paraId="6EAFD8EC"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8.0%</w:t>
            </w:r>
          </w:p>
        </w:tc>
        <w:tc>
          <w:tcPr>
            <w:tcW w:w="1300" w:type="dxa"/>
            <w:shd w:val="clear" w:color="auto" w:fill="auto"/>
            <w:noWrap/>
            <w:hideMark/>
          </w:tcPr>
          <w:p w14:paraId="6B21CAD8"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r>
      <w:tr w:rsidR="00151DC1" w:rsidRPr="00FF4E93" w14:paraId="5005DEFB" w14:textId="77777777" w:rsidTr="00C54569">
        <w:trPr>
          <w:trHeight w:val="320"/>
        </w:trPr>
        <w:tc>
          <w:tcPr>
            <w:tcW w:w="2687" w:type="dxa"/>
            <w:shd w:val="clear" w:color="auto" w:fill="auto"/>
            <w:noWrap/>
            <w:hideMark/>
          </w:tcPr>
          <w:p w14:paraId="7BB55E6F"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77F4D509"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Leverage Customer Data</w:t>
            </w:r>
          </w:p>
        </w:tc>
        <w:tc>
          <w:tcPr>
            <w:tcW w:w="1300" w:type="dxa"/>
            <w:shd w:val="clear" w:color="auto" w:fill="auto"/>
            <w:noWrap/>
            <w:hideMark/>
          </w:tcPr>
          <w:p w14:paraId="069DBF45"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000000" w:fill="DCE182"/>
            <w:noWrap/>
            <w:hideMark/>
          </w:tcPr>
          <w:p w14:paraId="6CBF7D6D"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5.5%</w:t>
            </w:r>
          </w:p>
        </w:tc>
        <w:tc>
          <w:tcPr>
            <w:tcW w:w="1300" w:type="dxa"/>
            <w:shd w:val="clear" w:color="000000" w:fill="BFD981"/>
            <w:noWrap/>
            <w:hideMark/>
          </w:tcPr>
          <w:p w14:paraId="093BA3C1"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7.6%</w:t>
            </w:r>
          </w:p>
        </w:tc>
      </w:tr>
      <w:tr w:rsidR="00151DC1" w:rsidRPr="00FF4E93" w14:paraId="6446BE70" w14:textId="77777777" w:rsidTr="00C54569">
        <w:trPr>
          <w:trHeight w:val="280"/>
        </w:trPr>
        <w:tc>
          <w:tcPr>
            <w:tcW w:w="2687" w:type="dxa"/>
            <w:shd w:val="clear" w:color="auto" w:fill="auto"/>
            <w:noWrap/>
            <w:hideMark/>
          </w:tcPr>
          <w:p w14:paraId="0C48220C"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464ED830"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7F7F7F"/>
                <w:sz w:val="20"/>
                <w:szCs w:val="20"/>
              </w:rPr>
              <w:t>Direct Selling</w:t>
            </w:r>
          </w:p>
        </w:tc>
        <w:tc>
          <w:tcPr>
            <w:tcW w:w="1300" w:type="dxa"/>
            <w:shd w:val="clear" w:color="auto" w:fill="auto"/>
            <w:noWrap/>
            <w:hideMark/>
          </w:tcPr>
          <w:p w14:paraId="59C87B42"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2.4%</w:t>
            </w:r>
          </w:p>
        </w:tc>
        <w:tc>
          <w:tcPr>
            <w:tcW w:w="1300" w:type="dxa"/>
            <w:shd w:val="clear" w:color="auto" w:fill="auto"/>
            <w:noWrap/>
            <w:hideMark/>
          </w:tcPr>
          <w:p w14:paraId="7B2D7A4D"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auto" w:fill="auto"/>
            <w:noWrap/>
            <w:hideMark/>
          </w:tcPr>
          <w:p w14:paraId="1AB9C852"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r>
      <w:tr w:rsidR="00151DC1" w:rsidRPr="00FF4E93" w14:paraId="74909FC8" w14:textId="77777777" w:rsidTr="00C54569">
        <w:trPr>
          <w:trHeight w:val="320"/>
        </w:trPr>
        <w:tc>
          <w:tcPr>
            <w:tcW w:w="2687" w:type="dxa"/>
            <w:shd w:val="clear" w:color="auto" w:fill="auto"/>
            <w:noWrap/>
            <w:hideMark/>
          </w:tcPr>
          <w:p w14:paraId="0904C7ED"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17767E88"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Virtualization</w:t>
            </w:r>
          </w:p>
        </w:tc>
        <w:tc>
          <w:tcPr>
            <w:tcW w:w="1300" w:type="dxa"/>
            <w:shd w:val="clear" w:color="auto" w:fill="auto"/>
            <w:noWrap/>
            <w:hideMark/>
          </w:tcPr>
          <w:p w14:paraId="37E0DA0F"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000000" w:fill="B9D780"/>
            <w:noWrap/>
            <w:hideMark/>
          </w:tcPr>
          <w:p w14:paraId="481A4332"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8.0%</w:t>
            </w:r>
          </w:p>
        </w:tc>
        <w:tc>
          <w:tcPr>
            <w:tcW w:w="1300" w:type="dxa"/>
            <w:shd w:val="clear" w:color="auto" w:fill="auto"/>
            <w:noWrap/>
            <w:hideMark/>
          </w:tcPr>
          <w:p w14:paraId="3290B586"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r>
      <w:tr w:rsidR="00151DC1" w:rsidRPr="00FF4E93" w14:paraId="54EFEC00" w14:textId="77777777" w:rsidTr="00C54569">
        <w:trPr>
          <w:trHeight w:val="300"/>
        </w:trPr>
        <w:tc>
          <w:tcPr>
            <w:tcW w:w="2687" w:type="dxa"/>
            <w:shd w:val="clear" w:color="auto" w:fill="auto"/>
            <w:noWrap/>
            <w:hideMark/>
          </w:tcPr>
          <w:p w14:paraId="6B4EAE25"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447BB043"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Integrator</w:t>
            </w:r>
          </w:p>
        </w:tc>
        <w:tc>
          <w:tcPr>
            <w:tcW w:w="1300" w:type="dxa"/>
            <w:shd w:val="clear" w:color="auto" w:fill="auto"/>
            <w:noWrap/>
            <w:hideMark/>
          </w:tcPr>
          <w:p w14:paraId="5825C6B1"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auto" w:fill="auto"/>
            <w:noWrap/>
            <w:hideMark/>
          </w:tcPr>
          <w:p w14:paraId="3C4451A9"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000000" w:fill="C6DB81"/>
            <w:noWrap/>
            <w:hideMark/>
          </w:tcPr>
          <w:p w14:paraId="23FDA6AC"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7.1%</w:t>
            </w:r>
          </w:p>
        </w:tc>
      </w:tr>
      <w:tr w:rsidR="00151DC1" w:rsidRPr="00FF4E93" w14:paraId="768079A3" w14:textId="77777777" w:rsidTr="00C54569">
        <w:trPr>
          <w:trHeight w:val="280"/>
        </w:trPr>
        <w:tc>
          <w:tcPr>
            <w:tcW w:w="2687" w:type="dxa"/>
            <w:shd w:val="clear" w:color="auto" w:fill="auto"/>
            <w:noWrap/>
            <w:hideMark/>
          </w:tcPr>
          <w:p w14:paraId="133D9BD6"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3D90206F"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Aikido</w:t>
            </w:r>
          </w:p>
        </w:tc>
        <w:tc>
          <w:tcPr>
            <w:tcW w:w="1300" w:type="dxa"/>
            <w:shd w:val="clear" w:color="auto" w:fill="auto"/>
            <w:noWrap/>
            <w:hideMark/>
          </w:tcPr>
          <w:p w14:paraId="5D3904EF"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000000" w:fill="CEDD82"/>
            <w:noWrap/>
            <w:hideMark/>
          </w:tcPr>
          <w:p w14:paraId="6F7F3105"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6.5%</w:t>
            </w:r>
          </w:p>
        </w:tc>
        <w:tc>
          <w:tcPr>
            <w:tcW w:w="1300" w:type="dxa"/>
            <w:shd w:val="clear" w:color="auto" w:fill="auto"/>
            <w:noWrap/>
            <w:hideMark/>
          </w:tcPr>
          <w:p w14:paraId="7D8871BE"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r>
      <w:tr w:rsidR="00151DC1" w:rsidRPr="00FF4E93" w14:paraId="28FA443D" w14:textId="77777777" w:rsidTr="00C54569">
        <w:trPr>
          <w:trHeight w:val="300"/>
        </w:trPr>
        <w:tc>
          <w:tcPr>
            <w:tcW w:w="2687" w:type="dxa"/>
            <w:shd w:val="clear" w:color="auto" w:fill="auto"/>
            <w:noWrap/>
            <w:hideMark/>
          </w:tcPr>
          <w:p w14:paraId="39C7468B"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2CEA24BB"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Sensor-as-a-Service</w:t>
            </w:r>
          </w:p>
        </w:tc>
        <w:tc>
          <w:tcPr>
            <w:tcW w:w="1300" w:type="dxa"/>
            <w:shd w:val="clear" w:color="auto" w:fill="auto"/>
            <w:noWrap/>
            <w:hideMark/>
          </w:tcPr>
          <w:p w14:paraId="2D8FD26E"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auto" w:fill="auto"/>
            <w:noWrap/>
            <w:hideMark/>
          </w:tcPr>
          <w:p w14:paraId="01889E28"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000000" w:fill="DBE182"/>
            <w:noWrap/>
            <w:hideMark/>
          </w:tcPr>
          <w:p w14:paraId="71280FFD"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5.6%</w:t>
            </w:r>
          </w:p>
        </w:tc>
      </w:tr>
      <w:tr w:rsidR="00151DC1" w:rsidRPr="00FF4E93" w14:paraId="4AFFFF4C" w14:textId="77777777" w:rsidTr="00C54569">
        <w:trPr>
          <w:trHeight w:val="280"/>
        </w:trPr>
        <w:tc>
          <w:tcPr>
            <w:tcW w:w="2687" w:type="dxa"/>
            <w:shd w:val="clear" w:color="auto" w:fill="auto"/>
            <w:noWrap/>
            <w:hideMark/>
          </w:tcPr>
          <w:p w14:paraId="2418A9C2"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613549E5"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7F7F7F"/>
                <w:sz w:val="20"/>
                <w:szCs w:val="20"/>
              </w:rPr>
              <w:t>Two-sided Market</w:t>
            </w:r>
          </w:p>
        </w:tc>
        <w:tc>
          <w:tcPr>
            <w:tcW w:w="1300" w:type="dxa"/>
            <w:shd w:val="clear" w:color="auto" w:fill="auto"/>
            <w:noWrap/>
            <w:hideMark/>
          </w:tcPr>
          <w:p w14:paraId="5460CEE6"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auto" w:fill="auto"/>
            <w:noWrap/>
            <w:hideMark/>
          </w:tcPr>
          <w:p w14:paraId="20EE3F4C"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auto" w:fill="auto"/>
            <w:noWrap/>
            <w:hideMark/>
          </w:tcPr>
          <w:p w14:paraId="6EFF161B"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r>
    </w:tbl>
    <w:p w14:paraId="59F1D941" w14:textId="77777777" w:rsidR="00151DC1" w:rsidRPr="00FF4E93" w:rsidRDefault="00151DC1" w:rsidP="00151DC1">
      <w:pPr>
        <w:spacing w:after="0"/>
        <w:rPr>
          <w:rFonts w:eastAsia="Times New Roman"/>
          <w:sz w:val="26"/>
        </w:rPr>
      </w:pPr>
    </w:p>
    <w:p w14:paraId="2E2879DE" w14:textId="77777777" w:rsidR="00151DC1" w:rsidRPr="00FF4E93" w:rsidRDefault="00151DC1" w:rsidP="00151DC1">
      <w:pPr>
        <w:spacing w:after="0"/>
        <w:rPr>
          <w:rFonts w:eastAsia="Times New Roman"/>
          <w:i/>
          <w:sz w:val="26"/>
        </w:rPr>
      </w:pPr>
      <w:r w:rsidRPr="00FF4E93">
        <w:rPr>
          <w:rFonts w:eastAsia="Times New Roman"/>
          <w:i/>
          <w:color w:val="000000"/>
          <w:sz w:val="26"/>
        </w:rPr>
        <w:t xml:space="preserve">Self-Service </w:t>
      </w:r>
      <w:r w:rsidRPr="00FF4E93">
        <w:rPr>
          <w:rFonts w:eastAsia="Times New Roman"/>
          <w:i/>
          <w:sz w:val="26"/>
        </w:rPr>
        <w:t>(Add-on)</w:t>
      </w:r>
    </w:p>
    <w:p w14:paraId="61D7F8A9" w14:textId="77777777" w:rsidR="00151DC1" w:rsidRPr="00FF4E93" w:rsidRDefault="00151DC1" w:rsidP="00151DC1">
      <w:pPr>
        <w:spacing w:after="0"/>
        <w:rPr>
          <w:rFonts w:eastAsia="Times New Roman"/>
          <w:i/>
          <w:color w:val="000000"/>
          <w:sz w:val="26"/>
        </w:rPr>
      </w:pPr>
      <w:r w:rsidRPr="00FF4E93">
        <w:rPr>
          <w:rFonts w:eastAsia="Times New Roman"/>
          <w:color w:val="000000"/>
          <w:sz w:val="26"/>
        </w:rPr>
        <w:t xml:space="preserve">The most dominant variant of configuration 2 across all samples is the combination with the </w:t>
      </w:r>
      <w:r w:rsidRPr="00FF4E93">
        <w:rPr>
          <w:rFonts w:eastAsia="Times New Roman"/>
          <w:i/>
          <w:color w:val="000000"/>
          <w:sz w:val="26"/>
        </w:rPr>
        <w:t xml:space="preserve">Self-Service </w:t>
      </w:r>
      <w:r w:rsidRPr="00FF4E93">
        <w:rPr>
          <w:rFonts w:eastAsia="Times New Roman"/>
          <w:color w:val="000000"/>
          <w:sz w:val="26"/>
        </w:rPr>
        <w:t>pattern. It is characterized by customers executing part of the value creation process, typically in exchange for lower prices (</w:t>
      </w:r>
      <w:r w:rsidRPr="00FF4E93">
        <w:rPr>
          <w:rFonts w:eastAsia="Times New Roman"/>
          <w:sz w:val="26"/>
        </w:rPr>
        <w:t xml:space="preserve">Gassmann </w:t>
      </w:r>
      <w:r w:rsidRPr="00FF4E93">
        <w:rPr>
          <w:rFonts w:eastAsia="Times New Roman"/>
          <w:i/>
          <w:sz w:val="26"/>
        </w:rPr>
        <w:t xml:space="preserve">et al., </w:t>
      </w:r>
      <w:r w:rsidRPr="00FF4E93">
        <w:rPr>
          <w:rFonts w:eastAsia="Times New Roman"/>
          <w:sz w:val="26"/>
        </w:rPr>
        <w:t>2016</w:t>
      </w:r>
      <w:r w:rsidRPr="00FF4E93">
        <w:rPr>
          <w:rFonts w:eastAsia="Times New Roman"/>
          <w:color w:val="000000"/>
          <w:sz w:val="26"/>
        </w:rPr>
        <w:t xml:space="preserve">). In the context of emerging technologies, this pattern was mostly observed in either of two forms: (1) customization and integration interfaces (APIs, SDKs, etc.); and (2) self-service tools and portals which support clients in their usage of the main product. Configurational fit between the three patterns emerges as companies in this configuration sell their products across industries </w:t>
      </w:r>
      <w:r w:rsidRPr="00FF4E93">
        <w:rPr>
          <w:rFonts w:eastAsia="Times New Roman"/>
          <w:i/>
          <w:color w:val="000000"/>
          <w:sz w:val="26"/>
        </w:rPr>
        <w:t>(Layer Player)</w:t>
      </w:r>
      <w:r w:rsidRPr="00FF4E93">
        <w:rPr>
          <w:rFonts w:eastAsia="Times New Roman"/>
          <w:color w:val="000000"/>
          <w:sz w:val="26"/>
        </w:rPr>
        <w:t xml:space="preserve"> and </w:t>
      </w:r>
      <w:r w:rsidRPr="00FF4E93">
        <w:rPr>
          <w:rFonts w:eastAsia="Times New Roman"/>
          <w:i/>
          <w:color w:val="000000"/>
          <w:sz w:val="26"/>
        </w:rPr>
        <w:t>Self-Service</w:t>
      </w:r>
      <w:r w:rsidRPr="00FF4E93">
        <w:rPr>
          <w:rFonts w:eastAsia="Times New Roman"/>
          <w:color w:val="000000"/>
          <w:sz w:val="26"/>
        </w:rPr>
        <w:t xml:space="preserve"> tools provide a cost-effective mean for highly-valued customization. On a value creation side, open infrastructure software, accessible e.g. via an API, is an ideal precondition for collaborations with complementary partners </w:t>
      </w:r>
      <w:r w:rsidRPr="00FF4E93">
        <w:rPr>
          <w:rFonts w:eastAsia="Times New Roman"/>
          <w:i/>
          <w:color w:val="000000"/>
          <w:sz w:val="26"/>
        </w:rPr>
        <w:t>(OBM).</w:t>
      </w:r>
    </w:p>
    <w:p w14:paraId="356B6262" w14:textId="77777777" w:rsidR="00151DC1" w:rsidRPr="00FF4E93" w:rsidRDefault="00151DC1" w:rsidP="00151DC1">
      <w:pPr>
        <w:spacing w:after="0"/>
        <w:rPr>
          <w:rFonts w:eastAsia="Times New Roman"/>
          <w:color w:val="000000"/>
          <w:sz w:val="26"/>
        </w:rPr>
      </w:pPr>
      <w:r w:rsidRPr="00FF4E93">
        <w:rPr>
          <w:rFonts w:eastAsia="Times New Roman"/>
          <w:color w:val="000000"/>
          <w:sz w:val="26"/>
        </w:rPr>
        <w:t xml:space="preserve">For instance, </w:t>
      </w:r>
      <w:r w:rsidRPr="00FF4E93">
        <w:rPr>
          <w:rFonts w:eastAsia="Times New Roman"/>
          <w:i/>
          <w:color w:val="000000"/>
          <w:sz w:val="26"/>
        </w:rPr>
        <w:t xml:space="preserve">Sight Machine </w:t>
      </w:r>
      <w:r w:rsidRPr="00FF4E93">
        <w:rPr>
          <w:rFonts w:eastAsia="Times New Roman"/>
          <w:color w:val="000000"/>
          <w:sz w:val="26"/>
        </w:rPr>
        <w:t>is adding self-service functionality via the introduction of a new function.</w:t>
      </w:r>
    </w:p>
    <w:p w14:paraId="73AA0E28" w14:textId="77777777" w:rsidR="00151DC1" w:rsidRPr="00FF4E93" w:rsidRDefault="00151DC1" w:rsidP="00151DC1">
      <w:pPr>
        <w:spacing w:before="200" w:after="160"/>
        <w:ind w:left="864" w:right="864"/>
        <w:rPr>
          <w:rFonts w:eastAsia="Times New Roman"/>
          <w:i/>
          <w:iCs/>
          <w:color w:val="000000"/>
          <w:sz w:val="26"/>
        </w:rPr>
      </w:pPr>
      <w:r w:rsidRPr="00FF4E93">
        <w:rPr>
          <w:rFonts w:eastAsia="Times New Roman"/>
          <w:i/>
          <w:iCs/>
          <w:color w:val="000000"/>
          <w:sz w:val="26"/>
        </w:rPr>
        <w:t>“Another function, Sight Machine Commander, […] will give manufacturers and integrators the ability to add new data sources and data types through an intuitive-web based interface. This is a step away from traditional analytics […] systems that are constrained by limited data sources and the need for IT experts to get involved, and a step toward self-service data preparation and analytics that allow non-specialist users to […] do the analysis themselves”</w:t>
      </w:r>
    </w:p>
    <w:p w14:paraId="5DEE1C73" w14:textId="77777777" w:rsidR="00151DC1" w:rsidRPr="00FF4E93" w:rsidRDefault="00151DC1" w:rsidP="00151DC1">
      <w:pPr>
        <w:spacing w:after="0"/>
        <w:rPr>
          <w:rFonts w:eastAsia="Times New Roman"/>
          <w:i/>
          <w:color w:val="000000"/>
          <w:sz w:val="26"/>
        </w:rPr>
      </w:pPr>
      <w:r w:rsidRPr="00FF4E93">
        <w:rPr>
          <w:rFonts w:eastAsia="Times New Roman"/>
          <w:color w:val="000000"/>
          <w:sz w:val="26"/>
        </w:rPr>
        <w:t xml:space="preserve">Similarly, the AR/VR startup </w:t>
      </w:r>
      <w:proofErr w:type="spellStart"/>
      <w:r w:rsidRPr="00FF4E93">
        <w:rPr>
          <w:rFonts w:eastAsia="Times New Roman"/>
          <w:i/>
          <w:color w:val="000000"/>
          <w:sz w:val="26"/>
        </w:rPr>
        <w:t>Blippar</w:t>
      </w:r>
      <w:proofErr w:type="spellEnd"/>
      <w:r w:rsidRPr="00FF4E93">
        <w:rPr>
          <w:rFonts w:eastAsia="Times New Roman"/>
          <w:color w:val="000000"/>
          <w:sz w:val="26"/>
        </w:rPr>
        <w:t xml:space="preserve"> applies the pattern through a </w:t>
      </w:r>
      <w:r w:rsidRPr="00FF4E93">
        <w:rPr>
          <w:rFonts w:eastAsia="Times New Roman"/>
          <w:i/>
          <w:color w:val="000000"/>
          <w:sz w:val="26"/>
        </w:rPr>
        <w:t xml:space="preserve">“self-service suite of tools” </w:t>
      </w:r>
      <w:r w:rsidRPr="00FF4E93">
        <w:rPr>
          <w:rFonts w:eastAsia="Times New Roman"/>
          <w:color w:val="000000"/>
          <w:sz w:val="26"/>
        </w:rPr>
        <w:t xml:space="preserve">used to make its </w:t>
      </w:r>
      <w:r w:rsidRPr="00FF4E93">
        <w:rPr>
          <w:rFonts w:eastAsia="Times New Roman"/>
          <w:i/>
          <w:color w:val="000000"/>
          <w:sz w:val="26"/>
        </w:rPr>
        <w:t xml:space="preserve">“technology publicly available to developers, letting them tap </w:t>
      </w:r>
      <w:r w:rsidRPr="00FF4E93">
        <w:rPr>
          <w:rFonts w:eastAsia="Times New Roman"/>
          <w:i/>
          <w:color w:val="000000"/>
          <w:sz w:val="26"/>
        </w:rPr>
        <w:lastRenderedPageBreak/>
        <w:t xml:space="preserve">into </w:t>
      </w:r>
      <w:proofErr w:type="spellStart"/>
      <w:r w:rsidRPr="00FF4E93">
        <w:rPr>
          <w:rFonts w:eastAsia="Times New Roman"/>
          <w:i/>
          <w:color w:val="000000"/>
          <w:sz w:val="26"/>
        </w:rPr>
        <w:t>Blippar’s</w:t>
      </w:r>
      <w:proofErr w:type="spellEnd"/>
      <w:r w:rsidRPr="00FF4E93">
        <w:rPr>
          <w:rFonts w:eastAsia="Times New Roman"/>
          <w:i/>
          <w:color w:val="000000"/>
          <w:sz w:val="26"/>
        </w:rPr>
        <w:t xml:space="preserve"> Computer Vision API and attach their own augmented reality experiences to real-world objects.”</w:t>
      </w:r>
    </w:p>
    <w:p w14:paraId="12C654CD" w14:textId="77777777" w:rsidR="00151DC1" w:rsidRPr="00FF4E93" w:rsidRDefault="00151DC1" w:rsidP="00151DC1">
      <w:pPr>
        <w:spacing w:after="0"/>
        <w:rPr>
          <w:rFonts w:eastAsia="Times New Roman"/>
          <w:i/>
          <w:sz w:val="26"/>
        </w:rPr>
      </w:pPr>
      <w:r w:rsidRPr="00FF4E93">
        <w:rPr>
          <w:rFonts w:eastAsia="Times New Roman"/>
          <w:i/>
          <w:color w:val="000000"/>
          <w:sz w:val="26"/>
        </w:rPr>
        <w:t xml:space="preserve">Virtualization </w:t>
      </w:r>
      <w:r w:rsidRPr="00FF4E93">
        <w:rPr>
          <w:rFonts w:eastAsia="Times New Roman"/>
          <w:i/>
          <w:sz w:val="26"/>
        </w:rPr>
        <w:t>(Add-on)</w:t>
      </w:r>
    </w:p>
    <w:p w14:paraId="5DAFFAF6" w14:textId="77777777" w:rsidR="00151DC1" w:rsidRPr="00FF4E93" w:rsidRDefault="00151DC1" w:rsidP="00151DC1">
      <w:pPr>
        <w:spacing w:after="0"/>
        <w:rPr>
          <w:rFonts w:eastAsia="Times New Roman"/>
          <w:color w:val="000000"/>
          <w:sz w:val="26"/>
        </w:rPr>
      </w:pPr>
      <w:r w:rsidRPr="00FF4E93">
        <w:rPr>
          <w:rFonts w:eastAsia="Times New Roman"/>
          <w:color w:val="000000"/>
          <w:sz w:val="26"/>
        </w:rPr>
        <w:t xml:space="preserve">Complementing configuration 2 with the </w:t>
      </w:r>
      <w:r w:rsidRPr="00FF4E93">
        <w:rPr>
          <w:rFonts w:eastAsia="Times New Roman"/>
          <w:i/>
          <w:color w:val="000000"/>
          <w:sz w:val="26"/>
        </w:rPr>
        <w:t xml:space="preserve">Virtualization </w:t>
      </w:r>
      <w:r w:rsidRPr="00FF4E93">
        <w:rPr>
          <w:rFonts w:eastAsia="Times New Roman"/>
          <w:color w:val="000000"/>
          <w:sz w:val="26"/>
        </w:rPr>
        <w:t xml:space="preserve">pattern yields a variant we frequently observed in the AR/VR domain. In a narrow sense, </w:t>
      </w:r>
      <w:r w:rsidRPr="00FF4E93">
        <w:rPr>
          <w:rFonts w:eastAsia="Times New Roman"/>
          <w:i/>
          <w:color w:val="000000"/>
          <w:sz w:val="26"/>
        </w:rPr>
        <w:t>Virtualization</w:t>
      </w:r>
      <w:r w:rsidRPr="00FF4E93">
        <w:rPr>
          <w:rFonts w:eastAsia="Times New Roman"/>
          <w:color w:val="000000"/>
          <w:sz w:val="26"/>
        </w:rPr>
        <w:t xml:space="preserve"> describes the imitation of a traditionally physical process in a virtual environment to make it accessible from anywhere at any time, often cloud-enabled (</w:t>
      </w:r>
      <w:r w:rsidRPr="00FF4E93">
        <w:rPr>
          <w:rFonts w:eastAsia="Times New Roman"/>
          <w:sz w:val="26"/>
        </w:rPr>
        <w:t xml:space="preserve">Gassmann </w:t>
      </w:r>
      <w:r w:rsidRPr="00FF4E93">
        <w:rPr>
          <w:rFonts w:eastAsia="Times New Roman"/>
          <w:i/>
          <w:sz w:val="26"/>
        </w:rPr>
        <w:t xml:space="preserve">et al., </w:t>
      </w:r>
      <w:r w:rsidRPr="00FF4E93">
        <w:rPr>
          <w:rFonts w:eastAsia="Times New Roman"/>
          <w:sz w:val="26"/>
        </w:rPr>
        <w:t>2016</w:t>
      </w:r>
      <w:r w:rsidRPr="00FF4E93">
        <w:rPr>
          <w:rFonts w:eastAsia="Times New Roman"/>
          <w:color w:val="000000"/>
          <w:sz w:val="26"/>
        </w:rPr>
        <w:t xml:space="preserve">). For the analysis of this paper, the definition has been broadened to also include new processes, products and businesses, which exist purely in a virtual space/reality. Naturally, augmented and virtual reality are both extremely powerful technologies in that sense, converting real-world objects or habits into the virtual world. An example would be the enablement of virtual meetings (e.g., </w:t>
      </w:r>
      <w:proofErr w:type="spellStart"/>
      <w:r w:rsidRPr="00FF4E93">
        <w:rPr>
          <w:rFonts w:eastAsia="Times New Roman"/>
          <w:i/>
          <w:color w:val="000000"/>
          <w:sz w:val="26"/>
        </w:rPr>
        <w:t>Altspace</w:t>
      </w:r>
      <w:proofErr w:type="spellEnd"/>
      <w:r w:rsidRPr="00FF4E93">
        <w:rPr>
          <w:rFonts w:eastAsia="Times New Roman"/>
          <w:i/>
          <w:color w:val="000000"/>
          <w:sz w:val="26"/>
        </w:rPr>
        <w:t xml:space="preserve"> VR </w:t>
      </w:r>
      <w:r w:rsidRPr="00FF4E93">
        <w:rPr>
          <w:rFonts w:eastAsia="Times New Roman"/>
          <w:color w:val="000000"/>
          <w:sz w:val="26"/>
        </w:rPr>
        <w:t>or</w:t>
      </w:r>
      <w:r w:rsidRPr="00FF4E93">
        <w:rPr>
          <w:rFonts w:eastAsia="Times New Roman"/>
          <w:i/>
          <w:color w:val="000000"/>
          <w:sz w:val="26"/>
        </w:rPr>
        <w:t xml:space="preserve"> Against Gravity</w:t>
      </w:r>
      <w:r w:rsidRPr="00FF4E93">
        <w:rPr>
          <w:rFonts w:eastAsia="Times New Roman"/>
          <w:color w:val="000000"/>
          <w:sz w:val="26"/>
        </w:rPr>
        <w:t xml:space="preserve">) as well as </w:t>
      </w:r>
      <w:r w:rsidRPr="00FF4E93">
        <w:rPr>
          <w:rFonts w:eastAsia="Times New Roman"/>
          <w:i/>
          <w:color w:val="000000"/>
          <w:sz w:val="26"/>
        </w:rPr>
        <w:t xml:space="preserve">Boulevard’s </w:t>
      </w:r>
      <w:r w:rsidRPr="00FF4E93">
        <w:rPr>
          <w:rFonts w:eastAsia="Times New Roman"/>
          <w:color w:val="000000"/>
          <w:sz w:val="26"/>
        </w:rPr>
        <w:t xml:space="preserve">technology to virtually tour historical sites around the world from one’s living room. In some cases, the </w:t>
      </w:r>
      <w:r w:rsidRPr="00FF4E93">
        <w:rPr>
          <w:rFonts w:eastAsia="Times New Roman"/>
          <w:i/>
          <w:color w:val="000000"/>
          <w:sz w:val="26"/>
        </w:rPr>
        <w:t xml:space="preserve">Virtualization </w:t>
      </w:r>
      <w:r w:rsidRPr="00FF4E93">
        <w:rPr>
          <w:rFonts w:eastAsia="Times New Roman"/>
          <w:color w:val="000000"/>
          <w:sz w:val="26"/>
        </w:rPr>
        <w:t xml:space="preserve">pattern essentially becomes the core of the business model configuration; consider </w:t>
      </w:r>
      <w:proofErr w:type="spellStart"/>
      <w:r w:rsidRPr="00FF4E93">
        <w:rPr>
          <w:rFonts w:eastAsia="Times New Roman"/>
          <w:i/>
          <w:color w:val="000000"/>
          <w:sz w:val="26"/>
        </w:rPr>
        <w:t>LiveLike</w:t>
      </w:r>
      <w:proofErr w:type="spellEnd"/>
      <w:r w:rsidRPr="00FF4E93">
        <w:rPr>
          <w:rFonts w:eastAsia="Times New Roman"/>
          <w:color w:val="000000"/>
          <w:sz w:val="26"/>
        </w:rPr>
        <w:t>, a startup founded with the vision of virtualizing how we watch sports.</w:t>
      </w:r>
    </w:p>
    <w:p w14:paraId="433B9BF0" w14:textId="77777777" w:rsidR="00151DC1" w:rsidRPr="00FF4E93" w:rsidRDefault="00151DC1" w:rsidP="00151DC1">
      <w:pPr>
        <w:spacing w:after="0"/>
        <w:rPr>
          <w:rFonts w:eastAsia="Times New Roman"/>
          <w:color w:val="000000"/>
          <w:sz w:val="26"/>
        </w:rPr>
      </w:pPr>
      <w:r w:rsidRPr="00FF4E93">
        <w:rPr>
          <w:rFonts w:eastAsia="Times New Roman"/>
          <w:color w:val="000000"/>
          <w:sz w:val="26"/>
        </w:rPr>
        <w:t>Our analysis revealed that the high degree of fitness with the foundation</w:t>
      </w:r>
      <w:r w:rsidRPr="00FF4E93">
        <w:rPr>
          <w:rFonts w:eastAsia="Times New Roman"/>
          <w:i/>
          <w:color w:val="000000"/>
          <w:sz w:val="26"/>
        </w:rPr>
        <w:t xml:space="preserve"> </w:t>
      </w:r>
      <w:r w:rsidRPr="00FF4E93">
        <w:rPr>
          <w:rFonts w:eastAsia="Times New Roman"/>
          <w:color w:val="000000"/>
          <w:sz w:val="26"/>
        </w:rPr>
        <w:t xml:space="preserve">pattern </w:t>
      </w:r>
      <w:r w:rsidRPr="00FF4E93">
        <w:rPr>
          <w:rFonts w:eastAsia="Times New Roman"/>
          <w:i/>
          <w:color w:val="000000"/>
          <w:sz w:val="26"/>
        </w:rPr>
        <w:t xml:space="preserve">Layer Player </w:t>
      </w:r>
      <w:r w:rsidRPr="00FF4E93">
        <w:rPr>
          <w:rFonts w:eastAsia="Times New Roman"/>
          <w:color w:val="000000"/>
          <w:sz w:val="26"/>
        </w:rPr>
        <w:t xml:space="preserve">is based on the wide applicability of virtualization. Increasingly virtualized private and professional spaces have a tremendous effect across markets. Goldman Sachs </w:t>
      </w:r>
      <w:r w:rsidRPr="00FF4E93">
        <w:rPr>
          <w:rFonts w:eastAsia="Times New Roman"/>
          <w:color w:val="000000"/>
          <w:sz w:val="26"/>
        </w:rPr>
        <w:fldChar w:fldCharType="begin" w:fldLock="1"/>
      </w:r>
      <w:r w:rsidRPr="00FF4E93">
        <w:rPr>
          <w:rFonts w:eastAsia="Times New Roman"/>
          <w:color w:val="000000"/>
          <w:sz w:val="26"/>
        </w:rPr>
        <w:instrText>ADDIN CSL_CITATION {"citationItems":[{"id":"ITEM-1","itemData":{"author":[{"dropping-particle":"","family":"Bellini","given":"Heather","non-dropping-particle":"","parse-names":false,"suffix":""},{"dropping-particle":"","family":"Chen","given":"Wei","non-dropping-particle":"","parse-names":false,"suffix":""},{"dropping-particle":"","family":"Sugiyama","given":"Masaru","non-dropping-particle":"","parse-names":false,"suffix":""},{"dropping-particle":"","family":"Shin","given":"Marcus","non-dropping-particle":"","parse-names":false,"suffix":""},{"dropping-particle":"","family":"Alam","given":"Shateel","non-dropping-particle":"","parse-names":false,"suffix":""},{"dropping-particle":"","family":"Takayama","given":"Daiki","non-dropping-particle":"","parse-names":false,"suffix":""}],"id":"ITEM-1","issued":{"date-parts":[["2016"]]},"number-of-pages":"1-30","title":"Profiles in Innovation: Virtual &amp; Augmented Reality","type":"report"},"uris":["http://www.mendeley.com/documents/?uuid=55907335-e6cd-4010-bc1e-f44712e26761"]}],"mendeley":{"formattedCitation":"(Bellini et al., 2016)","manualFormatting":"(2016)","plainTextFormattedCitation":"(Bellini et al., 2016)","previouslyFormattedCitation":"(Bellini et al., 2016)"},"properties":{"noteIndex":0},"schema":"https://github.com/citation-style-language/schema/raw/master/csl-citation.json"}</w:instrText>
      </w:r>
      <w:r w:rsidRPr="00FF4E93">
        <w:rPr>
          <w:rFonts w:eastAsia="Times New Roman"/>
          <w:color w:val="000000"/>
          <w:sz w:val="26"/>
        </w:rPr>
        <w:fldChar w:fldCharType="separate"/>
      </w:r>
      <w:r w:rsidRPr="00FF4E93">
        <w:rPr>
          <w:rFonts w:eastAsia="Times New Roman"/>
          <w:noProof/>
          <w:color w:val="000000"/>
          <w:sz w:val="26"/>
        </w:rPr>
        <w:t>(2016)</w:t>
      </w:r>
      <w:r w:rsidRPr="00FF4E93">
        <w:rPr>
          <w:rFonts w:eastAsia="Times New Roman"/>
          <w:color w:val="000000"/>
          <w:sz w:val="26"/>
        </w:rPr>
        <w:fldChar w:fldCharType="end"/>
      </w:r>
      <w:r w:rsidRPr="00FF4E93">
        <w:rPr>
          <w:rFonts w:eastAsia="Times New Roman"/>
          <w:color w:val="000000"/>
          <w:sz w:val="26"/>
        </w:rPr>
        <w:t xml:space="preserve"> sees the future potential for AR/VR technology to </w:t>
      </w:r>
      <w:r w:rsidRPr="00FF4E93">
        <w:rPr>
          <w:rFonts w:eastAsia="Times New Roman"/>
          <w:i/>
          <w:color w:val="000000"/>
          <w:sz w:val="26"/>
        </w:rPr>
        <w:t xml:space="preserve">“emerge from vertical specific use cases to a broader computing platform” </w:t>
      </w:r>
      <w:r w:rsidRPr="00FF4E93">
        <w:rPr>
          <w:rFonts w:eastAsia="Times New Roman"/>
          <w:color w:val="000000"/>
          <w:sz w:val="26"/>
        </w:rPr>
        <w:t xml:space="preserve">(p. 13) and </w:t>
      </w:r>
      <w:r w:rsidRPr="00FF4E93">
        <w:rPr>
          <w:rFonts w:eastAsia="Times New Roman"/>
          <w:i/>
          <w:color w:val="000000"/>
          <w:sz w:val="26"/>
        </w:rPr>
        <w:t xml:space="preserve">“to not only create new markets but also disrupt existing ones” </w:t>
      </w:r>
      <w:r w:rsidRPr="00FF4E93">
        <w:rPr>
          <w:rFonts w:eastAsia="Times New Roman"/>
          <w:color w:val="000000"/>
          <w:sz w:val="26"/>
        </w:rPr>
        <w:t xml:space="preserve">(p.16). On the value creation side, an </w:t>
      </w:r>
      <w:r w:rsidRPr="00FF4E93">
        <w:rPr>
          <w:rFonts w:eastAsia="Times New Roman"/>
          <w:i/>
          <w:color w:val="000000"/>
          <w:sz w:val="26"/>
        </w:rPr>
        <w:t xml:space="preserve">Open Business Model </w:t>
      </w:r>
      <w:r w:rsidRPr="00FF4E93">
        <w:rPr>
          <w:rFonts w:eastAsia="Times New Roman"/>
          <w:color w:val="000000"/>
          <w:sz w:val="26"/>
        </w:rPr>
        <w:t xml:space="preserve">allows firms to make their virtualization solutions a team effort and for instance early on take independent developers on-board for beta testing. The Swiss startup </w:t>
      </w:r>
      <w:proofErr w:type="spellStart"/>
      <w:r w:rsidRPr="00FF4E93">
        <w:rPr>
          <w:rFonts w:eastAsia="Times New Roman"/>
          <w:i/>
          <w:color w:val="000000"/>
          <w:sz w:val="26"/>
        </w:rPr>
        <w:t>MindMaze</w:t>
      </w:r>
      <w:proofErr w:type="spellEnd"/>
      <w:r w:rsidRPr="00FF4E93">
        <w:rPr>
          <w:rFonts w:eastAsia="Times New Roman"/>
          <w:i/>
          <w:color w:val="000000"/>
          <w:sz w:val="26"/>
        </w:rPr>
        <w:t xml:space="preserve"> </w:t>
      </w:r>
      <w:r w:rsidRPr="00FF4E93">
        <w:rPr>
          <w:rFonts w:eastAsia="Times New Roman"/>
          <w:color w:val="000000"/>
          <w:sz w:val="26"/>
        </w:rPr>
        <w:t>exemplifies the interplay of all three patterns.</w:t>
      </w:r>
    </w:p>
    <w:p w14:paraId="60DA2798" w14:textId="77777777" w:rsidR="00151DC1" w:rsidRPr="00FF4E93" w:rsidRDefault="00151DC1" w:rsidP="00151DC1">
      <w:pPr>
        <w:spacing w:before="200" w:after="160"/>
        <w:ind w:left="864" w:right="864"/>
        <w:rPr>
          <w:rFonts w:eastAsia="Times New Roman"/>
          <w:i/>
          <w:iCs/>
          <w:color w:val="000000"/>
          <w:sz w:val="26"/>
        </w:rPr>
      </w:pPr>
      <w:r w:rsidRPr="00FF4E93">
        <w:rPr>
          <w:rFonts w:eastAsia="Times New Roman"/>
          <w:i/>
          <w:iCs/>
          <w:color w:val="000000"/>
          <w:sz w:val="26"/>
        </w:rPr>
        <w:t>“</w:t>
      </w:r>
      <w:proofErr w:type="spellStart"/>
      <w:r w:rsidRPr="00FF4E93">
        <w:rPr>
          <w:rFonts w:eastAsia="Times New Roman"/>
          <w:i/>
          <w:iCs/>
          <w:color w:val="000000"/>
          <w:sz w:val="26"/>
        </w:rPr>
        <w:t>MindMaze</w:t>
      </w:r>
      <w:proofErr w:type="spellEnd"/>
      <w:r w:rsidRPr="00FF4E93">
        <w:rPr>
          <w:rFonts w:eastAsia="Times New Roman"/>
          <w:i/>
          <w:iCs/>
          <w:color w:val="000000"/>
          <w:sz w:val="26"/>
        </w:rPr>
        <w:t xml:space="preserve"> offers </w:t>
      </w:r>
      <w:proofErr w:type="spellStart"/>
      <w:r w:rsidRPr="00FF4E93">
        <w:rPr>
          <w:rFonts w:eastAsia="Times New Roman"/>
          <w:i/>
          <w:iCs/>
          <w:color w:val="000000"/>
          <w:sz w:val="26"/>
        </w:rPr>
        <w:t>MindMotionPRO</w:t>
      </w:r>
      <w:proofErr w:type="spellEnd"/>
      <w:r w:rsidRPr="00FF4E93">
        <w:rPr>
          <w:rFonts w:eastAsia="Times New Roman"/>
          <w:i/>
          <w:iCs/>
          <w:color w:val="000000"/>
          <w:sz w:val="26"/>
        </w:rPr>
        <w:t xml:space="preserve">, which provides patients with engaging and motivational virtual reality rehabilitation programs that support their recovery goals […]. After testing this technology in Switzerland with amputees at Lausanne University Hospital, </w:t>
      </w:r>
      <w:proofErr w:type="spellStart"/>
      <w:r w:rsidRPr="00FF4E93">
        <w:rPr>
          <w:rFonts w:eastAsia="Times New Roman"/>
          <w:i/>
          <w:iCs/>
          <w:color w:val="000000"/>
          <w:sz w:val="26"/>
        </w:rPr>
        <w:t>MindMaze</w:t>
      </w:r>
      <w:proofErr w:type="spellEnd"/>
      <w:r w:rsidRPr="00FF4E93">
        <w:rPr>
          <w:rFonts w:eastAsia="Times New Roman"/>
          <w:i/>
          <w:iCs/>
          <w:color w:val="000000"/>
          <w:sz w:val="26"/>
        </w:rPr>
        <w:t xml:space="preserve"> is going to start working with patients from the U.S. Department of Veterans Affairs through a study at the University of California […]. </w:t>
      </w:r>
      <w:proofErr w:type="spellStart"/>
      <w:r w:rsidRPr="00FF4E93">
        <w:rPr>
          <w:rFonts w:eastAsia="Times New Roman"/>
          <w:i/>
          <w:iCs/>
          <w:color w:val="000000"/>
          <w:sz w:val="26"/>
        </w:rPr>
        <w:t>MindMaze</w:t>
      </w:r>
      <w:proofErr w:type="spellEnd"/>
      <w:r w:rsidRPr="00FF4E93">
        <w:rPr>
          <w:rFonts w:eastAsia="Times New Roman"/>
          <w:i/>
          <w:iCs/>
          <w:color w:val="000000"/>
          <w:sz w:val="26"/>
        </w:rPr>
        <w:t xml:space="preserve"> is [also] unveiling a partnership with </w:t>
      </w:r>
      <w:proofErr w:type="spellStart"/>
      <w:r w:rsidRPr="00FF4E93">
        <w:rPr>
          <w:rFonts w:eastAsia="Times New Roman"/>
          <w:i/>
          <w:iCs/>
          <w:color w:val="000000"/>
          <w:sz w:val="26"/>
        </w:rPr>
        <w:t>Dacuda</w:t>
      </w:r>
      <w:proofErr w:type="spellEnd"/>
      <w:r w:rsidRPr="00FF4E93">
        <w:rPr>
          <w:rFonts w:eastAsia="Times New Roman"/>
          <w:i/>
          <w:iCs/>
          <w:color w:val="000000"/>
          <w:sz w:val="26"/>
        </w:rPr>
        <w:t xml:space="preserve"> to launch "MMI", the world's first multisensory computing platform for mobile-based, immersive and social virtual reality applications. [</w:t>
      </w:r>
      <w:proofErr w:type="spellStart"/>
      <w:r w:rsidRPr="00FF4E93">
        <w:rPr>
          <w:rFonts w:eastAsia="Times New Roman"/>
          <w:i/>
          <w:iCs/>
          <w:color w:val="000000"/>
          <w:sz w:val="26"/>
        </w:rPr>
        <w:t>MindMaze’s</w:t>
      </w:r>
      <w:proofErr w:type="spellEnd"/>
      <w:r w:rsidRPr="00FF4E93">
        <w:rPr>
          <w:rFonts w:eastAsia="Times New Roman"/>
          <w:i/>
          <w:iCs/>
          <w:color w:val="000000"/>
          <w:sz w:val="26"/>
        </w:rPr>
        <w:t xml:space="preserve">] innovations at the intersection of </w:t>
      </w:r>
      <w:r w:rsidRPr="00FF4E93">
        <w:rPr>
          <w:rFonts w:eastAsia="Times New Roman"/>
          <w:i/>
          <w:iCs/>
          <w:color w:val="000000"/>
          <w:sz w:val="26"/>
        </w:rPr>
        <w:lastRenderedPageBreak/>
        <w:t>neuroscience, mixed reality and artificial intelligence are poised to transform multiple industries”</w:t>
      </w:r>
    </w:p>
    <w:p w14:paraId="2C2DD128" w14:textId="77777777" w:rsidR="00151DC1" w:rsidRPr="00FF4E93" w:rsidRDefault="00151DC1" w:rsidP="00151DC1">
      <w:pPr>
        <w:spacing w:after="0"/>
        <w:rPr>
          <w:rFonts w:eastAsia="Times New Roman"/>
          <w:i/>
          <w:sz w:val="26"/>
        </w:rPr>
      </w:pPr>
      <w:r w:rsidRPr="00FF4E93">
        <w:rPr>
          <w:rFonts w:eastAsia="Times New Roman"/>
          <w:i/>
          <w:color w:val="000000"/>
          <w:sz w:val="26"/>
        </w:rPr>
        <w:t xml:space="preserve">Aikido </w:t>
      </w:r>
      <w:r w:rsidRPr="00FF4E93">
        <w:rPr>
          <w:rFonts w:eastAsia="Times New Roman"/>
          <w:i/>
          <w:sz w:val="26"/>
        </w:rPr>
        <w:t>(Add-on)</w:t>
      </w:r>
    </w:p>
    <w:p w14:paraId="74BDA453" w14:textId="77777777" w:rsidR="00151DC1" w:rsidRPr="00FF4E93" w:rsidRDefault="00151DC1" w:rsidP="00151DC1">
      <w:pPr>
        <w:spacing w:after="0"/>
        <w:rPr>
          <w:rFonts w:eastAsia="Times New Roman"/>
          <w:color w:val="000000"/>
          <w:sz w:val="26"/>
        </w:rPr>
      </w:pPr>
      <w:r w:rsidRPr="00FF4E93">
        <w:rPr>
          <w:rFonts w:eastAsia="Times New Roman"/>
          <w:color w:val="000000"/>
          <w:sz w:val="26"/>
        </w:rPr>
        <w:t xml:space="preserve">The most break-through developments within a technology domain are additionally characterized by the </w:t>
      </w:r>
      <w:r w:rsidRPr="00FF4E93">
        <w:rPr>
          <w:rFonts w:eastAsia="Times New Roman"/>
          <w:i/>
          <w:color w:val="000000"/>
          <w:sz w:val="26"/>
        </w:rPr>
        <w:t xml:space="preserve">Aikido </w:t>
      </w:r>
      <w:r w:rsidRPr="00FF4E93">
        <w:rPr>
          <w:rFonts w:eastAsia="Times New Roman"/>
          <w:color w:val="000000"/>
          <w:sz w:val="26"/>
        </w:rPr>
        <w:t xml:space="preserve">add-on. Aikido describes products and services which are radically different from the industry standard (often even diametrically opposed) and leverage uniqueness in their value proposition (Gassmann et al., 2016). The business model resulting from the combination of the </w:t>
      </w:r>
      <w:r w:rsidRPr="00FF4E93">
        <w:rPr>
          <w:rFonts w:eastAsia="Times New Roman"/>
          <w:i/>
          <w:color w:val="000000"/>
          <w:sz w:val="26"/>
        </w:rPr>
        <w:t xml:space="preserve">Aikido </w:t>
      </w:r>
      <w:r w:rsidRPr="00FF4E93">
        <w:rPr>
          <w:rFonts w:eastAsia="Times New Roman"/>
          <w:color w:val="000000"/>
          <w:sz w:val="26"/>
        </w:rPr>
        <w:t xml:space="preserve">add-on with configuration 2 is specific to the AR/VR domain and is found for a variety of different products and services. Our analysis however indicates, that due to their high degree of technological novelty, all these products find applicability across industries, thus enabling firms to apply the </w:t>
      </w:r>
      <w:r w:rsidRPr="00FF4E93">
        <w:rPr>
          <w:rFonts w:eastAsia="Times New Roman"/>
          <w:i/>
          <w:color w:val="000000"/>
          <w:sz w:val="26"/>
        </w:rPr>
        <w:t xml:space="preserve">Layer Player </w:t>
      </w:r>
      <w:r w:rsidRPr="00FF4E93">
        <w:rPr>
          <w:rFonts w:eastAsia="Times New Roman"/>
          <w:color w:val="000000"/>
          <w:sz w:val="26"/>
        </w:rPr>
        <w:t xml:space="preserve">pattern. In extreme cases, this even leads to a redefinition of market paradigms, as exemplified by the Finnish startup </w:t>
      </w:r>
      <w:proofErr w:type="spellStart"/>
      <w:r w:rsidRPr="00FF4E93">
        <w:rPr>
          <w:rFonts w:eastAsia="Times New Roman"/>
          <w:i/>
          <w:color w:val="000000"/>
          <w:sz w:val="26"/>
        </w:rPr>
        <w:t>Varjo</w:t>
      </w:r>
      <w:proofErr w:type="spellEnd"/>
      <w:r w:rsidRPr="00FF4E93">
        <w:rPr>
          <w:rFonts w:eastAsia="Times New Roman"/>
          <w:i/>
          <w:color w:val="000000"/>
          <w:sz w:val="26"/>
        </w:rPr>
        <w:t xml:space="preserve"> </w:t>
      </w:r>
      <w:r w:rsidRPr="00FF4E93">
        <w:rPr>
          <w:rFonts w:eastAsia="Times New Roman"/>
          <w:color w:val="000000"/>
          <w:sz w:val="26"/>
        </w:rPr>
        <w:t xml:space="preserve">which aims at </w:t>
      </w:r>
      <w:r w:rsidRPr="00FF4E93">
        <w:rPr>
          <w:rFonts w:eastAsia="Times New Roman"/>
          <w:i/>
          <w:color w:val="000000"/>
          <w:sz w:val="26"/>
        </w:rPr>
        <w:t>“revolutionizing reality [with its] Bionic Display™, which lets you see VR in human-eye resolution”.</w:t>
      </w:r>
    </w:p>
    <w:p w14:paraId="2A55F838" w14:textId="77777777" w:rsidR="00151DC1" w:rsidRPr="00FF4E93" w:rsidRDefault="00151DC1" w:rsidP="00151DC1">
      <w:pPr>
        <w:spacing w:after="0"/>
        <w:rPr>
          <w:rFonts w:eastAsia="Times New Roman"/>
          <w:color w:val="000000"/>
          <w:sz w:val="26"/>
        </w:rPr>
      </w:pPr>
      <w:r w:rsidRPr="00FF4E93">
        <w:rPr>
          <w:rFonts w:eastAsia="Times New Roman"/>
          <w:color w:val="000000"/>
          <w:sz w:val="26"/>
        </w:rPr>
        <w:t xml:space="preserve">For the excellent fit with an </w:t>
      </w:r>
      <w:r w:rsidRPr="00FF4E93">
        <w:rPr>
          <w:rFonts w:eastAsia="Times New Roman"/>
          <w:i/>
          <w:color w:val="000000"/>
          <w:sz w:val="26"/>
        </w:rPr>
        <w:t xml:space="preserve">Open Business Model, </w:t>
      </w:r>
      <w:r w:rsidRPr="00FF4E93">
        <w:rPr>
          <w:rFonts w:eastAsia="Times New Roman"/>
          <w:color w:val="000000"/>
          <w:sz w:val="26"/>
        </w:rPr>
        <w:t xml:space="preserve">our analysis offers two complementary explanations. First, on a value creation side, the close collaboration with partners, often employing unconventional, interdisciplinary approaches, fosters the accomplishment of break-through developments, thus the </w:t>
      </w:r>
      <w:r w:rsidRPr="00FF4E93">
        <w:rPr>
          <w:rFonts w:eastAsia="Times New Roman"/>
          <w:i/>
          <w:color w:val="000000"/>
          <w:sz w:val="26"/>
        </w:rPr>
        <w:t xml:space="preserve">Aikido </w:t>
      </w:r>
      <w:r w:rsidRPr="00FF4E93">
        <w:rPr>
          <w:rFonts w:eastAsia="Times New Roman"/>
          <w:color w:val="000000"/>
          <w:sz w:val="26"/>
        </w:rPr>
        <w:t xml:space="preserve">pattern. Second, on a distribution side, startups frequently partner with established global players to bring their new technology to the mass market. Examples include </w:t>
      </w:r>
      <w:proofErr w:type="spellStart"/>
      <w:r w:rsidRPr="00FF4E93">
        <w:rPr>
          <w:rFonts w:eastAsia="Times New Roman"/>
          <w:i/>
          <w:color w:val="000000"/>
          <w:sz w:val="26"/>
        </w:rPr>
        <w:t>WaveOptics</w:t>
      </w:r>
      <w:proofErr w:type="spellEnd"/>
      <w:r w:rsidRPr="00FF4E93">
        <w:rPr>
          <w:rFonts w:eastAsia="Times New Roman"/>
          <w:i/>
          <w:color w:val="000000"/>
          <w:sz w:val="26"/>
        </w:rPr>
        <w:t xml:space="preserve">, </w:t>
      </w:r>
      <w:r w:rsidRPr="00FF4E93">
        <w:rPr>
          <w:rFonts w:eastAsia="Times New Roman"/>
          <w:color w:val="000000"/>
          <w:sz w:val="26"/>
        </w:rPr>
        <w:t xml:space="preserve">who partner with an industry-leading equipment supplier to </w:t>
      </w:r>
      <w:r w:rsidRPr="00FF4E93">
        <w:rPr>
          <w:rFonts w:eastAsia="Times New Roman"/>
          <w:i/>
          <w:color w:val="000000"/>
          <w:sz w:val="26"/>
        </w:rPr>
        <w:t xml:space="preserve">“bring high-performance augmented reality (AR) waveguides to the mass market at the lowest cost available in the industry”, </w:t>
      </w:r>
      <w:r w:rsidRPr="00FF4E93">
        <w:rPr>
          <w:rFonts w:eastAsia="Times New Roman"/>
          <w:color w:val="000000"/>
          <w:sz w:val="26"/>
        </w:rPr>
        <w:t xml:space="preserve">as well as </w:t>
      </w:r>
      <w:proofErr w:type="spellStart"/>
      <w:r w:rsidRPr="00FF4E93">
        <w:rPr>
          <w:rFonts w:eastAsia="Times New Roman"/>
          <w:i/>
          <w:color w:val="000000"/>
          <w:sz w:val="26"/>
        </w:rPr>
        <w:t>Orah</w:t>
      </w:r>
      <w:proofErr w:type="spellEnd"/>
      <w:r w:rsidRPr="00FF4E93">
        <w:rPr>
          <w:rFonts w:eastAsia="Times New Roman"/>
          <w:i/>
          <w:color w:val="000000"/>
          <w:sz w:val="26"/>
        </w:rPr>
        <w:t xml:space="preserve">, </w:t>
      </w:r>
      <w:r w:rsidRPr="00FF4E93">
        <w:rPr>
          <w:rFonts w:eastAsia="Times New Roman"/>
          <w:color w:val="000000"/>
          <w:sz w:val="26"/>
        </w:rPr>
        <w:t>who teams up with Sennheiser for an ever more seamless VR experience.</w:t>
      </w:r>
    </w:p>
    <w:p w14:paraId="3F203DC2" w14:textId="77777777" w:rsidR="00151DC1" w:rsidRPr="00FF4E93" w:rsidRDefault="00151DC1" w:rsidP="00151DC1">
      <w:pPr>
        <w:spacing w:after="0"/>
        <w:rPr>
          <w:rFonts w:eastAsia="Times New Roman"/>
          <w:i/>
          <w:color w:val="000000"/>
          <w:sz w:val="26"/>
        </w:rPr>
      </w:pPr>
      <w:r w:rsidRPr="00FF4E93">
        <w:rPr>
          <w:rFonts w:eastAsia="Times New Roman"/>
          <w:color w:val="000000"/>
          <w:sz w:val="26"/>
        </w:rPr>
        <w:t xml:space="preserve">A very interesting example for the described variant is the French cloud service provider </w:t>
      </w:r>
      <w:proofErr w:type="spellStart"/>
      <w:r w:rsidRPr="00FF4E93">
        <w:rPr>
          <w:rFonts w:eastAsia="Times New Roman"/>
          <w:i/>
          <w:color w:val="000000"/>
          <w:sz w:val="26"/>
        </w:rPr>
        <w:t>Cozy</w:t>
      </w:r>
      <w:proofErr w:type="spellEnd"/>
      <w:r w:rsidRPr="00FF4E93">
        <w:rPr>
          <w:rFonts w:eastAsia="Times New Roman"/>
          <w:color w:val="000000"/>
          <w:sz w:val="26"/>
        </w:rPr>
        <w:t xml:space="preserve">: the company defines its unique selling proposition by radically deviating from the industry standard </w:t>
      </w:r>
      <w:r w:rsidRPr="00FF4E93">
        <w:rPr>
          <w:rFonts w:eastAsia="Times New Roman"/>
          <w:i/>
          <w:color w:val="000000"/>
          <w:sz w:val="26"/>
        </w:rPr>
        <w:t>(Aikido)</w:t>
      </w:r>
      <w:r w:rsidRPr="00FF4E93">
        <w:rPr>
          <w:rFonts w:eastAsia="Times New Roman"/>
          <w:color w:val="000000"/>
          <w:sz w:val="26"/>
        </w:rPr>
        <w:t xml:space="preserve">. Based on this, </w:t>
      </w:r>
      <w:proofErr w:type="spellStart"/>
      <w:r w:rsidRPr="00FF4E93">
        <w:rPr>
          <w:rFonts w:eastAsia="Times New Roman"/>
          <w:i/>
          <w:color w:val="000000"/>
          <w:sz w:val="26"/>
        </w:rPr>
        <w:t>Cozy</w:t>
      </w:r>
      <w:proofErr w:type="spellEnd"/>
      <w:r w:rsidRPr="00FF4E93">
        <w:rPr>
          <w:rFonts w:eastAsia="Times New Roman"/>
          <w:i/>
          <w:color w:val="000000"/>
          <w:sz w:val="26"/>
        </w:rPr>
        <w:t xml:space="preserve"> </w:t>
      </w:r>
      <w:r w:rsidRPr="00FF4E93">
        <w:rPr>
          <w:rFonts w:eastAsia="Times New Roman"/>
          <w:color w:val="000000"/>
          <w:sz w:val="26"/>
        </w:rPr>
        <w:t xml:space="preserve">has found an innovative way of collaborating with big French companies </w:t>
      </w:r>
      <w:r w:rsidRPr="00FF4E93">
        <w:rPr>
          <w:rFonts w:eastAsia="Times New Roman"/>
          <w:i/>
          <w:color w:val="000000"/>
          <w:sz w:val="26"/>
        </w:rPr>
        <w:t xml:space="preserve">(Open Business Model) </w:t>
      </w:r>
      <w:r w:rsidRPr="00FF4E93">
        <w:rPr>
          <w:rFonts w:eastAsia="Times New Roman"/>
          <w:color w:val="000000"/>
          <w:sz w:val="26"/>
        </w:rPr>
        <w:t xml:space="preserve">and offers its solution across markets </w:t>
      </w:r>
      <w:r w:rsidRPr="00FF4E93">
        <w:rPr>
          <w:rFonts w:eastAsia="Times New Roman"/>
          <w:i/>
          <w:color w:val="000000"/>
          <w:sz w:val="26"/>
        </w:rPr>
        <w:t>(Layer Player).</w:t>
      </w:r>
    </w:p>
    <w:p w14:paraId="52EE04E8" w14:textId="77777777" w:rsidR="00151DC1" w:rsidRPr="00FF4E93" w:rsidRDefault="00151DC1" w:rsidP="00151DC1">
      <w:pPr>
        <w:spacing w:before="200" w:after="160"/>
        <w:ind w:left="864" w:right="864"/>
        <w:rPr>
          <w:rFonts w:eastAsia="Times New Roman"/>
          <w:i/>
          <w:iCs/>
          <w:color w:val="000000"/>
          <w:sz w:val="26"/>
        </w:rPr>
      </w:pPr>
      <w:r w:rsidRPr="00FF4E93">
        <w:rPr>
          <w:rFonts w:eastAsia="Times New Roman"/>
          <w:i/>
          <w:iCs/>
          <w:color w:val="000000"/>
          <w:sz w:val="26"/>
        </w:rPr>
        <w:t>“</w:t>
      </w:r>
      <w:proofErr w:type="spellStart"/>
      <w:r w:rsidRPr="00FF4E93">
        <w:rPr>
          <w:rFonts w:eastAsia="Times New Roman"/>
          <w:i/>
          <w:iCs/>
          <w:color w:val="000000"/>
          <w:sz w:val="26"/>
        </w:rPr>
        <w:t>Cozy</w:t>
      </w:r>
      <w:proofErr w:type="spellEnd"/>
      <w:r w:rsidRPr="00FF4E93">
        <w:rPr>
          <w:rFonts w:eastAsia="Times New Roman"/>
          <w:i/>
          <w:iCs/>
          <w:color w:val="000000"/>
          <w:sz w:val="26"/>
        </w:rPr>
        <w:t xml:space="preserve"> is the personal cloud server for everyone; [its cloud allows users to] store […] data and install web apps in a place that is [theirs]. While the major platforms collect more and more personal data, a </w:t>
      </w:r>
      <w:proofErr w:type="spellStart"/>
      <w:r w:rsidRPr="00FF4E93">
        <w:rPr>
          <w:rFonts w:eastAsia="Times New Roman"/>
          <w:i/>
          <w:iCs/>
          <w:color w:val="000000"/>
          <w:sz w:val="26"/>
        </w:rPr>
        <w:t>Cozy</w:t>
      </w:r>
      <w:proofErr w:type="spellEnd"/>
      <w:r w:rsidRPr="00FF4E93">
        <w:rPr>
          <w:rFonts w:eastAsia="Times New Roman"/>
          <w:i/>
          <w:iCs/>
          <w:color w:val="000000"/>
          <w:sz w:val="26"/>
        </w:rPr>
        <w:t xml:space="preserve"> is a solution allowing the individual to take control: free software, self-hosting and protecting his data. […] This re-invents the customer </w:t>
      </w:r>
      <w:r w:rsidRPr="00FF4E93">
        <w:rPr>
          <w:rFonts w:eastAsia="Times New Roman"/>
          <w:i/>
          <w:iCs/>
          <w:color w:val="000000"/>
          <w:sz w:val="26"/>
        </w:rPr>
        <w:lastRenderedPageBreak/>
        <w:t xml:space="preserve">relationship in the era of the RGPD with innovative and privacy-friendly services. Big French companies have also partnered with </w:t>
      </w:r>
      <w:proofErr w:type="spellStart"/>
      <w:r w:rsidRPr="00FF4E93">
        <w:rPr>
          <w:rFonts w:eastAsia="Times New Roman"/>
          <w:i/>
          <w:iCs/>
          <w:color w:val="000000"/>
          <w:sz w:val="26"/>
        </w:rPr>
        <w:t>Cozy</w:t>
      </w:r>
      <w:proofErr w:type="spellEnd"/>
      <w:r w:rsidRPr="00FF4E93">
        <w:rPr>
          <w:rFonts w:eastAsia="Times New Roman"/>
          <w:i/>
          <w:iCs/>
          <w:color w:val="000000"/>
          <w:sz w:val="26"/>
        </w:rPr>
        <w:t xml:space="preserve"> to develop </w:t>
      </w:r>
      <w:proofErr w:type="spellStart"/>
      <w:r w:rsidRPr="00FF4E93">
        <w:rPr>
          <w:rFonts w:eastAsia="Times New Roman"/>
          <w:i/>
          <w:iCs/>
          <w:color w:val="000000"/>
          <w:sz w:val="26"/>
        </w:rPr>
        <w:t>Cozy</w:t>
      </w:r>
      <w:proofErr w:type="spellEnd"/>
      <w:r w:rsidRPr="00FF4E93">
        <w:rPr>
          <w:rFonts w:eastAsia="Times New Roman"/>
          <w:i/>
          <w:iCs/>
          <w:color w:val="000000"/>
          <w:sz w:val="26"/>
        </w:rPr>
        <w:t xml:space="preserve"> apps. […] They can work with </w:t>
      </w:r>
      <w:proofErr w:type="spellStart"/>
      <w:r w:rsidRPr="00FF4E93">
        <w:rPr>
          <w:rFonts w:eastAsia="Times New Roman"/>
          <w:i/>
          <w:iCs/>
          <w:color w:val="000000"/>
          <w:sz w:val="26"/>
        </w:rPr>
        <w:t>Cozy</w:t>
      </w:r>
      <w:proofErr w:type="spellEnd"/>
      <w:r w:rsidRPr="00FF4E93">
        <w:rPr>
          <w:rFonts w:eastAsia="Times New Roman"/>
          <w:i/>
          <w:iCs/>
          <w:color w:val="000000"/>
          <w:sz w:val="26"/>
        </w:rPr>
        <w:t xml:space="preserve"> to make their online services GDPR-compliant”</w:t>
      </w:r>
    </w:p>
    <w:p w14:paraId="103F126C" w14:textId="77777777" w:rsidR="00151DC1" w:rsidRPr="00FF4E93" w:rsidRDefault="00151DC1" w:rsidP="00151DC1">
      <w:pPr>
        <w:spacing w:after="0"/>
        <w:rPr>
          <w:rFonts w:eastAsia="Times New Roman"/>
          <w:i/>
          <w:sz w:val="26"/>
        </w:rPr>
      </w:pPr>
      <w:r w:rsidRPr="00FF4E93">
        <w:rPr>
          <w:rFonts w:eastAsia="Times New Roman"/>
          <w:b/>
          <w:sz w:val="26"/>
        </w:rPr>
        <w:t>Configuration 3:</w:t>
      </w:r>
      <w:r w:rsidRPr="00FF4E93">
        <w:rPr>
          <w:rFonts w:eastAsia="Times New Roman"/>
          <w:sz w:val="26"/>
        </w:rPr>
        <w:t xml:space="preserve"> {Open Business Model, Solution Provider}</w:t>
      </w:r>
    </w:p>
    <w:p w14:paraId="5EB2806A" w14:textId="77777777" w:rsidR="00151DC1" w:rsidRPr="00FF4E93" w:rsidRDefault="00151DC1" w:rsidP="00151DC1">
      <w:pPr>
        <w:spacing w:after="0"/>
        <w:rPr>
          <w:rFonts w:eastAsia="Times New Roman"/>
          <w:color w:val="000000"/>
          <w:sz w:val="26"/>
        </w:rPr>
      </w:pPr>
      <w:r w:rsidRPr="00FF4E93">
        <w:rPr>
          <w:rFonts w:eastAsia="Times New Roman"/>
          <w:color w:val="000000"/>
          <w:sz w:val="26"/>
        </w:rPr>
        <w:t xml:space="preserve">The third configuration is based on the combination of the </w:t>
      </w:r>
      <w:r w:rsidRPr="00FF4E93">
        <w:rPr>
          <w:rFonts w:eastAsia="Times New Roman"/>
          <w:i/>
          <w:color w:val="000000"/>
          <w:sz w:val="26"/>
        </w:rPr>
        <w:t xml:space="preserve">Open Business Model </w:t>
      </w:r>
      <w:r w:rsidRPr="00FF4E93">
        <w:rPr>
          <w:rFonts w:eastAsia="Times New Roman"/>
          <w:color w:val="000000"/>
          <w:sz w:val="26"/>
        </w:rPr>
        <w:t xml:space="preserve">and </w:t>
      </w:r>
      <w:r w:rsidRPr="00FF4E93">
        <w:rPr>
          <w:rFonts w:eastAsia="Times New Roman"/>
          <w:i/>
          <w:color w:val="000000"/>
          <w:sz w:val="26"/>
        </w:rPr>
        <w:t xml:space="preserve">Solution Provider </w:t>
      </w:r>
      <w:r w:rsidRPr="00FF4E93">
        <w:rPr>
          <w:rFonts w:eastAsia="Times New Roman"/>
          <w:color w:val="000000"/>
          <w:sz w:val="26"/>
        </w:rPr>
        <w:t>patterns. Our coding revealed that these two patterns are typically combined for either of two main purposes: (1) leveraging an open business model to create a fully integrated service or product solution; or (2) expanding the distribution and adoption of the own full-service package via strategic partnerships.</w:t>
      </w:r>
    </w:p>
    <w:p w14:paraId="00F551C8" w14:textId="77777777" w:rsidR="00151DC1" w:rsidRPr="00FF4E93" w:rsidRDefault="00151DC1" w:rsidP="00151DC1">
      <w:pPr>
        <w:spacing w:after="0"/>
        <w:rPr>
          <w:rFonts w:eastAsia="Times New Roman"/>
          <w:color w:val="000000"/>
          <w:sz w:val="26"/>
        </w:rPr>
      </w:pPr>
      <w:r w:rsidRPr="00FF4E93">
        <w:rPr>
          <w:rFonts w:eastAsia="Times New Roman"/>
          <w:color w:val="000000"/>
          <w:sz w:val="26"/>
        </w:rPr>
        <w:t xml:space="preserve">Following the first of the two rationales, the example of </w:t>
      </w:r>
      <w:proofErr w:type="spellStart"/>
      <w:r w:rsidRPr="00FF4E93">
        <w:rPr>
          <w:rFonts w:eastAsia="Times New Roman"/>
          <w:i/>
          <w:color w:val="000000"/>
          <w:sz w:val="26"/>
        </w:rPr>
        <w:t>Atheer</w:t>
      </w:r>
      <w:proofErr w:type="spellEnd"/>
      <w:r w:rsidRPr="00FF4E93">
        <w:rPr>
          <w:rFonts w:eastAsia="Times New Roman"/>
          <w:i/>
          <w:color w:val="000000"/>
          <w:sz w:val="26"/>
        </w:rPr>
        <w:t xml:space="preserve">, </w:t>
      </w:r>
      <w:r w:rsidRPr="00FF4E93">
        <w:rPr>
          <w:rFonts w:eastAsia="Times New Roman"/>
          <w:color w:val="000000"/>
          <w:sz w:val="26"/>
        </w:rPr>
        <w:t xml:space="preserve">a pioneer in ‘Augmented Interactive Reality’ computing, illustrates how the </w:t>
      </w:r>
      <w:r w:rsidRPr="00FF4E93">
        <w:rPr>
          <w:rFonts w:eastAsia="Times New Roman"/>
          <w:i/>
          <w:color w:val="000000"/>
          <w:sz w:val="26"/>
        </w:rPr>
        <w:t xml:space="preserve">Open Business Model </w:t>
      </w:r>
      <w:r w:rsidRPr="00FF4E93">
        <w:rPr>
          <w:rFonts w:eastAsia="Times New Roman"/>
          <w:color w:val="000000"/>
          <w:sz w:val="26"/>
        </w:rPr>
        <w:t>pattern can be central in the creation of full-service packages for clients.</w:t>
      </w:r>
    </w:p>
    <w:p w14:paraId="5E4F0F04" w14:textId="77777777" w:rsidR="00151DC1" w:rsidRPr="00FF4E93" w:rsidRDefault="00151DC1" w:rsidP="00151DC1">
      <w:pPr>
        <w:spacing w:before="200" w:after="160"/>
        <w:ind w:left="864" w:right="864"/>
        <w:rPr>
          <w:rFonts w:eastAsia="Times New Roman"/>
          <w:bCs/>
          <w:i/>
          <w:iCs/>
          <w:color w:val="000000"/>
          <w:sz w:val="26"/>
        </w:rPr>
      </w:pPr>
      <w:proofErr w:type="spellStart"/>
      <w:r w:rsidRPr="00FF4E93">
        <w:rPr>
          <w:rFonts w:eastAsia="Times New Roman"/>
          <w:bCs/>
          <w:i/>
          <w:iCs/>
          <w:color w:val="000000"/>
          <w:sz w:val="26"/>
        </w:rPr>
        <w:t>Atheer</w:t>
      </w:r>
      <w:proofErr w:type="spellEnd"/>
      <w:r w:rsidRPr="00FF4E93">
        <w:rPr>
          <w:rFonts w:eastAsia="Times New Roman"/>
          <w:bCs/>
          <w:i/>
          <w:iCs/>
          <w:color w:val="000000"/>
          <w:sz w:val="26"/>
        </w:rPr>
        <w:t xml:space="preserve"> is the pioneer of the </w:t>
      </w:r>
      <w:proofErr w:type="spellStart"/>
      <w:r w:rsidRPr="00FF4E93">
        <w:rPr>
          <w:rFonts w:eastAsia="Times New Roman"/>
          <w:bCs/>
          <w:i/>
          <w:iCs/>
          <w:color w:val="000000"/>
          <w:sz w:val="26"/>
        </w:rPr>
        <w:t>AiR</w:t>
      </w:r>
      <w:proofErr w:type="spellEnd"/>
      <w:r w:rsidRPr="00FF4E93">
        <w:rPr>
          <w:rFonts w:eastAsia="Times New Roman"/>
          <w:bCs/>
          <w:i/>
          <w:iCs/>
          <w:color w:val="000000"/>
          <w:sz w:val="26"/>
        </w:rPr>
        <w:t xml:space="preserve">™ […] smart glasses platform, designed to enhance the productivity and safety of deskless professionals at Fortune 1000 companies. […] Driven by the principles of service design thinking [their] approach is customer led, agile, and value based. […] As demand for enterprise Augmented Reality solutions continues to grow, </w:t>
      </w:r>
      <w:proofErr w:type="spellStart"/>
      <w:r w:rsidRPr="00FF4E93">
        <w:rPr>
          <w:rFonts w:eastAsia="Times New Roman"/>
          <w:bCs/>
          <w:i/>
          <w:iCs/>
          <w:color w:val="000000"/>
          <w:sz w:val="26"/>
        </w:rPr>
        <w:t>Atheer’s</w:t>
      </w:r>
      <w:proofErr w:type="spellEnd"/>
      <w:r w:rsidRPr="00FF4E93">
        <w:rPr>
          <w:rFonts w:eastAsia="Times New Roman"/>
          <w:bCs/>
          <w:i/>
          <w:iCs/>
          <w:color w:val="000000"/>
          <w:sz w:val="26"/>
        </w:rPr>
        <w:t xml:space="preserve"> partnerships with leading smart glasses manufacturers, consulting firms, system integrators and technology companies deliver integrated, enterprise grade, Augmented Reality solutions to customers worldwide.</w:t>
      </w:r>
    </w:p>
    <w:p w14:paraId="19FFF07C" w14:textId="77777777" w:rsidR="00151DC1" w:rsidRPr="00FF4E93" w:rsidRDefault="00151DC1" w:rsidP="00151DC1">
      <w:pPr>
        <w:spacing w:after="0"/>
        <w:rPr>
          <w:rFonts w:eastAsia="Times New Roman"/>
          <w:color w:val="000000"/>
          <w:sz w:val="26"/>
        </w:rPr>
      </w:pPr>
      <w:proofErr w:type="spellStart"/>
      <w:r w:rsidRPr="00FF4E93">
        <w:rPr>
          <w:rFonts w:eastAsia="Times New Roman"/>
          <w:i/>
          <w:color w:val="000000"/>
          <w:sz w:val="26"/>
        </w:rPr>
        <w:t>Kespry</w:t>
      </w:r>
      <w:proofErr w:type="spellEnd"/>
      <w:r w:rsidRPr="00FF4E93">
        <w:rPr>
          <w:rFonts w:eastAsia="Times New Roman"/>
          <w:i/>
          <w:color w:val="000000"/>
          <w:sz w:val="26"/>
        </w:rPr>
        <w:t xml:space="preserve">, </w:t>
      </w:r>
      <w:r w:rsidRPr="00FF4E93">
        <w:rPr>
          <w:rFonts w:eastAsia="Times New Roman"/>
          <w:color w:val="000000"/>
          <w:sz w:val="26"/>
        </w:rPr>
        <w:t xml:space="preserve">founded 2013 in the Silicon Valley, exemplifies the implementation of the second motive: fuelling the distribution of its full-service drone-based aerial intelligence platform </w:t>
      </w:r>
      <w:r w:rsidRPr="00FF4E93">
        <w:rPr>
          <w:rFonts w:eastAsia="Times New Roman"/>
          <w:i/>
          <w:color w:val="000000"/>
          <w:sz w:val="26"/>
        </w:rPr>
        <w:t xml:space="preserve">(Solution Provider) </w:t>
      </w:r>
      <w:r w:rsidRPr="00FF4E93">
        <w:rPr>
          <w:rFonts w:eastAsia="Times New Roman"/>
          <w:color w:val="000000"/>
          <w:sz w:val="26"/>
        </w:rPr>
        <w:t xml:space="preserve">through a strategic alliance with the multinational heavy equipment maker, John Deere </w:t>
      </w:r>
      <w:r w:rsidRPr="00FF4E93">
        <w:rPr>
          <w:rFonts w:eastAsia="Times New Roman"/>
          <w:i/>
          <w:color w:val="000000"/>
          <w:sz w:val="26"/>
        </w:rPr>
        <w:t>(Open Business Model):</w:t>
      </w:r>
    </w:p>
    <w:p w14:paraId="0AB996CC" w14:textId="77777777" w:rsidR="00151DC1" w:rsidRPr="00FF4E93" w:rsidRDefault="00151DC1" w:rsidP="00151DC1">
      <w:pPr>
        <w:spacing w:before="200" w:after="160"/>
        <w:ind w:left="864" w:right="864"/>
        <w:rPr>
          <w:rFonts w:eastAsia="Times New Roman"/>
          <w:i/>
          <w:iCs/>
          <w:color w:val="000000"/>
          <w:sz w:val="26"/>
        </w:rPr>
      </w:pPr>
      <w:r w:rsidRPr="00FF4E93">
        <w:rPr>
          <w:rFonts w:eastAsia="Times New Roman"/>
          <w:i/>
          <w:iCs/>
          <w:color w:val="000000"/>
          <w:sz w:val="26"/>
        </w:rPr>
        <w:t>“[</w:t>
      </w:r>
      <w:proofErr w:type="spellStart"/>
      <w:r w:rsidRPr="00FF4E93">
        <w:rPr>
          <w:rFonts w:eastAsia="Times New Roman"/>
          <w:i/>
          <w:iCs/>
          <w:color w:val="000000"/>
          <w:sz w:val="26"/>
        </w:rPr>
        <w:t>Kespry’s</w:t>
      </w:r>
      <w:proofErr w:type="spellEnd"/>
      <w:r w:rsidRPr="00FF4E93">
        <w:rPr>
          <w:rFonts w:eastAsia="Times New Roman"/>
          <w:i/>
          <w:iCs/>
          <w:color w:val="000000"/>
          <w:sz w:val="26"/>
        </w:rPr>
        <w:t>] drone-based aerial intelligence platform provides critical information and analytics our customers rely on to accelerate operations. Purpose-built for industrial use, yet simple enough for any user, our fully-integrated, end-to-end, cloud-enabled platform is used […] by companies across North America, Europe and Australia.”</w:t>
      </w:r>
    </w:p>
    <w:p w14:paraId="0CDACA1B" w14:textId="5A201D0C" w:rsidR="00151DC1" w:rsidRPr="00FF4E93" w:rsidRDefault="00151DC1" w:rsidP="00151DC1">
      <w:pPr>
        <w:spacing w:after="0"/>
        <w:rPr>
          <w:rFonts w:eastAsia="Times New Roman"/>
          <w:i/>
          <w:sz w:val="26"/>
        </w:rPr>
      </w:pPr>
      <w:r w:rsidRPr="00FF4E93">
        <w:rPr>
          <w:rFonts w:eastAsia="Times New Roman"/>
          <w:sz w:val="26"/>
        </w:rPr>
        <w:t xml:space="preserve">In the following, we elaborate on the most dominant variants we observed in this configuration </w:t>
      </w:r>
      <w:r w:rsidRPr="00FF4E93">
        <w:rPr>
          <w:rFonts w:eastAsia="Times New Roman"/>
          <w:i/>
          <w:sz w:val="26"/>
        </w:rPr>
        <w:t>(</w:t>
      </w:r>
      <w:r w:rsidRPr="00FF4E93">
        <w:rPr>
          <w:rFonts w:eastAsia="Times New Roman"/>
          <w:i/>
          <w:sz w:val="26"/>
        </w:rPr>
        <w:fldChar w:fldCharType="begin"/>
      </w:r>
      <w:r w:rsidRPr="00FF4E93">
        <w:rPr>
          <w:rFonts w:eastAsia="Times New Roman"/>
          <w:i/>
          <w:sz w:val="26"/>
        </w:rPr>
        <w:instrText xml:space="preserve"> REF _Ref532287082 \h  \* MERGEFORMAT </w:instrText>
      </w:r>
      <w:r w:rsidRPr="00FF4E93">
        <w:rPr>
          <w:rFonts w:eastAsia="Times New Roman"/>
          <w:i/>
          <w:sz w:val="26"/>
        </w:rPr>
      </w:r>
      <w:r w:rsidRPr="00FF4E93">
        <w:rPr>
          <w:rFonts w:eastAsia="Times New Roman"/>
          <w:i/>
          <w:sz w:val="26"/>
        </w:rPr>
        <w:fldChar w:fldCharType="separate"/>
      </w:r>
      <w:r w:rsidR="00D231CD" w:rsidRPr="00FF4E93">
        <w:rPr>
          <w:rFonts w:eastAsia="Times New Roman"/>
          <w:i/>
          <w:sz w:val="26"/>
        </w:rPr>
        <w:t>Table 4</w:t>
      </w:r>
      <w:r w:rsidR="00D231CD" w:rsidRPr="00FF4E93">
        <w:rPr>
          <w:rFonts w:eastAsia="Times New Roman"/>
          <w:i/>
          <w:sz w:val="26"/>
        </w:rPr>
        <w:noBreakHyphen/>
        <w:t>3</w:t>
      </w:r>
      <w:r w:rsidRPr="00FF4E93">
        <w:rPr>
          <w:rFonts w:eastAsia="Times New Roman"/>
          <w:i/>
          <w:sz w:val="26"/>
        </w:rPr>
        <w:fldChar w:fldCharType="end"/>
      </w:r>
      <w:r w:rsidRPr="00FF4E93">
        <w:rPr>
          <w:rFonts w:eastAsia="Times New Roman"/>
          <w:i/>
          <w:sz w:val="26"/>
        </w:rPr>
        <w:t>).</w:t>
      </w:r>
    </w:p>
    <w:p w14:paraId="408837EA" w14:textId="2BE180B7" w:rsidR="00151DC1" w:rsidRPr="00FF4E93" w:rsidRDefault="00151DC1" w:rsidP="00151DC1">
      <w:pPr>
        <w:spacing w:before="240" w:after="240"/>
        <w:ind w:right="521"/>
        <w:rPr>
          <w:rFonts w:eastAsia="Calibri"/>
          <w:iCs/>
          <w:color w:val="000000"/>
          <w:szCs w:val="18"/>
          <w:lang w:eastAsia="de-DE"/>
        </w:rPr>
      </w:pPr>
      <w:bookmarkStart w:id="18" w:name="_Ref532287082"/>
      <w:bookmarkStart w:id="19" w:name="_Toc536101333"/>
      <w:r w:rsidRPr="00FF4E93">
        <w:rPr>
          <w:rFonts w:eastAsia="Calibri"/>
          <w:b/>
          <w:iCs/>
          <w:color w:val="000000"/>
          <w:szCs w:val="18"/>
          <w:lang w:eastAsia="de-DE"/>
        </w:rPr>
        <w:lastRenderedPageBreak/>
        <w:t xml:space="preserve">Table </w:t>
      </w:r>
      <w:r w:rsidRPr="00FF4E93">
        <w:rPr>
          <w:rFonts w:eastAsia="Calibri"/>
          <w:b/>
          <w:iCs/>
          <w:color w:val="000000"/>
          <w:szCs w:val="18"/>
          <w:lang w:eastAsia="de-DE"/>
        </w:rPr>
        <w:fldChar w:fldCharType="begin"/>
      </w:r>
      <w:r w:rsidRPr="00FF4E93">
        <w:rPr>
          <w:rFonts w:eastAsia="Calibri"/>
          <w:b/>
          <w:iCs/>
          <w:color w:val="000000"/>
          <w:szCs w:val="18"/>
          <w:lang w:eastAsia="de-DE"/>
        </w:rPr>
        <w:instrText xml:space="preserve"> STYLEREF 1 \s </w:instrText>
      </w:r>
      <w:r w:rsidRPr="00FF4E93">
        <w:rPr>
          <w:rFonts w:eastAsia="Calibri"/>
          <w:b/>
          <w:iCs/>
          <w:color w:val="000000"/>
          <w:szCs w:val="18"/>
          <w:lang w:eastAsia="de-DE"/>
        </w:rPr>
        <w:fldChar w:fldCharType="separate"/>
      </w:r>
      <w:r w:rsidR="00D231CD" w:rsidRPr="00FF4E93">
        <w:rPr>
          <w:rFonts w:eastAsia="Calibri"/>
          <w:b/>
          <w:iCs/>
          <w:noProof/>
          <w:color w:val="000000"/>
          <w:szCs w:val="18"/>
          <w:lang w:eastAsia="de-DE"/>
        </w:rPr>
        <w:t>4</w:t>
      </w:r>
      <w:r w:rsidRPr="00FF4E93">
        <w:rPr>
          <w:rFonts w:eastAsia="Calibri"/>
          <w:b/>
          <w:iCs/>
          <w:color w:val="000000"/>
          <w:szCs w:val="18"/>
          <w:lang w:eastAsia="de-DE"/>
        </w:rPr>
        <w:fldChar w:fldCharType="end"/>
      </w:r>
      <w:r w:rsidRPr="00FF4E93">
        <w:rPr>
          <w:rFonts w:eastAsia="Calibri"/>
          <w:b/>
          <w:iCs/>
          <w:color w:val="000000"/>
          <w:szCs w:val="18"/>
          <w:lang w:eastAsia="de-DE"/>
        </w:rPr>
        <w:noBreakHyphen/>
      </w:r>
      <w:r w:rsidRPr="00FF4E93">
        <w:rPr>
          <w:rFonts w:eastAsia="Calibri"/>
          <w:b/>
          <w:iCs/>
          <w:color w:val="000000"/>
          <w:szCs w:val="18"/>
          <w:lang w:eastAsia="de-DE"/>
        </w:rPr>
        <w:fldChar w:fldCharType="begin"/>
      </w:r>
      <w:r w:rsidRPr="00FF4E93">
        <w:rPr>
          <w:rFonts w:eastAsia="Calibri"/>
          <w:b/>
          <w:iCs/>
          <w:color w:val="000000"/>
          <w:szCs w:val="18"/>
          <w:lang w:eastAsia="de-DE"/>
        </w:rPr>
        <w:instrText xml:space="preserve"> SEQ Table \* ARABIC \s 1 </w:instrText>
      </w:r>
      <w:r w:rsidRPr="00FF4E93">
        <w:rPr>
          <w:rFonts w:eastAsia="Calibri"/>
          <w:b/>
          <w:iCs/>
          <w:color w:val="000000"/>
          <w:szCs w:val="18"/>
          <w:lang w:eastAsia="de-DE"/>
        </w:rPr>
        <w:fldChar w:fldCharType="separate"/>
      </w:r>
      <w:r w:rsidR="00D231CD" w:rsidRPr="00FF4E93">
        <w:rPr>
          <w:rFonts w:eastAsia="Calibri"/>
          <w:b/>
          <w:iCs/>
          <w:noProof/>
          <w:color w:val="000000"/>
          <w:szCs w:val="18"/>
          <w:lang w:eastAsia="de-DE"/>
        </w:rPr>
        <w:t>3</w:t>
      </w:r>
      <w:r w:rsidRPr="00FF4E93">
        <w:rPr>
          <w:rFonts w:eastAsia="Calibri"/>
          <w:b/>
          <w:iCs/>
          <w:color w:val="000000"/>
          <w:szCs w:val="18"/>
          <w:lang w:eastAsia="de-DE"/>
        </w:rPr>
        <w:fldChar w:fldCharType="end"/>
      </w:r>
      <w:bookmarkEnd w:id="18"/>
      <w:r w:rsidRPr="00FF4E93">
        <w:rPr>
          <w:rFonts w:eastAsia="Calibri"/>
          <w:iCs/>
          <w:color w:val="000000"/>
          <w:szCs w:val="18"/>
          <w:lang w:eastAsia="de-DE"/>
        </w:rPr>
        <w:t>: Relative frequency of configuration 3 variants</w:t>
      </w:r>
      <w:bookmarkEnd w:id="19"/>
      <w:r w:rsidRPr="00FF4E93">
        <w:rPr>
          <w:rFonts w:eastAsia="Calibri"/>
          <w:iCs/>
          <w:color w:val="000000"/>
          <w:szCs w:val="18"/>
          <w:lang w:eastAsia="de-DE"/>
        </w:rPr>
        <w:t xml:space="preserve"> </w:t>
      </w:r>
    </w:p>
    <w:tbl>
      <w:tblPr>
        <w:tblW w:w="8889" w:type="dxa"/>
        <w:tblBorders>
          <w:top w:val="single" w:sz="4" w:space="0" w:color="auto"/>
          <w:bottom w:val="single" w:sz="4" w:space="0" w:color="auto"/>
        </w:tblBorders>
        <w:tblLook w:val="04A0" w:firstRow="1" w:lastRow="0" w:firstColumn="1" w:lastColumn="0" w:noHBand="0" w:noVBand="1"/>
      </w:tblPr>
      <w:tblGrid>
        <w:gridCol w:w="2687"/>
        <w:gridCol w:w="2302"/>
        <w:gridCol w:w="1300"/>
        <w:gridCol w:w="1300"/>
        <w:gridCol w:w="1300"/>
      </w:tblGrid>
      <w:tr w:rsidR="00151DC1" w:rsidRPr="00FF4E93" w14:paraId="3D914705" w14:textId="77777777" w:rsidTr="00C54569">
        <w:trPr>
          <w:trHeight w:val="280"/>
        </w:trPr>
        <w:tc>
          <w:tcPr>
            <w:tcW w:w="2687" w:type="dxa"/>
            <w:tcBorders>
              <w:top w:val="single" w:sz="4" w:space="0" w:color="auto"/>
              <w:bottom w:val="single" w:sz="4" w:space="0" w:color="auto"/>
            </w:tcBorders>
            <w:shd w:val="clear" w:color="auto" w:fill="auto"/>
            <w:noWrap/>
            <w:hideMark/>
          </w:tcPr>
          <w:p w14:paraId="44D5D823" w14:textId="77777777" w:rsidR="00151DC1" w:rsidRPr="00FF4E93" w:rsidRDefault="00151DC1" w:rsidP="00151DC1">
            <w:pPr>
              <w:spacing w:before="0" w:after="0" w:line="240" w:lineRule="auto"/>
              <w:jc w:val="left"/>
              <w:rPr>
                <w:rFonts w:eastAsia="Times New Roman"/>
                <w:iCs/>
                <w:color w:val="000000"/>
                <w:sz w:val="20"/>
                <w:szCs w:val="20"/>
              </w:rPr>
            </w:pPr>
            <w:r w:rsidRPr="00FF4E93">
              <w:rPr>
                <w:rFonts w:eastAsia="Times New Roman"/>
                <w:iCs/>
                <w:color w:val="000000"/>
                <w:sz w:val="20"/>
                <w:szCs w:val="20"/>
              </w:rPr>
              <w:t>Foundation</w:t>
            </w:r>
          </w:p>
        </w:tc>
        <w:tc>
          <w:tcPr>
            <w:tcW w:w="2302" w:type="dxa"/>
            <w:tcBorders>
              <w:top w:val="single" w:sz="4" w:space="0" w:color="auto"/>
              <w:bottom w:val="single" w:sz="4" w:space="0" w:color="auto"/>
            </w:tcBorders>
            <w:shd w:val="clear" w:color="auto" w:fill="auto"/>
            <w:noWrap/>
            <w:hideMark/>
          </w:tcPr>
          <w:p w14:paraId="5AD17F2B" w14:textId="77777777" w:rsidR="00151DC1" w:rsidRPr="00FF4E93" w:rsidRDefault="00151DC1" w:rsidP="00151DC1">
            <w:pPr>
              <w:spacing w:before="0" w:after="0" w:line="240" w:lineRule="auto"/>
              <w:jc w:val="left"/>
              <w:rPr>
                <w:rFonts w:eastAsia="Times New Roman"/>
                <w:iCs/>
                <w:color w:val="000000"/>
                <w:sz w:val="20"/>
                <w:szCs w:val="20"/>
              </w:rPr>
            </w:pPr>
            <w:r w:rsidRPr="00FF4E93">
              <w:rPr>
                <w:rFonts w:eastAsia="Times New Roman"/>
                <w:iCs/>
                <w:color w:val="000000"/>
                <w:sz w:val="20"/>
                <w:szCs w:val="20"/>
              </w:rPr>
              <w:t>Add-On</w:t>
            </w:r>
          </w:p>
        </w:tc>
        <w:tc>
          <w:tcPr>
            <w:tcW w:w="1300" w:type="dxa"/>
            <w:tcBorders>
              <w:top w:val="single" w:sz="4" w:space="0" w:color="auto"/>
              <w:bottom w:val="single" w:sz="4" w:space="0" w:color="auto"/>
            </w:tcBorders>
            <w:shd w:val="clear" w:color="auto" w:fill="auto"/>
            <w:noWrap/>
            <w:hideMark/>
          </w:tcPr>
          <w:p w14:paraId="32088743" w14:textId="77777777" w:rsidR="00151DC1" w:rsidRPr="00FF4E93" w:rsidRDefault="00151DC1" w:rsidP="00151DC1">
            <w:pPr>
              <w:spacing w:before="0" w:after="0" w:line="240" w:lineRule="auto"/>
              <w:jc w:val="center"/>
              <w:rPr>
                <w:rFonts w:eastAsia="Times New Roman"/>
                <w:iCs/>
                <w:color w:val="000000"/>
                <w:sz w:val="20"/>
                <w:szCs w:val="20"/>
              </w:rPr>
            </w:pPr>
            <w:r w:rsidRPr="00FF4E93">
              <w:rPr>
                <w:rFonts w:eastAsia="Times New Roman"/>
                <w:iCs/>
                <w:color w:val="000000"/>
                <w:sz w:val="20"/>
                <w:szCs w:val="20"/>
              </w:rPr>
              <w:t>AI/ML</w:t>
            </w:r>
          </w:p>
        </w:tc>
        <w:tc>
          <w:tcPr>
            <w:tcW w:w="1300" w:type="dxa"/>
            <w:tcBorders>
              <w:top w:val="single" w:sz="4" w:space="0" w:color="auto"/>
              <w:bottom w:val="single" w:sz="4" w:space="0" w:color="auto"/>
            </w:tcBorders>
            <w:shd w:val="clear" w:color="auto" w:fill="auto"/>
            <w:noWrap/>
            <w:hideMark/>
          </w:tcPr>
          <w:p w14:paraId="0C39EBBC" w14:textId="77777777" w:rsidR="00151DC1" w:rsidRPr="00FF4E93" w:rsidRDefault="00151DC1" w:rsidP="00151DC1">
            <w:pPr>
              <w:spacing w:before="0" w:after="0" w:line="240" w:lineRule="auto"/>
              <w:jc w:val="center"/>
              <w:rPr>
                <w:rFonts w:eastAsia="Times New Roman"/>
                <w:iCs/>
                <w:color w:val="000000"/>
                <w:sz w:val="20"/>
                <w:szCs w:val="20"/>
              </w:rPr>
            </w:pPr>
            <w:r w:rsidRPr="00FF4E93">
              <w:rPr>
                <w:rFonts w:eastAsia="Times New Roman"/>
                <w:iCs/>
                <w:color w:val="000000"/>
                <w:sz w:val="20"/>
                <w:szCs w:val="20"/>
              </w:rPr>
              <w:t>AR/VR</w:t>
            </w:r>
          </w:p>
        </w:tc>
        <w:tc>
          <w:tcPr>
            <w:tcW w:w="1300" w:type="dxa"/>
            <w:tcBorders>
              <w:top w:val="single" w:sz="4" w:space="0" w:color="auto"/>
              <w:bottom w:val="single" w:sz="4" w:space="0" w:color="auto"/>
            </w:tcBorders>
            <w:shd w:val="clear" w:color="auto" w:fill="auto"/>
            <w:noWrap/>
            <w:hideMark/>
          </w:tcPr>
          <w:p w14:paraId="25154F55" w14:textId="77777777" w:rsidR="00151DC1" w:rsidRPr="00FF4E93" w:rsidRDefault="00151DC1" w:rsidP="00151DC1">
            <w:pPr>
              <w:spacing w:before="0" w:after="0" w:line="240" w:lineRule="auto"/>
              <w:jc w:val="center"/>
              <w:rPr>
                <w:rFonts w:eastAsia="Times New Roman"/>
                <w:iCs/>
                <w:color w:val="000000"/>
                <w:sz w:val="20"/>
                <w:szCs w:val="20"/>
              </w:rPr>
            </w:pPr>
            <w:r w:rsidRPr="00FF4E93">
              <w:rPr>
                <w:rFonts w:eastAsia="Times New Roman"/>
                <w:iCs/>
                <w:color w:val="000000"/>
                <w:sz w:val="20"/>
                <w:szCs w:val="20"/>
              </w:rPr>
              <w:t>Drones</w:t>
            </w:r>
          </w:p>
        </w:tc>
      </w:tr>
      <w:tr w:rsidR="00151DC1" w:rsidRPr="00FF4E93" w14:paraId="58989586" w14:textId="77777777" w:rsidTr="00C54569">
        <w:trPr>
          <w:trHeight w:val="300"/>
        </w:trPr>
        <w:tc>
          <w:tcPr>
            <w:tcW w:w="2687" w:type="dxa"/>
            <w:tcBorders>
              <w:top w:val="single" w:sz="4" w:space="0" w:color="auto"/>
            </w:tcBorders>
            <w:shd w:val="clear" w:color="auto" w:fill="auto"/>
            <w:noWrap/>
            <w:hideMark/>
          </w:tcPr>
          <w:p w14:paraId="095E6E2D"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OBM, Solution Provider</w:t>
            </w:r>
          </w:p>
        </w:tc>
        <w:tc>
          <w:tcPr>
            <w:tcW w:w="2302" w:type="dxa"/>
            <w:tcBorders>
              <w:top w:val="single" w:sz="4" w:space="0" w:color="auto"/>
            </w:tcBorders>
            <w:shd w:val="clear" w:color="auto" w:fill="auto"/>
            <w:noWrap/>
            <w:hideMark/>
          </w:tcPr>
          <w:p w14:paraId="06B56248"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Self-Service</w:t>
            </w:r>
          </w:p>
        </w:tc>
        <w:tc>
          <w:tcPr>
            <w:tcW w:w="1300" w:type="dxa"/>
            <w:tcBorders>
              <w:top w:val="single" w:sz="4" w:space="0" w:color="auto"/>
            </w:tcBorders>
            <w:shd w:val="clear" w:color="000000" w:fill="CCDD82"/>
            <w:noWrap/>
            <w:hideMark/>
          </w:tcPr>
          <w:p w14:paraId="778824E4"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6.6%</w:t>
            </w:r>
          </w:p>
        </w:tc>
        <w:tc>
          <w:tcPr>
            <w:tcW w:w="1300" w:type="dxa"/>
            <w:tcBorders>
              <w:top w:val="single" w:sz="4" w:space="0" w:color="auto"/>
            </w:tcBorders>
            <w:shd w:val="clear" w:color="000000" w:fill="E3E383"/>
            <w:noWrap/>
            <w:hideMark/>
          </w:tcPr>
          <w:p w14:paraId="3CFC3CA2"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5.0%</w:t>
            </w:r>
          </w:p>
        </w:tc>
        <w:tc>
          <w:tcPr>
            <w:tcW w:w="1300" w:type="dxa"/>
            <w:tcBorders>
              <w:top w:val="single" w:sz="4" w:space="0" w:color="auto"/>
            </w:tcBorders>
            <w:shd w:val="clear" w:color="000000" w:fill="C6DB81"/>
            <w:noWrap/>
            <w:hideMark/>
          </w:tcPr>
          <w:p w14:paraId="33AEEBCB"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7.1%</w:t>
            </w:r>
          </w:p>
        </w:tc>
      </w:tr>
      <w:tr w:rsidR="00151DC1" w:rsidRPr="00FF4E93" w14:paraId="3F181BD9" w14:textId="77777777" w:rsidTr="00C54569">
        <w:trPr>
          <w:trHeight w:val="300"/>
        </w:trPr>
        <w:tc>
          <w:tcPr>
            <w:tcW w:w="2687" w:type="dxa"/>
            <w:shd w:val="clear" w:color="auto" w:fill="auto"/>
            <w:noWrap/>
            <w:hideMark/>
          </w:tcPr>
          <w:p w14:paraId="70AD1A28"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3BD160A0"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Subscription</w:t>
            </w:r>
          </w:p>
        </w:tc>
        <w:tc>
          <w:tcPr>
            <w:tcW w:w="1300" w:type="dxa"/>
            <w:shd w:val="clear" w:color="000000" w:fill="DDE283"/>
            <w:noWrap/>
            <w:hideMark/>
          </w:tcPr>
          <w:p w14:paraId="6A74A9C6"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5.4%</w:t>
            </w:r>
          </w:p>
        </w:tc>
        <w:tc>
          <w:tcPr>
            <w:tcW w:w="1300" w:type="dxa"/>
            <w:shd w:val="clear" w:color="000000" w:fill="E3E383"/>
            <w:noWrap/>
            <w:hideMark/>
          </w:tcPr>
          <w:p w14:paraId="18A1EDFE"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5.0%</w:t>
            </w:r>
          </w:p>
        </w:tc>
        <w:tc>
          <w:tcPr>
            <w:tcW w:w="1300" w:type="dxa"/>
            <w:shd w:val="clear" w:color="000000" w:fill="C6DB81"/>
            <w:noWrap/>
            <w:hideMark/>
          </w:tcPr>
          <w:p w14:paraId="1733F3AE"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7.1%</w:t>
            </w:r>
          </w:p>
        </w:tc>
      </w:tr>
      <w:tr w:rsidR="00151DC1" w:rsidRPr="00FF4E93" w14:paraId="1B0D3BA1" w14:textId="77777777" w:rsidTr="00C54569">
        <w:trPr>
          <w:trHeight w:val="300"/>
        </w:trPr>
        <w:tc>
          <w:tcPr>
            <w:tcW w:w="2687" w:type="dxa"/>
            <w:shd w:val="clear" w:color="auto" w:fill="auto"/>
            <w:noWrap/>
            <w:hideMark/>
          </w:tcPr>
          <w:p w14:paraId="1AF1322B"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321E6966"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Digitization</w:t>
            </w:r>
          </w:p>
        </w:tc>
        <w:tc>
          <w:tcPr>
            <w:tcW w:w="1300" w:type="dxa"/>
            <w:shd w:val="clear" w:color="000000" w:fill="FBEA84"/>
            <w:noWrap/>
            <w:hideMark/>
          </w:tcPr>
          <w:p w14:paraId="53BE365C"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3.3%</w:t>
            </w:r>
          </w:p>
        </w:tc>
        <w:tc>
          <w:tcPr>
            <w:tcW w:w="1300" w:type="dxa"/>
            <w:shd w:val="clear" w:color="000000" w:fill="DCE182"/>
            <w:noWrap/>
            <w:hideMark/>
          </w:tcPr>
          <w:p w14:paraId="43384C20"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5.5%</w:t>
            </w:r>
          </w:p>
        </w:tc>
        <w:tc>
          <w:tcPr>
            <w:tcW w:w="1300" w:type="dxa"/>
            <w:shd w:val="clear" w:color="000000" w:fill="D4DF82"/>
            <w:noWrap/>
            <w:hideMark/>
          </w:tcPr>
          <w:p w14:paraId="61CD4642"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6.1%</w:t>
            </w:r>
          </w:p>
        </w:tc>
      </w:tr>
      <w:tr w:rsidR="00151DC1" w:rsidRPr="00FF4E93" w14:paraId="33ABEA4A" w14:textId="77777777" w:rsidTr="00C54569">
        <w:trPr>
          <w:trHeight w:val="300"/>
        </w:trPr>
        <w:tc>
          <w:tcPr>
            <w:tcW w:w="2687" w:type="dxa"/>
            <w:shd w:val="clear" w:color="auto" w:fill="auto"/>
            <w:noWrap/>
            <w:hideMark/>
          </w:tcPr>
          <w:p w14:paraId="65B5474F"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767D87E6"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Leverage Customer Data</w:t>
            </w:r>
          </w:p>
        </w:tc>
        <w:tc>
          <w:tcPr>
            <w:tcW w:w="1300" w:type="dxa"/>
            <w:shd w:val="clear" w:color="auto" w:fill="auto"/>
            <w:noWrap/>
            <w:hideMark/>
          </w:tcPr>
          <w:p w14:paraId="48D37977"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auto" w:fill="auto"/>
            <w:noWrap/>
            <w:hideMark/>
          </w:tcPr>
          <w:p w14:paraId="73E7AE42"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000000" w:fill="94CC7E"/>
            <w:noWrap/>
            <w:hideMark/>
          </w:tcPr>
          <w:p w14:paraId="1A1506A0"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10.6%</w:t>
            </w:r>
          </w:p>
        </w:tc>
      </w:tr>
      <w:tr w:rsidR="00151DC1" w:rsidRPr="00FF4E93" w14:paraId="64EDB88E" w14:textId="77777777" w:rsidTr="00C54569">
        <w:trPr>
          <w:trHeight w:val="280"/>
        </w:trPr>
        <w:tc>
          <w:tcPr>
            <w:tcW w:w="2687" w:type="dxa"/>
            <w:shd w:val="clear" w:color="auto" w:fill="auto"/>
            <w:noWrap/>
            <w:hideMark/>
          </w:tcPr>
          <w:p w14:paraId="6547DB44"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10B3BD5C" w14:textId="77777777" w:rsidR="00151DC1" w:rsidRPr="00FF4E93" w:rsidRDefault="00151DC1" w:rsidP="00151DC1">
            <w:pPr>
              <w:spacing w:before="0" w:after="0" w:line="240" w:lineRule="auto"/>
              <w:jc w:val="left"/>
              <w:rPr>
                <w:rFonts w:eastAsia="Times New Roman"/>
                <w:color w:val="7F7F7F"/>
                <w:sz w:val="20"/>
                <w:szCs w:val="20"/>
              </w:rPr>
            </w:pPr>
            <w:r w:rsidRPr="00FF4E93">
              <w:rPr>
                <w:rFonts w:eastAsia="Times New Roman"/>
                <w:color w:val="7F7F7F"/>
                <w:sz w:val="20"/>
                <w:szCs w:val="20"/>
              </w:rPr>
              <w:t>Direct Selling</w:t>
            </w:r>
          </w:p>
        </w:tc>
        <w:tc>
          <w:tcPr>
            <w:tcW w:w="1300" w:type="dxa"/>
            <w:shd w:val="clear" w:color="auto" w:fill="auto"/>
            <w:noWrap/>
            <w:hideMark/>
          </w:tcPr>
          <w:p w14:paraId="5A743D59"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auto" w:fill="auto"/>
            <w:noWrap/>
            <w:hideMark/>
          </w:tcPr>
          <w:p w14:paraId="386271C0"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auto" w:fill="auto"/>
            <w:noWrap/>
            <w:hideMark/>
          </w:tcPr>
          <w:p w14:paraId="33B2943D"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r>
      <w:tr w:rsidR="00151DC1" w:rsidRPr="00FF4E93" w14:paraId="6A7466C8" w14:textId="77777777" w:rsidTr="00C54569">
        <w:trPr>
          <w:trHeight w:val="300"/>
        </w:trPr>
        <w:tc>
          <w:tcPr>
            <w:tcW w:w="2687" w:type="dxa"/>
            <w:shd w:val="clear" w:color="auto" w:fill="auto"/>
            <w:noWrap/>
            <w:hideMark/>
          </w:tcPr>
          <w:p w14:paraId="0ECE1BF8"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1413C0A7"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Virtualization</w:t>
            </w:r>
          </w:p>
        </w:tc>
        <w:tc>
          <w:tcPr>
            <w:tcW w:w="1300" w:type="dxa"/>
            <w:shd w:val="clear" w:color="auto" w:fill="auto"/>
            <w:noWrap/>
            <w:hideMark/>
          </w:tcPr>
          <w:p w14:paraId="54D28C0D"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000000" w:fill="E3E383"/>
            <w:noWrap/>
            <w:hideMark/>
          </w:tcPr>
          <w:p w14:paraId="2C53B035"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5.0%</w:t>
            </w:r>
          </w:p>
        </w:tc>
        <w:tc>
          <w:tcPr>
            <w:tcW w:w="1300" w:type="dxa"/>
            <w:shd w:val="clear" w:color="auto" w:fill="auto"/>
            <w:noWrap/>
            <w:hideMark/>
          </w:tcPr>
          <w:p w14:paraId="219BA0CC"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r>
      <w:tr w:rsidR="00151DC1" w:rsidRPr="00FF4E93" w14:paraId="23F4D65E" w14:textId="77777777" w:rsidTr="00C54569">
        <w:trPr>
          <w:trHeight w:val="300"/>
        </w:trPr>
        <w:tc>
          <w:tcPr>
            <w:tcW w:w="2687" w:type="dxa"/>
            <w:shd w:val="clear" w:color="auto" w:fill="auto"/>
            <w:noWrap/>
            <w:hideMark/>
          </w:tcPr>
          <w:p w14:paraId="0E97FB19"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7788ABE5"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Integrator</w:t>
            </w:r>
          </w:p>
        </w:tc>
        <w:tc>
          <w:tcPr>
            <w:tcW w:w="1300" w:type="dxa"/>
            <w:shd w:val="clear" w:color="auto" w:fill="auto"/>
            <w:noWrap/>
            <w:hideMark/>
          </w:tcPr>
          <w:p w14:paraId="51376AC6"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auto" w:fill="auto"/>
            <w:noWrap/>
            <w:hideMark/>
          </w:tcPr>
          <w:p w14:paraId="56080E10"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000000" w:fill="D4DF82"/>
            <w:noWrap/>
            <w:hideMark/>
          </w:tcPr>
          <w:p w14:paraId="0E105761"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6.1%</w:t>
            </w:r>
          </w:p>
        </w:tc>
      </w:tr>
      <w:tr w:rsidR="00151DC1" w:rsidRPr="00FF4E93" w14:paraId="1B0F42C6" w14:textId="77777777" w:rsidTr="00C54569">
        <w:trPr>
          <w:trHeight w:val="280"/>
        </w:trPr>
        <w:tc>
          <w:tcPr>
            <w:tcW w:w="2687" w:type="dxa"/>
            <w:shd w:val="clear" w:color="auto" w:fill="auto"/>
            <w:noWrap/>
            <w:hideMark/>
          </w:tcPr>
          <w:p w14:paraId="02D09B7C"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17E99487"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Aikido</w:t>
            </w:r>
          </w:p>
        </w:tc>
        <w:tc>
          <w:tcPr>
            <w:tcW w:w="1300" w:type="dxa"/>
            <w:shd w:val="clear" w:color="auto" w:fill="auto"/>
            <w:noWrap/>
            <w:hideMark/>
          </w:tcPr>
          <w:p w14:paraId="76F3C686"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000000" w:fill="EAE583"/>
            <w:noWrap/>
            <w:hideMark/>
          </w:tcPr>
          <w:p w14:paraId="0113FE77"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4.5%</w:t>
            </w:r>
          </w:p>
        </w:tc>
        <w:tc>
          <w:tcPr>
            <w:tcW w:w="1300" w:type="dxa"/>
            <w:shd w:val="clear" w:color="000000" w:fill="E2E383"/>
            <w:noWrap/>
            <w:hideMark/>
          </w:tcPr>
          <w:p w14:paraId="7715D167"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5.1%</w:t>
            </w:r>
          </w:p>
        </w:tc>
      </w:tr>
      <w:tr w:rsidR="00151DC1" w:rsidRPr="00FF4E93" w14:paraId="4CBC8E14" w14:textId="77777777" w:rsidTr="00C54569">
        <w:trPr>
          <w:trHeight w:val="300"/>
        </w:trPr>
        <w:tc>
          <w:tcPr>
            <w:tcW w:w="2687" w:type="dxa"/>
            <w:shd w:val="clear" w:color="auto" w:fill="auto"/>
            <w:noWrap/>
            <w:hideMark/>
          </w:tcPr>
          <w:p w14:paraId="33816997"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06BCA086"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Sensor-as-a-Service</w:t>
            </w:r>
          </w:p>
        </w:tc>
        <w:tc>
          <w:tcPr>
            <w:tcW w:w="1300" w:type="dxa"/>
            <w:shd w:val="clear" w:color="auto" w:fill="auto"/>
            <w:noWrap/>
            <w:hideMark/>
          </w:tcPr>
          <w:p w14:paraId="0D66DFEB"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auto" w:fill="auto"/>
            <w:noWrap/>
            <w:hideMark/>
          </w:tcPr>
          <w:p w14:paraId="3EA8E66E"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000000" w:fill="C6DB81"/>
            <w:noWrap/>
            <w:hideMark/>
          </w:tcPr>
          <w:p w14:paraId="709CDC4E" w14:textId="77777777" w:rsidR="00151DC1" w:rsidRPr="00FF4E93" w:rsidRDefault="00151DC1" w:rsidP="00151DC1">
            <w:pPr>
              <w:spacing w:before="0" w:after="0" w:line="240" w:lineRule="auto"/>
              <w:jc w:val="center"/>
              <w:rPr>
                <w:rFonts w:eastAsia="Times New Roman"/>
                <w:color w:val="000000"/>
                <w:sz w:val="20"/>
                <w:szCs w:val="20"/>
              </w:rPr>
            </w:pPr>
            <w:r w:rsidRPr="00FF4E93">
              <w:rPr>
                <w:rFonts w:eastAsia="Times New Roman"/>
                <w:color w:val="000000"/>
                <w:sz w:val="20"/>
                <w:szCs w:val="20"/>
              </w:rPr>
              <w:t>7.1%</w:t>
            </w:r>
          </w:p>
        </w:tc>
      </w:tr>
      <w:tr w:rsidR="00151DC1" w:rsidRPr="00FF4E93" w14:paraId="01E0BA36" w14:textId="77777777" w:rsidTr="00C54569">
        <w:trPr>
          <w:trHeight w:val="280"/>
        </w:trPr>
        <w:tc>
          <w:tcPr>
            <w:tcW w:w="2687" w:type="dxa"/>
            <w:shd w:val="clear" w:color="auto" w:fill="auto"/>
            <w:noWrap/>
            <w:hideMark/>
          </w:tcPr>
          <w:p w14:paraId="78A364E9"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 </w:t>
            </w:r>
          </w:p>
        </w:tc>
        <w:tc>
          <w:tcPr>
            <w:tcW w:w="2302" w:type="dxa"/>
            <w:shd w:val="clear" w:color="auto" w:fill="auto"/>
            <w:noWrap/>
            <w:hideMark/>
          </w:tcPr>
          <w:p w14:paraId="2F634212" w14:textId="77777777" w:rsidR="00151DC1" w:rsidRPr="00FF4E93" w:rsidRDefault="00151DC1" w:rsidP="00151DC1">
            <w:pPr>
              <w:spacing w:before="0" w:after="0" w:line="240" w:lineRule="auto"/>
              <w:jc w:val="left"/>
              <w:rPr>
                <w:rFonts w:eastAsia="Times New Roman"/>
                <w:color w:val="7F7F7F"/>
                <w:sz w:val="20"/>
                <w:szCs w:val="20"/>
              </w:rPr>
            </w:pPr>
            <w:r w:rsidRPr="00FF4E93">
              <w:rPr>
                <w:rFonts w:eastAsia="Times New Roman"/>
                <w:color w:val="7F7F7F"/>
                <w:sz w:val="20"/>
                <w:szCs w:val="20"/>
              </w:rPr>
              <w:t>Two-sided Market</w:t>
            </w:r>
          </w:p>
        </w:tc>
        <w:tc>
          <w:tcPr>
            <w:tcW w:w="1300" w:type="dxa"/>
            <w:shd w:val="clear" w:color="auto" w:fill="auto"/>
            <w:noWrap/>
            <w:hideMark/>
          </w:tcPr>
          <w:p w14:paraId="0DEA7719"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auto" w:fill="auto"/>
            <w:noWrap/>
            <w:hideMark/>
          </w:tcPr>
          <w:p w14:paraId="76E7A34A"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c>
          <w:tcPr>
            <w:tcW w:w="1300" w:type="dxa"/>
            <w:shd w:val="clear" w:color="auto" w:fill="auto"/>
            <w:noWrap/>
            <w:hideMark/>
          </w:tcPr>
          <w:p w14:paraId="2F704A57" w14:textId="77777777" w:rsidR="00151DC1" w:rsidRPr="00FF4E93" w:rsidRDefault="00151DC1" w:rsidP="00151DC1">
            <w:pPr>
              <w:spacing w:before="0" w:after="0" w:line="240" w:lineRule="auto"/>
              <w:jc w:val="center"/>
              <w:rPr>
                <w:rFonts w:eastAsia="Times New Roman"/>
                <w:color w:val="FFFFFF"/>
                <w:sz w:val="20"/>
                <w:szCs w:val="20"/>
              </w:rPr>
            </w:pPr>
            <w:r w:rsidRPr="00FF4E93">
              <w:rPr>
                <w:rFonts w:eastAsia="Times New Roman"/>
                <w:color w:val="FFFFFF"/>
                <w:sz w:val="20"/>
                <w:szCs w:val="20"/>
              </w:rPr>
              <w:t>0.0%</w:t>
            </w:r>
          </w:p>
        </w:tc>
      </w:tr>
    </w:tbl>
    <w:p w14:paraId="25544B7D" w14:textId="77777777" w:rsidR="00151DC1" w:rsidRPr="00FF4E93" w:rsidRDefault="00151DC1" w:rsidP="00151DC1">
      <w:pPr>
        <w:spacing w:after="0"/>
        <w:rPr>
          <w:rFonts w:eastAsia="Times New Roman"/>
          <w:sz w:val="26"/>
        </w:rPr>
      </w:pPr>
    </w:p>
    <w:p w14:paraId="2DE0B1C9" w14:textId="77777777" w:rsidR="00151DC1" w:rsidRPr="00FF4E93" w:rsidRDefault="00151DC1" w:rsidP="00151DC1">
      <w:pPr>
        <w:spacing w:after="0"/>
        <w:rPr>
          <w:rFonts w:eastAsia="Times New Roman"/>
          <w:i/>
          <w:sz w:val="26"/>
        </w:rPr>
      </w:pPr>
      <w:r w:rsidRPr="00FF4E93">
        <w:rPr>
          <w:rFonts w:eastAsia="Times New Roman"/>
          <w:i/>
          <w:sz w:val="26"/>
        </w:rPr>
        <w:t>Digitization (Add-on)</w:t>
      </w:r>
    </w:p>
    <w:p w14:paraId="20113F6B" w14:textId="77777777" w:rsidR="00151DC1" w:rsidRPr="00FF4E93" w:rsidRDefault="00151DC1" w:rsidP="00151DC1">
      <w:pPr>
        <w:spacing w:after="0"/>
        <w:rPr>
          <w:rFonts w:eastAsia="Times New Roman"/>
          <w:sz w:val="26"/>
        </w:rPr>
      </w:pPr>
      <w:r w:rsidRPr="00FF4E93">
        <w:rPr>
          <w:rFonts w:eastAsia="Times New Roman"/>
          <w:sz w:val="26"/>
        </w:rPr>
        <w:t xml:space="preserve">The combination with the </w:t>
      </w:r>
      <w:r w:rsidRPr="00FF4E93">
        <w:rPr>
          <w:rFonts w:eastAsia="Times New Roman"/>
          <w:i/>
          <w:sz w:val="26"/>
        </w:rPr>
        <w:t>Digitization</w:t>
      </w:r>
      <w:r w:rsidRPr="00FF4E93">
        <w:rPr>
          <w:rFonts w:eastAsia="Times New Roman"/>
          <w:sz w:val="26"/>
        </w:rPr>
        <w:t xml:space="preserve"> pattern represents the domain’s third most frequently found variant across all three samples (only behind </w:t>
      </w:r>
      <w:r w:rsidRPr="00FF4E93">
        <w:rPr>
          <w:rFonts w:eastAsia="Times New Roman"/>
          <w:i/>
          <w:sz w:val="26"/>
        </w:rPr>
        <w:t>Self-Service</w:t>
      </w:r>
      <w:r w:rsidRPr="00FF4E93">
        <w:rPr>
          <w:rFonts w:eastAsia="Times New Roman"/>
          <w:sz w:val="26"/>
        </w:rPr>
        <w:t xml:space="preserve"> and </w:t>
      </w:r>
      <w:r w:rsidRPr="00FF4E93">
        <w:rPr>
          <w:rFonts w:eastAsia="Times New Roman"/>
          <w:i/>
          <w:sz w:val="26"/>
        </w:rPr>
        <w:t>Subscription</w:t>
      </w:r>
      <w:r w:rsidRPr="00FF4E93">
        <w:rPr>
          <w:rFonts w:eastAsia="Times New Roman"/>
          <w:sz w:val="26"/>
        </w:rPr>
        <w:t xml:space="preserve">). The </w:t>
      </w:r>
      <w:r w:rsidRPr="00FF4E93">
        <w:rPr>
          <w:rFonts w:eastAsia="Times New Roman"/>
          <w:i/>
          <w:sz w:val="26"/>
        </w:rPr>
        <w:t xml:space="preserve">Digitization </w:t>
      </w:r>
      <w:r w:rsidRPr="00FF4E93">
        <w:rPr>
          <w:rFonts w:eastAsia="Times New Roman"/>
          <w:sz w:val="26"/>
        </w:rPr>
        <w:t xml:space="preserve">pattern is described as the transformation of any existing products or services into purely digital variants, resulting in various advantages, such as the reduction of overhead and the omission of intermediaries (Gassmann et al., 2016). While the </w:t>
      </w:r>
      <w:r w:rsidRPr="00FF4E93">
        <w:rPr>
          <w:rFonts w:eastAsia="Times New Roman"/>
          <w:i/>
          <w:sz w:val="26"/>
        </w:rPr>
        <w:t xml:space="preserve">Digitization </w:t>
      </w:r>
      <w:r w:rsidRPr="00FF4E93">
        <w:rPr>
          <w:rFonts w:eastAsia="Times New Roman"/>
          <w:sz w:val="26"/>
        </w:rPr>
        <w:t xml:space="preserve">variant of Configuration 3 is domain independent, the individual implementations in respect to the technology domain context vary heavily. However, across domains our analysis revealed two interconnected reasons for the internal fit of this variant: First, digitization typically plays an important role in integrating the individual components in one turnkey solution, for companies offering integrated products </w:t>
      </w:r>
      <w:r w:rsidRPr="00FF4E93">
        <w:rPr>
          <w:rFonts w:eastAsia="Times New Roman"/>
          <w:i/>
          <w:sz w:val="26"/>
        </w:rPr>
        <w:t>(Solution Provider)</w:t>
      </w:r>
      <w:r w:rsidRPr="00FF4E93">
        <w:rPr>
          <w:rFonts w:eastAsia="Times New Roman"/>
          <w:sz w:val="26"/>
        </w:rPr>
        <w:t xml:space="preserve">. And second, the digitization of entire processes or products usually poses a significant challenge. Thus, an </w:t>
      </w:r>
      <w:r w:rsidRPr="00FF4E93">
        <w:rPr>
          <w:rFonts w:eastAsia="Times New Roman"/>
          <w:i/>
          <w:sz w:val="26"/>
        </w:rPr>
        <w:t xml:space="preserve">Open Business Model </w:t>
      </w:r>
      <w:r w:rsidRPr="00FF4E93">
        <w:rPr>
          <w:rFonts w:eastAsia="Times New Roman"/>
          <w:sz w:val="26"/>
        </w:rPr>
        <w:t>can prove extremely valuable in sourcing the relevant competencies by means of close partnerships.</w:t>
      </w:r>
    </w:p>
    <w:p w14:paraId="50BAA5B7" w14:textId="77777777" w:rsidR="00151DC1" w:rsidRPr="00FF4E93" w:rsidRDefault="00151DC1" w:rsidP="00151DC1">
      <w:pPr>
        <w:spacing w:after="0"/>
        <w:rPr>
          <w:rFonts w:eastAsia="Times New Roman"/>
          <w:sz w:val="26"/>
        </w:rPr>
      </w:pPr>
      <w:r w:rsidRPr="00FF4E93">
        <w:rPr>
          <w:rFonts w:eastAsia="Times New Roman"/>
          <w:sz w:val="26"/>
        </w:rPr>
        <w:t xml:space="preserve">For </w:t>
      </w:r>
      <w:proofErr w:type="spellStart"/>
      <w:r w:rsidRPr="00FF4E93">
        <w:rPr>
          <w:rFonts w:eastAsia="Times New Roman"/>
          <w:i/>
          <w:sz w:val="26"/>
        </w:rPr>
        <w:t>Atheer</w:t>
      </w:r>
      <w:proofErr w:type="spellEnd"/>
      <w:r w:rsidRPr="00FF4E93">
        <w:rPr>
          <w:rFonts w:eastAsia="Times New Roman"/>
          <w:sz w:val="26"/>
        </w:rPr>
        <w:t>,</w:t>
      </w:r>
      <w:r w:rsidRPr="00FF4E93">
        <w:rPr>
          <w:rFonts w:eastAsia="Times New Roman"/>
          <w:i/>
          <w:sz w:val="26"/>
        </w:rPr>
        <w:t xml:space="preserve"> </w:t>
      </w:r>
      <w:r w:rsidRPr="00FF4E93">
        <w:rPr>
          <w:rFonts w:eastAsia="Times New Roman"/>
          <w:sz w:val="26"/>
        </w:rPr>
        <w:t xml:space="preserve">the </w:t>
      </w:r>
      <w:r w:rsidRPr="00FF4E93">
        <w:rPr>
          <w:rFonts w:eastAsia="Times New Roman"/>
          <w:i/>
          <w:sz w:val="26"/>
        </w:rPr>
        <w:t xml:space="preserve">Digitization </w:t>
      </w:r>
      <w:r w:rsidRPr="00FF4E93">
        <w:rPr>
          <w:rFonts w:eastAsia="Times New Roman"/>
          <w:sz w:val="26"/>
        </w:rPr>
        <w:t>add-on is a core part of their previously explained full-service value proposition. Essentially, the company is digitizing tasks which were previously executed purely physically, such as inspection or assembly operations.</w:t>
      </w:r>
    </w:p>
    <w:p w14:paraId="23744003" w14:textId="77777777" w:rsidR="00151DC1" w:rsidRPr="00FF4E93" w:rsidRDefault="00151DC1" w:rsidP="00151DC1">
      <w:pPr>
        <w:spacing w:before="200" w:after="160"/>
        <w:ind w:left="864" w:right="864"/>
        <w:rPr>
          <w:rFonts w:eastAsia="Times New Roman"/>
          <w:i/>
          <w:iCs/>
          <w:color w:val="000000"/>
          <w:sz w:val="26"/>
        </w:rPr>
      </w:pPr>
      <w:r w:rsidRPr="00FF4E93">
        <w:rPr>
          <w:rFonts w:eastAsia="Times New Roman"/>
          <w:i/>
          <w:iCs/>
          <w:color w:val="000000"/>
          <w:sz w:val="26"/>
        </w:rPr>
        <w:t>“</w:t>
      </w:r>
      <w:proofErr w:type="spellStart"/>
      <w:r w:rsidRPr="00FF4E93">
        <w:rPr>
          <w:rFonts w:eastAsia="Times New Roman"/>
          <w:i/>
          <w:iCs/>
          <w:color w:val="000000"/>
          <w:sz w:val="26"/>
        </w:rPr>
        <w:t>AiR</w:t>
      </w:r>
      <w:proofErr w:type="spellEnd"/>
      <w:r w:rsidRPr="00FF4E93">
        <w:rPr>
          <w:rFonts w:eastAsia="Times New Roman"/>
          <w:i/>
          <w:iCs/>
          <w:color w:val="000000"/>
          <w:sz w:val="26"/>
        </w:rPr>
        <w:t>™ Enterprise is a breakthrough enterprise-class AR application that uses smart glasses to connect a worker's physical and digital workspaces […]. Any employee wearing a compatible head mounted display can livestream what they see to a remote expert.  The expert can guide the employee and send them relevant drawings or procedures”</w:t>
      </w:r>
    </w:p>
    <w:p w14:paraId="3DC88776" w14:textId="77777777" w:rsidR="00151DC1" w:rsidRPr="00FF4E93" w:rsidRDefault="00151DC1" w:rsidP="00151DC1">
      <w:pPr>
        <w:spacing w:after="0"/>
        <w:rPr>
          <w:rFonts w:eastAsia="Times New Roman"/>
          <w:sz w:val="26"/>
        </w:rPr>
      </w:pPr>
      <w:r w:rsidRPr="00FF4E93">
        <w:rPr>
          <w:rFonts w:eastAsia="Times New Roman"/>
          <w:sz w:val="26"/>
        </w:rPr>
        <w:lastRenderedPageBreak/>
        <w:t xml:space="preserve">While for </w:t>
      </w:r>
      <w:proofErr w:type="spellStart"/>
      <w:r w:rsidRPr="00FF4E93">
        <w:rPr>
          <w:rFonts w:eastAsia="Times New Roman"/>
          <w:i/>
          <w:sz w:val="26"/>
        </w:rPr>
        <w:t>Atheer</w:t>
      </w:r>
      <w:proofErr w:type="spellEnd"/>
      <w:r w:rsidRPr="00FF4E93">
        <w:rPr>
          <w:rFonts w:eastAsia="Times New Roman"/>
          <w:i/>
          <w:sz w:val="26"/>
        </w:rPr>
        <w:t xml:space="preserve"> </w:t>
      </w:r>
      <w:r w:rsidRPr="00FF4E93">
        <w:rPr>
          <w:rFonts w:eastAsia="Times New Roman"/>
          <w:sz w:val="26"/>
        </w:rPr>
        <w:t xml:space="preserve">the integration of the physical and digital world is a key component of their unique value proposition, Fintech startup </w:t>
      </w:r>
      <w:proofErr w:type="spellStart"/>
      <w:r w:rsidRPr="00FF4E93">
        <w:rPr>
          <w:rFonts w:eastAsia="Times New Roman"/>
          <w:i/>
          <w:sz w:val="26"/>
        </w:rPr>
        <w:t>Socure</w:t>
      </w:r>
      <w:proofErr w:type="spellEnd"/>
      <w:r w:rsidRPr="00FF4E93">
        <w:rPr>
          <w:rFonts w:eastAsia="Times New Roman"/>
          <w:i/>
          <w:sz w:val="26"/>
        </w:rPr>
        <w:t xml:space="preserve"> </w:t>
      </w:r>
      <w:r w:rsidRPr="00FF4E93">
        <w:rPr>
          <w:rFonts w:eastAsia="Times New Roman"/>
          <w:sz w:val="26"/>
        </w:rPr>
        <w:t>is entirely transferring a real-world process into a digital sphere.</w:t>
      </w:r>
    </w:p>
    <w:p w14:paraId="51018193" w14:textId="77777777" w:rsidR="00151DC1" w:rsidRPr="00FF4E93" w:rsidRDefault="00151DC1" w:rsidP="00151DC1">
      <w:pPr>
        <w:spacing w:before="200" w:after="160"/>
        <w:ind w:left="864" w:right="864"/>
        <w:rPr>
          <w:rFonts w:eastAsia="Times New Roman"/>
          <w:i/>
          <w:iCs/>
          <w:color w:val="000000"/>
          <w:sz w:val="26"/>
        </w:rPr>
      </w:pPr>
      <w:r w:rsidRPr="00FF4E93">
        <w:rPr>
          <w:rFonts w:eastAsia="Times New Roman"/>
          <w:i/>
          <w:iCs/>
          <w:color w:val="000000"/>
          <w:sz w:val="26"/>
        </w:rPr>
        <w:t xml:space="preserve">“With customers including a top 5 US bank […] and many of the leading digital banks, lenders and insurers, </w:t>
      </w:r>
      <w:proofErr w:type="spellStart"/>
      <w:r w:rsidRPr="00FF4E93">
        <w:rPr>
          <w:rFonts w:eastAsia="Times New Roman"/>
          <w:i/>
          <w:iCs/>
          <w:color w:val="000000"/>
          <w:sz w:val="26"/>
        </w:rPr>
        <w:t>Socure</w:t>
      </w:r>
      <w:proofErr w:type="spellEnd"/>
      <w:r w:rsidRPr="00FF4E93">
        <w:rPr>
          <w:rFonts w:eastAsia="Times New Roman"/>
          <w:i/>
          <w:iCs/>
          <w:color w:val="000000"/>
          <w:sz w:val="26"/>
        </w:rPr>
        <w:t xml:space="preserve"> continues to reimagine digital identity verification, leveraging its artificial intelligence and machine-learning techniques. Digital commerce is now a market mandate, forcing companies to be able to identify, acquire, and trust new digital customers.”</w:t>
      </w:r>
    </w:p>
    <w:p w14:paraId="41D4B7B9" w14:textId="77777777" w:rsidR="00151DC1" w:rsidRPr="00FF4E93" w:rsidRDefault="00151DC1" w:rsidP="00151DC1">
      <w:pPr>
        <w:spacing w:after="0"/>
        <w:rPr>
          <w:rFonts w:eastAsia="Times New Roman"/>
          <w:i/>
          <w:sz w:val="26"/>
        </w:rPr>
      </w:pPr>
      <w:r w:rsidRPr="00FF4E93">
        <w:rPr>
          <w:rFonts w:eastAsia="Times New Roman"/>
          <w:i/>
          <w:sz w:val="26"/>
        </w:rPr>
        <w:t>Leverage Customer Data (Add-on)</w:t>
      </w:r>
    </w:p>
    <w:p w14:paraId="18990D73" w14:textId="77777777" w:rsidR="00151DC1" w:rsidRPr="00FF4E93" w:rsidRDefault="00151DC1" w:rsidP="00151DC1">
      <w:pPr>
        <w:spacing w:after="0"/>
        <w:rPr>
          <w:rFonts w:eastAsia="Times New Roman"/>
          <w:sz w:val="26"/>
        </w:rPr>
      </w:pPr>
      <w:r w:rsidRPr="00FF4E93">
        <w:rPr>
          <w:rFonts w:eastAsia="Times New Roman"/>
          <w:sz w:val="26"/>
        </w:rPr>
        <w:t xml:space="preserve">A variant most dominantly relating to drone-tech companies is the combination with the pattern </w:t>
      </w:r>
      <w:r w:rsidRPr="00FF4E93">
        <w:rPr>
          <w:rFonts w:eastAsia="Times New Roman"/>
          <w:i/>
          <w:sz w:val="26"/>
        </w:rPr>
        <w:t xml:space="preserve">“Leverage Customer Data”. </w:t>
      </w:r>
      <w:r w:rsidRPr="00FF4E93">
        <w:rPr>
          <w:rFonts w:eastAsia="Times New Roman"/>
          <w:sz w:val="26"/>
        </w:rPr>
        <w:t xml:space="preserve">According to the original pattern definition, this applies to firms whose main activities centre around the acquisition and the analysis of data (Gassmann et al., 2016). While iconic examples would consequently be the likes of Google, Facebook or Amazon, whose business models are built on the intelligent usage of customer data, emerging technologies are opening up new use cases: drones for instance offer an entirely unprecedented way of aerial data collection. The resulting imagery or the resulting insights can be sold directly to clients. Specifically, for drone-tech firms, this optimally integrates with a </w:t>
      </w:r>
      <w:r w:rsidRPr="00FF4E93">
        <w:rPr>
          <w:rFonts w:eastAsia="Times New Roman"/>
          <w:i/>
          <w:sz w:val="26"/>
        </w:rPr>
        <w:t xml:space="preserve">Solution Provider </w:t>
      </w:r>
      <w:r w:rsidRPr="00FF4E93">
        <w:rPr>
          <w:rFonts w:eastAsia="Times New Roman"/>
          <w:sz w:val="26"/>
        </w:rPr>
        <w:t xml:space="preserve">pattern as companies can offer a full aerial intelligence solution. As pointed out earlier, the analysis showed that such solutions are frequently developed in tight collaboration with other players </w:t>
      </w:r>
      <w:r w:rsidRPr="00FF4E93">
        <w:rPr>
          <w:rFonts w:eastAsia="Times New Roman"/>
          <w:i/>
          <w:sz w:val="26"/>
        </w:rPr>
        <w:t>(OBM)</w:t>
      </w:r>
      <w:r w:rsidRPr="00FF4E93">
        <w:rPr>
          <w:rFonts w:eastAsia="Times New Roman"/>
          <w:sz w:val="26"/>
        </w:rPr>
        <w:t xml:space="preserve">. </w:t>
      </w:r>
      <w:proofErr w:type="spellStart"/>
      <w:r w:rsidRPr="00FF4E93">
        <w:rPr>
          <w:rFonts w:eastAsia="Times New Roman"/>
          <w:i/>
          <w:sz w:val="26"/>
        </w:rPr>
        <w:t>Kespry</w:t>
      </w:r>
      <w:proofErr w:type="spellEnd"/>
      <w:r w:rsidRPr="00FF4E93">
        <w:rPr>
          <w:rFonts w:eastAsia="Times New Roman"/>
          <w:i/>
          <w:sz w:val="26"/>
        </w:rPr>
        <w:t xml:space="preserve"> </w:t>
      </w:r>
      <w:r w:rsidRPr="00FF4E93">
        <w:rPr>
          <w:rFonts w:eastAsia="Times New Roman"/>
          <w:sz w:val="26"/>
        </w:rPr>
        <w:t>exemplifies how customer data can be leveraged in revenue-generating ways.</w:t>
      </w:r>
    </w:p>
    <w:p w14:paraId="42A5B511" w14:textId="77777777" w:rsidR="00151DC1" w:rsidRPr="00FF4E93" w:rsidRDefault="00151DC1" w:rsidP="00151DC1">
      <w:pPr>
        <w:spacing w:before="200" w:after="160"/>
        <w:ind w:left="864" w:right="864"/>
        <w:rPr>
          <w:rFonts w:eastAsia="Times New Roman"/>
          <w:i/>
          <w:iCs/>
          <w:color w:val="000000"/>
          <w:sz w:val="26"/>
        </w:rPr>
      </w:pPr>
      <w:r w:rsidRPr="00FF4E93">
        <w:rPr>
          <w:rFonts w:eastAsia="Times New Roman"/>
          <w:i/>
          <w:iCs/>
          <w:color w:val="000000"/>
          <w:sz w:val="26"/>
        </w:rPr>
        <w:t xml:space="preserve">“Once the drone data has been captured, it is uploaded to the </w:t>
      </w:r>
      <w:proofErr w:type="spellStart"/>
      <w:r w:rsidRPr="00FF4E93">
        <w:rPr>
          <w:rFonts w:eastAsia="Times New Roman"/>
          <w:i/>
          <w:iCs/>
          <w:color w:val="000000"/>
          <w:sz w:val="26"/>
        </w:rPr>
        <w:t>Kespry</w:t>
      </w:r>
      <w:proofErr w:type="spellEnd"/>
      <w:r w:rsidRPr="00FF4E93">
        <w:rPr>
          <w:rFonts w:eastAsia="Times New Roman"/>
          <w:i/>
          <w:iCs/>
          <w:color w:val="000000"/>
          <w:sz w:val="26"/>
        </w:rPr>
        <w:t xml:space="preserve"> Cloud. With the </w:t>
      </w:r>
      <w:proofErr w:type="spellStart"/>
      <w:r w:rsidRPr="00FF4E93">
        <w:rPr>
          <w:rFonts w:eastAsia="Times New Roman"/>
          <w:i/>
          <w:iCs/>
          <w:color w:val="000000"/>
          <w:sz w:val="26"/>
        </w:rPr>
        <w:t>Kespry</w:t>
      </w:r>
      <w:proofErr w:type="spellEnd"/>
      <w:r w:rsidRPr="00FF4E93">
        <w:rPr>
          <w:rFonts w:eastAsia="Times New Roman"/>
          <w:i/>
          <w:iCs/>
          <w:color w:val="000000"/>
          <w:sz w:val="26"/>
        </w:rPr>
        <w:t xml:space="preserve"> inspection solution, fast processing and mobile tools enable access to drone data within minutes, providing “in the field” analysis and claims decisions in as little as 1 hour. For aggregates, mining, and construction, </w:t>
      </w:r>
      <w:proofErr w:type="spellStart"/>
      <w:r w:rsidRPr="00FF4E93">
        <w:rPr>
          <w:rFonts w:eastAsia="Times New Roman"/>
          <w:i/>
          <w:iCs/>
          <w:color w:val="000000"/>
          <w:sz w:val="26"/>
        </w:rPr>
        <w:t>Kespry</w:t>
      </w:r>
      <w:proofErr w:type="spellEnd"/>
      <w:r w:rsidRPr="00FF4E93">
        <w:rPr>
          <w:rFonts w:eastAsia="Times New Roman"/>
          <w:i/>
          <w:iCs/>
          <w:color w:val="000000"/>
          <w:sz w:val="26"/>
        </w:rPr>
        <w:t xml:space="preserve"> automatically generates 2D and 3D models of the entire site ready for analysis […] [</w:t>
      </w:r>
      <w:proofErr w:type="spellStart"/>
      <w:r w:rsidRPr="00FF4E93">
        <w:rPr>
          <w:rFonts w:eastAsia="Times New Roman"/>
          <w:i/>
          <w:iCs/>
          <w:color w:val="000000"/>
          <w:sz w:val="26"/>
        </w:rPr>
        <w:t>Kespry’s</w:t>
      </w:r>
      <w:proofErr w:type="spellEnd"/>
      <w:r w:rsidRPr="00FF4E93">
        <w:rPr>
          <w:rFonts w:eastAsia="Times New Roman"/>
          <w:i/>
          <w:iCs/>
          <w:color w:val="000000"/>
          <w:sz w:val="26"/>
        </w:rPr>
        <w:t xml:space="preserve"> CEO] views drones as “the new sensor network,”</w:t>
      </w:r>
      <w:r w:rsidRPr="00FF4E93">
        <w:rPr>
          <w:rFonts w:eastAsia="Times New Roman"/>
          <w:i/>
          <w:iCs/>
          <w:color w:val="000000"/>
          <w:sz w:val="26"/>
          <w:vertAlign w:val="superscript"/>
        </w:rPr>
        <w:footnoteReference w:id="8"/>
      </w:r>
      <w:r w:rsidRPr="00FF4E93">
        <w:rPr>
          <w:rFonts w:eastAsia="Times New Roman"/>
          <w:i/>
          <w:iCs/>
          <w:color w:val="000000"/>
          <w:sz w:val="26"/>
        </w:rPr>
        <w:t xml:space="preserve"> and believes this technology will completely transform heavy industries”</w:t>
      </w:r>
    </w:p>
    <w:p w14:paraId="6A20212B" w14:textId="77777777" w:rsidR="00151DC1" w:rsidRPr="00FF4E93" w:rsidRDefault="00151DC1" w:rsidP="00151DC1">
      <w:pPr>
        <w:spacing w:after="0"/>
        <w:rPr>
          <w:rFonts w:eastAsia="Times New Roman"/>
          <w:color w:val="000000"/>
          <w:sz w:val="26"/>
        </w:rPr>
      </w:pPr>
      <w:r w:rsidRPr="00FF4E93">
        <w:rPr>
          <w:rFonts w:eastAsia="Times New Roman"/>
          <w:sz w:val="26"/>
        </w:rPr>
        <w:lastRenderedPageBreak/>
        <w:t xml:space="preserve">Another interesting application of the variant is found in the example of </w:t>
      </w:r>
      <w:proofErr w:type="spellStart"/>
      <w:r w:rsidRPr="00FF4E93">
        <w:rPr>
          <w:rFonts w:eastAsia="Times New Roman"/>
          <w:i/>
          <w:sz w:val="26"/>
        </w:rPr>
        <w:t>AiCure</w:t>
      </w:r>
      <w:proofErr w:type="spellEnd"/>
      <w:r w:rsidRPr="00FF4E93">
        <w:rPr>
          <w:rFonts w:eastAsia="Times New Roman"/>
          <w:i/>
          <w:sz w:val="26"/>
        </w:rPr>
        <w:t>.</w:t>
      </w:r>
      <w:r w:rsidRPr="00FF4E93">
        <w:rPr>
          <w:rFonts w:eastAsia="Times New Roman"/>
          <w:b/>
          <w:color w:val="000000"/>
          <w:sz w:val="26"/>
        </w:rPr>
        <w:t xml:space="preserve"> </w:t>
      </w:r>
      <w:r w:rsidRPr="00FF4E93">
        <w:rPr>
          <w:rFonts w:eastAsia="Times New Roman"/>
          <w:color w:val="000000"/>
          <w:sz w:val="26"/>
        </w:rPr>
        <w:t>The company offers an intelligent AI-driven medical assistant, which is leveraging customer data to improve health outcomes of medication in the future. Partnerships are mainly used to validate the reliability of the results derived from its digital solution.</w:t>
      </w:r>
    </w:p>
    <w:p w14:paraId="6DA56036" w14:textId="77777777" w:rsidR="00151DC1" w:rsidRPr="00FF4E93" w:rsidRDefault="00151DC1" w:rsidP="00151DC1">
      <w:pPr>
        <w:spacing w:before="200" w:after="160"/>
        <w:ind w:left="864" w:right="864"/>
        <w:rPr>
          <w:rFonts w:eastAsia="Times New Roman"/>
          <w:i/>
          <w:iCs/>
          <w:color w:val="000000"/>
          <w:sz w:val="26"/>
        </w:rPr>
      </w:pPr>
      <w:proofErr w:type="spellStart"/>
      <w:r w:rsidRPr="00FF4E93">
        <w:rPr>
          <w:rFonts w:eastAsia="Times New Roman"/>
          <w:i/>
          <w:iCs/>
          <w:color w:val="000000"/>
          <w:sz w:val="26"/>
        </w:rPr>
        <w:t>AiCure</w:t>
      </w:r>
      <w:proofErr w:type="spellEnd"/>
      <w:r w:rsidRPr="00FF4E93">
        <w:rPr>
          <w:rFonts w:eastAsia="Times New Roman"/>
          <w:i/>
          <w:iCs/>
          <w:color w:val="000000"/>
          <w:sz w:val="26"/>
        </w:rPr>
        <w:t xml:space="preserve">, LLC develops and offers scalable medication adherence and intelligent medical assistant (IMA) solutions that leverages a visual recognition platform to monitor patient progress on mobile devices. The company’s solution confirms medication ingestion in clinical trials and high-risk populations. […] the AI platform relies on a 1:many model, using software algorithms to automatically identify the patient, the medication, and medication ingestion. Real-time data, including side effects, are transferred to centralized dashboards for analysis. […] </w:t>
      </w:r>
      <w:proofErr w:type="spellStart"/>
      <w:r w:rsidRPr="00FF4E93">
        <w:rPr>
          <w:rFonts w:eastAsia="Times New Roman"/>
          <w:i/>
          <w:iCs/>
          <w:color w:val="000000"/>
          <w:sz w:val="26"/>
        </w:rPr>
        <w:t>AiCure</w:t>
      </w:r>
      <w:proofErr w:type="spellEnd"/>
      <w:r w:rsidRPr="00FF4E93">
        <w:rPr>
          <w:rFonts w:eastAsia="Times New Roman"/>
          <w:i/>
          <w:iCs/>
          <w:color w:val="000000"/>
          <w:sz w:val="26"/>
        </w:rPr>
        <w:t xml:space="preserve"> is currently involved in collaborations to demonstrate treatment equivalence to in-person observation, such as with the Los Angeles County Department of Public Health Tuberculosis Control Program […]. </w:t>
      </w:r>
    </w:p>
    <w:p w14:paraId="7C68DF8A" w14:textId="77777777" w:rsidR="00151DC1" w:rsidRPr="00FF4E93" w:rsidRDefault="00151DC1" w:rsidP="00151DC1">
      <w:pPr>
        <w:pStyle w:val="Heading1"/>
        <w:rPr>
          <w:rFonts w:cs="Times New Roman"/>
          <w:lang w:eastAsia="de-AT"/>
        </w:rPr>
      </w:pPr>
      <w:bookmarkStart w:id="20" w:name="_Toc536101279"/>
      <w:r w:rsidRPr="00FF4E93">
        <w:rPr>
          <w:rFonts w:cs="Times New Roman"/>
          <w:lang w:eastAsia="de-AT"/>
        </w:rPr>
        <w:t>Discussion and Conclusion</w:t>
      </w:r>
      <w:bookmarkEnd w:id="20"/>
    </w:p>
    <w:p w14:paraId="5E54AEF0" w14:textId="77777777" w:rsidR="00151DC1" w:rsidRPr="00FF4E93" w:rsidRDefault="00151DC1" w:rsidP="00151DC1">
      <w:pPr>
        <w:spacing w:after="0"/>
        <w:rPr>
          <w:rFonts w:eastAsia="Times New Roman"/>
          <w:i/>
          <w:sz w:val="26"/>
        </w:rPr>
      </w:pPr>
      <w:r w:rsidRPr="00FF4E93">
        <w:rPr>
          <w:rFonts w:eastAsia="Times New Roman"/>
          <w:i/>
          <w:sz w:val="26"/>
        </w:rPr>
        <w:t>Theoretical Contribution</w:t>
      </w:r>
    </w:p>
    <w:p w14:paraId="71C80620" w14:textId="27001149" w:rsidR="00151DC1" w:rsidRPr="00FF4E93" w:rsidRDefault="00151DC1" w:rsidP="00151DC1">
      <w:pPr>
        <w:spacing w:after="0"/>
        <w:rPr>
          <w:rFonts w:eastAsia="Times New Roman"/>
          <w:sz w:val="26"/>
        </w:rPr>
      </w:pPr>
      <w:r w:rsidRPr="00FF4E93">
        <w:rPr>
          <w:rFonts w:eastAsia="Times New Roman"/>
          <w:sz w:val="26"/>
        </w:rPr>
        <w:t xml:space="preserve">We add to theories of </w:t>
      </w:r>
      <w:r w:rsidRPr="00FF4E93">
        <w:rPr>
          <w:rFonts w:eastAsia="Times New Roman"/>
          <w:i/>
          <w:sz w:val="26"/>
        </w:rPr>
        <w:t>business models</w:t>
      </w:r>
      <w:r w:rsidRPr="00FF4E93">
        <w:rPr>
          <w:rFonts w:eastAsia="Times New Roman"/>
          <w:sz w:val="26"/>
        </w:rPr>
        <w:t xml:space="preserve">. Prior research suggests the importance of business model patterns for business model innovation </w:t>
      </w:r>
      <w:r w:rsidRPr="00FF4E93">
        <w:rPr>
          <w:rFonts w:eastAsia="Times New Roman"/>
          <w:sz w:val="26"/>
        </w:rPr>
        <w:fldChar w:fldCharType="begin" w:fldLock="1"/>
      </w:r>
      <w:r w:rsidRPr="00FF4E93">
        <w:rPr>
          <w:rFonts w:eastAsia="Times New Roman"/>
          <w:sz w:val="26"/>
        </w:rPr>
        <w:instrText>ADDIN CSL_CITATION {"citationItems":[{"id":"ITEM-1","itemData":{"abstract":"The paper aims to generate systematically business model innovations in the field of electric mobility. It introduces a new framework, in which a business model denotes a value-focused concept with five value dimensions: value proposition, value communication, value creation, value delivery and value capture. The framework enables the classification of business model patterns, identified in the literature, according to five categories. The combination of patterns from different dimensions can lead to the systematic generation of business model innovations. But the number of business models that can result from pattern combinations can be overwhelming. Subsequently, the paper only evaluates the extent to which business model patterns that are not necessarily observed in the automotive sector can be useful for the field of electric mobility, and how they can be adapted to fit into the new context. We find that the transferability strongly depends on the actor's role in the system, if it is a manufacturer, supplier or service provider. More importantly, our analysis shows that some models such as product-to-service (e.g., car sharing service), already implemented in the automotive industry, will continue to be successful in the future because of their potential of increasing customer acceptance and technology diffusion. Many other business models -- so far used in other sectors, but not in the automotive industry -- may integrate the field of electric mobility. Razor and blades, own the undesirable concept, and leverage new influencers are all promising business models, if they can be fitted adequately to the new context induced by the new technology. [ABSTRACT FROM AUTHOR]","author":[{"dropping-particle":"","family":"Abdelkafi","given":"Nizar","non-dropping-particle":"","parse-names":false,"suffix":""},{"dropping-particle":"","family":"Makhotin","given":"Sergiy","non-dropping-particle":"","parse-names":false,"suffix":""},{"dropping-particle":"","family":"Posselt","given":"Thorsten","non-dropping-particle":"","parse-names":false,"suffix":""}],"container-title":"International Journal of Innovation Management","id":"ITEM-1","issue":"1","issued":{"date-parts":[["2013"]]},"page":"1-41","title":"Business Model Innovations for Electric Mobility — What Can Be Learned From Existing Business Model Patterns?","type":"article-journal","volume":"17"},"uris":["http://www.mendeley.com/documents/?uuid=3e3980f5-d7ed-43ee-ae22-0572b30233f4"]}],"mendeley":{"formattedCitation":"(Abdelkafi et al., 2013)","plainTextFormattedCitation":"(Abdelkafi et al., 2013)","previouslyFormattedCitation":"(Abdelkafi et al., 2013)"},"properties":{"noteIndex":0},"schema":"https://github.com/citation-style-language/schema/raw/master/csl-citation.json"}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(Abdelkafi et al., 2013)</w:t>
      </w:r>
      <w:r w:rsidRPr="00FF4E93">
        <w:rPr>
          <w:rFonts w:eastAsia="Times New Roman"/>
          <w:sz w:val="26"/>
        </w:rPr>
        <w:fldChar w:fldCharType="end"/>
      </w:r>
      <w:r w:rsidRPr="00FF4E93">
        <w:rPr>
          <w:rFonts w:eastAsia="Times New Roman"/>
          <w:sz w:val="26"/>
        </w:rPr>
        <w:t xml:space="preserve"> and the configurational nature of business models </w:t>
      </w:r>
      <w:r w:rsidRPr="00FF4E93">
        <w:rPr>
          <w:rFonts w:eastAsia="Times New Roman"/>
          <w:sz w:val="26"/>
        </w:rPr>
        <w:fldChar w:fldCharType="begin" w:fldLock="1"/>
      </w:r>
      <w:r w:rsidR="00C95F78" w:rsidRPr="00FF4E93">
        <w:rPr>
          <w:rFonts w:eastAsia="Times New Roman"/>
          <w:sz w:val="26"/>
        </w:rPr>
        <w:instrText>ADDIN CSL_CITATION {"citationItems":[{"id":"ITEM-1","itemData":{"author":[{"dropping-particle":"","family":"Afuah","given":"Allan","non-dropping-particle":"","parse-names":false,"suffix":""},{"dropping-particle":"","family":"Tucci","given":"Christopher L.","non-dropping-particle":"","parse-names":false,"suffix":""}],"edition":"2nd","id":"ITEM-1","issued":{"date-parts":[["2003"]]},"number-of-pages":"477","publisher":"McGraw-Hill","publisher-place":"New York","title":"Internet Business Models &amp; Strategies: Text and Cases","type":"book"},"uris":["http://www.mendeley.com/documents/?uuid=3113b7d6-493f-42d3-b1d5-3892aeef6617"]},{"id":"ITEM-2","itemData":{"abstract":"Business models, dynamic capabilities, and strategy are interdependent. The strength of a firm's dynamic capabilities help shape its proficiency at business model design. Through its effect on organization design, a business model influences the firm's dynamic capabilities and places bounds on the feasibility of particular strategies. While these relationships are understood at a theoretical level, there is a need for future empirical work to flesh out the details. In particular, studies that provide a better understanding of business model innovation, implementation, and change will also shed light on important aspects of dynamic capabilities.","author":[{"dropping-particle":"","family":"Teece","given":"David J.","non-dropping-particle":"","parse-names":false,"suffix":""}],"container-title":"Long Range Planning","id":"ITEM-2","issue":"1","issued":{"date-parts":[["2018"]]},"page":"40-49","publisher":"Elsevier Ltd","title":"Business models and dynamic capabilities","type":"article-journal","volume":"51"},"uris":["http://www.mendeley.com/documents/?uuid=7cee8555-e8a5-4b09-a8e6-57b18ce52072"]}],"mendeley":{"formattedCitation":"(Afuah &amp; Tucci, 2003; Teece, 2018)","plainTextFormattedCitation":"(Afuah &amp; Tucci, 2003; Teece, 2018)","previouslyFormattedCitation":"(Allan Afuah &amp; Tucci, 2003; Teece, 2018)"},"properties":{"noteIndex":0},"schema":"https://github.com/citation-style-language/schema/raw/master/csl-citation.json"}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(Afuah &amp; Tucci, 2003; Teece, 2018)</w:t>
      </w:r>
      <w:r w:rsidRPr="00FF4E93">
        <w:rPr>
          <w:rFonts w:eastAsia="Times New Roman"/>
          <w:sz w:val="26"/>
        </w:rPr>
        <w:fldChar w:fldCharType="end"/>
      </w:r>
      <w:r w:rsidRPr="00FF4E93">
        <w:rPr>
          <w:rFonts w:eastAsia="Times New Roman"/>
          <w:sz w:val="26"/>
        </w:rPr>
        <w:t>. However, empirical research on both constructs have been scarce. Addressing this gap, we explored how technology-centred ventures rely on combinations of well-documented business model patterns, which facilitate achieving fitness in their business models driving high financial performance.</w:t>
      </w:r>
    </w:p>
    <w:p w14:paraId="219FEAC5" w14:textId="3116DA53" w:rsidR="00151DC1" w:rsidRPr="00FF4E93" w:rsidRDefault="00151DC1" w:rsidP="00151DC1">
      <w:pPr>
        <w:spacing w:after="0"/>
        <w:rPr>
          <w:rFonts w:eastAsia="Times New Roman"/>
          <w:sz w:val="26"/>
        </w:rPr>
      </w:pPr>
      <w:r w:rsidRPr="00FF4E93">
        <w:rPr>
          <w:rFonts w:eastAsia="Times New Roman"/>
          <w:sz w:val="26"/>
        </w:rPr>
        <w:t xml:space="preserve">Extant </w:t>
      </w:r>
      <w:r w:rsidRPr="00FF4E93">
        <w:rPr>
          <w:rFonts w:eastAsia="Times New Roman"/>
          <w:i/>
          <w:sz w:val="26"/>
        </w:rPr>
        <w:t>business model theory</w:t>
      </w:r>
      <w:r w:rsidRPr="00FF4E93">
        <w:rPr>
          <w:rFonts w:eastAsia="Times New Roman"/>
          <w:sz w:val="26"/>
        </w:rPr>
        <w:t xml:space="preserve"> has generated formalizations of successfully proven combinations of business model elements into consistent patterns. Our main contribution relates to the identification of context-specific, high-performing business model pattern configurations, that is recurring, consistent combinations of business model patterns. We advance business model theory by providing insights into the context of generic business model patterns. Previous research has emphasized the importance to consolidate a certain context, problem, and solution, in the formalization of patterns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{"citationItems":[{"id":"ITEM-1","itemData":{"author":[{"dropping-particle":"","family":"Alexander","given":"Christopher","non-dropping-particle":"","parse-names":false,"suffix":""}],"id":"ITEM-1","issued":{"date-parts":[["1979"]]},"number-of-pages":"552","publisher":"Oxford University Press","publisher-place":"Oxford, UK","title":"A Timeless Way of Building","type":"book"},"uris":["http://www.mendeley.com/documents/?uuid=b3aa041f-f109-42ee-a3df-5277728aacdf"]},{"id":"ITEM-2","itemData":{"author":[{"dropping-particle":"","family":"Cloutier","given":"Robert J.","non-dropping-particle":"","parse-names":false,"suffix":""},{"dropping-particle":"","family":"Verma","given":"Dinesh","non-dropping-particle":"","parse-names":false,"suffix":""}],"container-title":"Systems Engineering","id":"ITEM-2","issue":"2","issued":{"date-parts":[["2007"]]},"page":"138-154","title":"Applying the Concept of Patterns to Systems Architecture","type":"article-journal","volume":"10"},"uris":["http://www.mendeley.com/documents/?uuid=e77a2e5b-ca58-41b1-adee-e80f14bfee5c"]}],"mendeley":{"formattedCitation":"(Alexander, 1979; Cloutier &amp; Verma, 2007)","plainTextFormattedCitation":"(Alexander, 1979; Cloutier &amp; Verma, 2007)","previouslyFormattedCitation":"(Alexander, 1979; Cloutier &amp; Verma, 2007)"},"properties":{"noteIndex":0},"schema":"https://github.com/citation-style-language/schema/raw/master/csl-citation.json"}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(Alexander, 1979; Cloutier &amp; Verma, 2007)</w:t>
      </w:r>
      <w:r w:rsidRPr="00FF4E93">
        <w:rPr>
          <w:rFonts w:eastAsia="Times New Roman"/>
          <w:sz w:val="26"/>
        </w:rPr>
        <w:fldChar w:fldCharType="end"/>
      </w:r>
      <w:r w:rsidRPr="00FF4E93">
        <w:rPr>
          <w:rFonts w:eastAsia="Times New Roman"/>
          <w:sz w:val="26"/>
        </w:rPr>
        <w:t xml:space="preserve">. By definition, </w:t>
      </w:r>
      <w:r w:rsidRPr="00FF4E93">
        <w:rPr>
          <w:rFonts w:eastAsia="Times New Roman"/>
          <w:i/>
          <w:sz w:val="26"/>
        </w:rPr>
        <w:t>generic</w:t>
      </w:r>
      <w:r w:rsidRPr="00FF4E93">
        <w:rPr>
          <w:rFonts w:eastAsia="Times New Roman"/>
          <w:sz w:val="26"/>
        </w:rPr>
        <w:t xml:space="preserve"> business model patterns can be observed across a variety of contexts. Yet, one can assume that </w:t>
      </w:r>
      <w:r w:rsidRPr="00FF4E93">
        <w:rPr>
          <w:rFonts w:eastAsia="Times New Roman"/>
          <w:sz w:val="26"/>
        </w:rPr>
        <w:lastRenderedPageBreak/>
        <w:t xml:space="preserve">their usefulness is context-dependent. Correspondingly, </w:t>
      </w:r>
      <w:proofErr w:type="spellStart"/>
      <w:r w:rsidRPr="00FF4E93">
        <w:rPr>
          <w:rFonts w:eastAsia="Times New Roman"/>
          <w:sz w:val="26"/>
        </w:rPr>
        <w:t>Remane</w:t>
      </w:r>
      <w:proofErr w:type="spellEnd"/>
      <w:r w:rsidRPr="00FF4E93">
        <w:rPr>
          <w:rFonts w:eastAsia="Times New Roman"/>
          <w:sz w:val="26"/>
        </w:rPr>
        <w:t xml:space="preserve"> and colleagues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Remane","given":"Gerrit","non-dropping-particle":"","parse-names":false,"suffix":""},{"dropping-particle":"","family":"Hanelt","given":"Andre","non-dropping-particle":"","parse-names":false,"suffix":""},{"dropping-particle":"","family":"Tesch","given":"Jan F.","non-dropping-particle":"","parse-names":false,"suffix":""},{"dropping-particle":"","family":"Kolbe","given":"Lutz M.","non-dropping-particle":"","parse-names":false,"suffix":""}],"container-title":"International Journal of Innovation Management","id":"ITEM-1","issue":"1","issued":{"date-parts":[["2017"]]},"title":"The Business model pattern database – a tool for systematic business model innovation","type":"article-journal","volume":"21"},"uris":["http://www.mendeley.com/documents/?uuid=a47242df-2e1c-4369-affd-23004022edd8"]}],"mendeley":{"formattedCitation":"(Remane et al., 2017)","manualFormatting":"(2017)","plainTextFormattedCitation":"(Remane et al., 2017)","previouslyFormattedCitation":"(Remane et al., 2017)"},"properties":{"noteIndex":0},"schema":"https://github.com/citation-style-language/schema/raw/master/csl-citation.json"}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(2017)</w:t>
      </w:r>
      <w:r w:rsidRPr="00FF4E93">
        <w:rPr>
          <w:rFonts w:eastAsia="Times New Roman"/>
          <w:sz w:val="26"/>
        </w:rPr>
        <w:fldChar w:fldCharType="end"/>
      </w:r>
      <w:r w:rsidRPr="00FF4E93">
        <w:rPr>
          <w:rFonts w:eastAsia="Times New Roman"/>
          <w:sz w:val="26"/>
        </w:rPr>
        <w:t xml:space="preserve"> have contextualized a set of 200 business model patterns based on purpose and firm situation. We add to this analysis by identifying the technology-context, in which firms apply the generic</w:t>
      </w:r>
      <w:r w:rsidRPr="00FF4E93">
        <w:rPr>
          <w:rFonts w:eastAsia="Times New Roman"/>
          <w:i/>
          <w:sz w:val="26"/>
        </w:rPr>
        <w:t xml:space="preserve"> </w:t>
      </w:r>
      <w:r w:rsidRPr="00FF4E93">
        <w:rPr>
          <w:rFonts w:eastAsia="Times New Roman"/>
          <w:sz w:val="26"/>
        </w:rPr>
        <w:t xml:space="preserve">patterns identified by Gassmann and colleagues </w:t>
      </w:r>
      <w:r w:rsidRPr="00FF4E93">
        <w:rPr>
          <w:rFonts w:eastAsia="Times New Roman"/>
          <w:sz w:val="26"/>
        </w:rPr>
        <w:fldChar w:fldCharType="begin" w:fldLock="1"/>
      </w:r>
      <w:r w:rsidRPr="00FF4E93">
        <w:rPr>
          <w:rFonts w:eastAsia="Times New Roman"/>
          <w:sz w:val="26"/>
        </w:rPr>
        <w:instrText>ADDIN CSL_CITATION {"citationItems":[{"id":"ITEM-1","itemData":{"author":[{"dropping-particle":"","family":"Gassmann","given":"Oliver","non-dropping-particle":"","parse-names":false,"suffix":""},{"dropping-particle":"","family":"Frankenberger","given":"Karolin","non-dropping-particle":"","parse-names":false,"suffix":""},{"dropping-particle":"","family":"Csik","given":"Michaela","non-dropping-particle":"","parse-names":false,"suffix":""}],"edition":"2nd","id":"ITEM-1","issued":{"date-parts":[["2017"]]},"number-of-pages":"416","publisher":"Carl Hanser Verlag","publisher-place":"Munich, Germany","title":"The Business Model Navigator","type":"book"},"uris":["http://www.mendeley.com/documents/?uuid=684e1517-e17a-4ba8-a565-5ce0cc4aa250"]}],"mendeley":{"formattedCitation":"(Gassmann et al., 2017)","manualFormatting":"(2017)","plainTextFormattedCitation":"(Gassmann et al., 2017)","previouslyFormattedCitation":"(Gassmann et al., 2017)"},"properties":{"noteIndex":0},"schema":"https://github.com/citation-style-language/schema/raw/master/csl-citation.json"}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(2017)</w:t>
      </w:r>
      <w:r w:rsidRPr="00FF4E93">
        <w:rPr>
          <w:rFonts w:eastAsia="Times New Roman"/>
          <w:sz w:val="26"/>
        </w:rPr>
        <w:fldChar w:fldCharType="end"/>
      </w:r>
      <w:r w:rsidRPr="00FF4E93">
        <w:rPr>
          <w:rFonts w:eastAsia="Times New Roman"/>
          <w:sz w:val="26"/>
        </w:rPr>
        <w:t xml:space="preserve">. </w:t>
      </w:r>
      <w:r w:rsidRPr="00FF4E93">
        <w:rPr>
          <w:rFonts w:eastAsia="Times New Roman"/>
          <w:i/>
          <w:sz w:val="26"/>
        </w:rPr>
        <w:fldChar w:fldCharType="begin"/>
      </w:r>
      <w:r w:rsidRPr="00FF4E93">
        <w:rPr>
          <w:rFonts w:eastAsia="Times New Roman"/>
          <w:i/>
          <w:sz w:val="26"/>
        </w:rPr>
        <w:instrText xml:space="preserve"> REF _Ref532287113 \h  \* MERGEFORMAT </w:instrText>
      </w:r>
      <w:r w:rsidRPr="00FF4E93">
        <w:rPr>
          <w:rFonts w:eastAsia="Times New Roman"/>
          <w:i/>
          <w:sz w:val="26"/>
        </w:rPr>
      </w:r>
      <w:r w:rsidRPr="00FF4E93">
        <w:rPr>
          <w:rFonts w:eastAsia="Times New Roman"/>
          <w:i/>
          <w:sz w:val="26"/>
        </w:rPr>
        <w:fldChar w:fldCharType="separate"/>
      </w:r>
      <w:r w:rsidR="00D231CD" w:rsidRPr="00FF4E93">
        <w:rPr>
          <w:rFonts w:eastAsia="Times New Roman"/>
          <w:i/>
          <w:sz w:val="26"/>
        </w:rPr>
        <w:t>Table 5</w:t>
      </w:r>
      <w:r w:rsidR="00D231CD" w:rsidRPr="00FF4E93">
        <w:rPr>
          <w:rFonts w:eastAsia="Times New Roman"/>
          <w:i/>
          <w:sz w:val="26"/>
        </w:rPr>
        <w:noBreakHyphen/>
        <w:t>1</w:t>
      </w:r>
      <w:r w:rsidRPr="00FF4E93">
        <w:rPr>
          <w:rFonts w:eastAsia="Times New Roman"/>
          <w:i/>
          <w:sz w:val="26"/>
        </w:rPr>
        <w:fldChar w:fldCharType="end"/>
      </w:r>
      <w:r w:rsidRPr="00FF4E93">
        <w:rPr>
          <w:rFonts w:eastAsia="Times New Roman"/>
          <w:i/>
          <w:sz w:val="26"/>
        </w:rPr>
        <w:t xml:space="preserve"> </w:t>
      </w:r>
      <w:r w:rsidRPr="00FF4E93">
        <w:rPr>
          <w:rFonts w:eastAsia="Times New Roman"/>
          <w:sz w:val="26"/>
        </w:rPr>
        <w:t>provides an overview of the relative frequency of individual patterns contextualized by the sampled technology domains.</w:t>
      </w:r>
    </w:p>
    <w:p w14:paraId="0EFE45D6" w14:textId="77777777" w:rsidR="00151DC1" w:rsidRPr="00FF4E93" w:rsidRDefault="00151DC1" w:rsidP="00151DC1">
      <w:pPr>
        <w:spacing w:before="0" w:after="160" w:line="259" w:lineRule="auto"/>
        <w:jc w:val="left"/>
        <w:rPr>
          <w:rFonts w:eastAsia="Times New Roman"/>
          <w:sz w:val="26"/>
        </w:rPr>
      </w:pPr>
      <w:r w:rsidRPr="00FF4E93">
        <w:rPr>
          <w:rFonts w:eastAsia="Times New Roman"/>
          <w:sz w:val="26"/>
        </w:rPr>
        <w:br w:type="page"/>
      </w:r>
    </w:p>
    <w:p w14:paraId="4BC9D40B" w14:textId="72F843EC" w:rsidR="00151DC1" w:rsidRPr="00FF4E93" w:rsidRDefault="00151DC1" w:rsidP="00151DC1">
      <w:pPr>
        <w:spacing w:before="240" w:after="240"/>
        <w:ind w:right="521"/>
        <w:rPr>
          <w:rFonts w:eastAsia="Calibri"/>
          <w:iCs/>
          <w:color w:val="000000"/>
          <w:szCs w:val="18"/>
          <w:lang w:eastAsia="de-DE"/>
        </w:rPr>
        <w:sectPr w:rsidR="00151DC1" w:rsidRPr="00FF4E93" w:rsidSect="00C54569">
          <w:headerReference w:type="default" r:id="rId17"/>
          <w:pgSz w:w="11906" w:h="16838"/>
          <w:pgMar w:top="1417" w:right="1417" w:bottom="1134" w:left="1417" w:header="708" w:footer="708" w:gutter="0"/>
          <w:cols w:space="708"/>
          <w:docGrid w:linePitch="360"/>
        </w:sectPr>
      </w:pPr>
      <w:bookmarkStart w:id="21" w:name="_Ref532287113"/>
      <w:bookmarkStart w:id="22" w:name="_Toc536101334"/>
      <w:r w:rsidRPr="00FF4E93">
        <w:rPr>
          <w:rFonts w:eastAsia="Calibri"/>
          <w:b/>
          <w:iCs/>
          <w:color w:val="000000"/>
          <w:szCs w:val="18"/>
          <w:lang w:eastAsia="de-DE"/>
        </w:rPr>
        <w:lastRenderedPageBreak/>
        <w:t xml:space="preserve">Table </w:t>
      </w:r>
      <w:r w:rsidRPr="00FF4E93">
        <w:rPr>
          <w:rFonts w:eastAsia="Calibri"/>
          <w:b/>
          <w:iCs/>
          <w:color w:val="000000"/>
          <w:szCs w:val="18"/>
          <w:lang w:eastAsia="de-DE"/>
        </w:rPr>
        <w:fldChar w:fldCharType="begin"/>
      </w:r>
      <w:r w:rsidRPr="00FF4E93">
        <w:rPr>
          <w:rFonts w:eastAsia="Calibri"/>
          <w:b/>
          <w:iCs/>
          <w:color w:val="000000"/>
          <w:szCs w:val="18"/>
          <w:lang w:eastAsia="de-DE"/>
        </w:rPr>
        <w:instrText xml:space="preserve"> STYLEREF 1 \s </w:instrText>
      </w:r>
      <w:r w:rsidRPr="00FF4E93">
        <w:rPr>
          <w:rFonts w:eastAsia="Calibri"/>
          <w:b/>
          <w:iCs/>
          <w:color w:val="000000"/>
          <w:szCs w:val="18"/>
          <w:lang w:eastAsia="de-DE"/>
        </w:rPr>
        <w:fldChar w:fldCharType="separate"/>
      </w:r>
      <w:r w:rsidR="00D231CD" w:rsidRPr="00FF4E93">
        <w:rPr>
          <w:rFonts w:eastAsia="Calibri"/>
          <w:b/>
          <w:iCs/>
          <w:noProof/>
          <w:color w:val="000000"/>
          <w:szCs w:val="18"/>
          <w:lang w:eastAsia="de-DE"/>
        </w:rPr>
        <w:t>5</w:t>
      </w:r>
      <w:r w:rsidRPr="00FF4E93">
        <w:rPr>
          <w:rFonts w:eastAsia="Calibri"/>
          <w:b/>
          <w:iCs/>
          <w:color w:val="000000"/>
          <w:szCs w:val="18"/>
          <w:lang w:eastAsia="de-DE"/>
        </w:rPr>
        <w:fldChar w:fldCharType="end"/>
      </w:r>
      <w:r w:rsidRPr="00FF4E93">
        <w:rPr>
          <w:rFonts w:eastAsia="Calibri"/>
          <w:b/>
          <w:iCs/>
          <w:color w:val="000000"/>
          <w:szCs w:val="18"/>
          <w:lang w:eastAsia="de-DE"/>
        </w:rPr>
        <w:noBreakHyphen/>
      </w:r>
      <w:r w:rsidRPr="00FF4E93">
        <w:rPr>
          <w:rFonts w:eastAsia="Calibri"/>
          <w:b/>
          <w:iCs/>
          <w:color w:val="000000"/>
          <w:szCs w:val="18"/>
          <w:lang w:eastAsia="de-DE"/>
        </w:rPr>
        <w:fldChar w:fldCharType="begin"/>
      </w:r>
      <w:r w:rsidRPr="00FF4E93">
        <w:rPr>
          <w:rFonts w:eastAsia="Calibri"/>
          <w:b/>
          <w:iCs/>
          <w:color w:val="000000"/>
          <w:szCs w:val="18"/>
          <w:lang w:eastAsia="de-DE"/>
        </w:rPr>
        <w:instrText xml:space="preserve"> SEQ Table \* ARABIC \s 1 </w:instrText>
      </w:r>
      <w:r w:rsidRPr="00FF4E93">
        <w:rPr>
          <w:rFonts w:eastAsia="Calibri"/>
          <w:b/>
          <w:iCs/>
          <w:color w:val="000000"/>
          <w:szCs w:val="18"/>
          <w:lang w:eastAsia="de-DE"/>
        </w:rPr>
        <w:fldChar w:fldCharType="separate"/>
      </w:r>
      <w:r w:rsidR="00D231CD" w:rsidRPr="00FF4E93">
        <w:rPr>
          <w:rFonts w:eastAsia="Calibri"/>
          <w:b/>
          <w:iCs/>
          <w:noProof/>
          <w:color w:val="000000"/>
          <w:szCs w:val="18"/>
          <w:lang w:eastAsia="de-DE"/>
        </w:rPr>
        <w:t>1</w:t>
      </w:r>
      <w:r w:rsidRPr="00FF4E93">
        <w:rPr>
          <w:rFonts w:eastAsia="Calibri"/>
          <w:b/>
          <w:iCs/>
          <w:color w:val="000000"/>
          <w:szCs w:val="18"/>
          <w:lang w:eastAsia="de-DE"/>
        </w:rPr>
        <w:fldChar w:fldCharType="end"/>
      </w:r>
      <w:bookmarkEnd w:id="21"/>
      <w:r w:rsidRPr="00FF4E93">
        <w:rPr>
          <w:rFonts w:eastAsia="Calibri"/>
          <w:iCs/>
          <w:color w:val="000000"/>
          <w:szCs w:val="18"/>
          <w:lang w:eastAsia="de-DE"/>
        </w:rPr>
        <w:t>: Relative frequency of individual patterns</w:t>
      </w:r>
      <w:bookmarkEnd w:id="22"/>
    </w:p>
    <w:p w14:paraId="18D897C5" w14:textId="77777777" w:rsidR="00151DC1" w:rsidRPr="00FF4E93" w:rsidRDefault="00151DC1" w:rsidP="00151DC1">
      <w:pPr>
        <w:spacing w:before="0" w:after="160" w:line="259" w:lineRule="auto"/>
        <w:jc w:val="left"/>
        <w:rPr>
          <w:rFonts w:eastAsia="Times New Roman"/>
          <w:sz w:val="20"/>
          <w:szCs w:val="20"/>
        </w:rPr>
        <w:sectPr w:rsidR="00151DC1" w:rsidRPr="00FF4E93" w:rsidSect="00C54569">
          <w:type w:val="continuous"/>
          <w:pgSz w:w="11906" w:h="16838"/>
          <w:pgMar w:top="1417" w:right="1417" w:bottom="1134" w:left="1417" w:header="708" w:footer="708" w:gutter="0"/>
          <w:cols w:space="708"/>
          <w:titlePg/>
          <w:docGrid w:linePitch="360"/>
        </w:sectPr>
      </w:pPr>
    </w:p>
    <w:tbl>
      <w:tblPr>
        <w:tblW w:w="4539" w:type="dxa"/>
        <w:tblLayout w:type="fixed"/>
        <w:tblCellMar>
          <w:left w:w="28" w:type="dxa"/>
          <w:bottom w:w="28" w:type="dxa"/>
          <w:right w:w="28" w:type="dxa"/>
        </w:tblCellMar>
        <w:tblLook w:val="04A0" w:firstRow="1" w:lastRow="0" w:firstColumn="1" w:lastColumn="0" w:noHBand="0" w:noVBand="1"/>
      </w:tblPr>
      <w:tblGrid>
        <w:gridCol w:w="1553"/>
        <w:gridCol w:w="850"/>
        <w:gridCol w:w="78"/>
        <w:gridCol w:w="631"/>
        <w:gridCol w:w="709"/>
        <w:gridCol w:w="718"/>
      </w:tblGrid>
      <w:tr w:rsidR="00151DC1" w:rsidRPr="00FF4E93" w14:paraId="63ABB581" w14:textId="77777777" w:rsidTr="00C54569">
        <w:trPr>
          <w:trHeight w:val="380"/>
        </w:trPr>
        <w:tc>
          <w:tcPr>
            <w:tcW w:w="1553" w:type="dxa"/>
            <w:tcBorders>
              <w:top w:val="single" w:sz="4" w:space="0" w:color="auto"/>
              <w:left w:val="nil"/>
              <w:bottom w:val="single" w:sz="4" w:space="0" w:color="auto"/>
              <w:right w:val="nil"/>
            </w:tcBorders>
            <w:shd w:val="clear" w:color="auto" w:fill="auto"/>
            <w:noWrap/>
            <w:vAlign w:val="center"/>
            <w:hideMark/>
          </w:tcPr>
          <w:p w14:paraId="48431803" w14:textId="77777777" w:rsidR="00151DC1" w:rsidRPr="00FF4E93" w:rsidRDefault="00151DC1" w:rsidP="00151DC1">
            <w:pPr>
              <w:spacing w:before="0" w:after="160" w:line="259" w:lineRule="auto"/>
              <w:jc w:val="left"/>
              <w:rPr>
                <w:rFonts w:eastAsia="Times New Roman"/>
                <w:sz w:val="20"/>
                <w:szCs w:val="20"/>
              </w:rPr>
            </w:pPr>
          </w:p>
        </w:tc>
        <w:tc>
          <w:tcPr>
            <w:tcW w:w="850" w:type="dxa"/>
            <w:tcBorders>
              <w:top w:val="single" w:sz="4" w:space="0" w:color="auto"/>
              <w:left w:val="nil"/>
              <w:bottom w:val="single" w:sz="4" w:space="0" w:color="auto"/>
              <w:right w:val="nil"/>
            </w:tcBorders>
            <w:shd w:val="clear" w:color="auto" w:fill="auto"/>
            <w:noWrap/>
            <w:vAlign w:val="center"/>
            <w:hideMark/>
          </w:tcPr>
          <w:p w14:paraId="50FD14D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TOTAL</w:t>
            </w:r>
          </w:p>
        </w:tc>
        <w:tc>
          <w:tcPr>
            <w:tcW w:w="78" w:type="dxa"/>
            <w:tcBorders>
              <w:top w:val="single" w:sz="4" w:space="0" w:color="auto"/>
              <w:left w:val="nil"/>
              <w:bottom w:val="single" w:sz="4" w:space="0" w:color="auto"/>
              <w:right w:val="nil"/>
            </w:tcBorders>
            <w:shd w:val="clear" w:color="auto" w:fill="auto"/>
            <w:noWrap/>
            <w:vAlign w:val="center"/>
            <w:hideMark/>
          </w:tcPr>
          <w:p w14:paraId="181454B8"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single" w:sz="4" w:space="0" w:color="auto"/>
              <w:left w:val="nil"/>
              <w:bottom w:val="single" w:sz="4" w:space="0" w:color="auto"/>
              <w:right w:val="nil"/>
            </w:tcBorders>
            <w:shd w:val="clear" w:color="auto" w:fill="auto"/>
            <w:noWrap/>
            <w:vAlign w:val="center"/>
            <w:hideMark/>
          </w:tcPr>
          <w:p w14:paraId="5F02D28F"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AI/ML</w:t>
            </w:r>
          </w:p>
        </w:tc>
        <w:tc>
          <w:tcPr>
            <w:tcW w:w="709" w:type="dxa"/>
            <w:tcBorders>
              <w:top w:val="single" w:sz="4" w:space="0" w:color="auto"/>
              <w:left w:val="nil"/>
              <w:bottom w:val="single" w:sz="4" w:space="0" w:color="auto"/>
              <w:right w:val="nil"/>
            </w:tcBorders>
            <w:shd w:val="clear" w:color="auto" w:fill="auto"/>
            <w:noWrap/>
            <w:vAlign w:val="center"/>
            <w:hideMark/>
          </w:tcPr>
          <w:p w14:paraId="0A54AF3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AR/VR</w:t>
            </w:r>
          </w:p>
        </w:tc>
        <w:tc>
          <w:tcPr>
            <w:tcW w:w="718" w:type="dxa"/>
            <w:tcBorders>
              <w:top w:val="single" w:sz="4" w:space="0" w:color="auto"/>
              <w:left w:val="nil"/>
              <w:bottom w:val="single" w:sz="4" w:space="0" w:color="auto"/>
              <w:right w:val="nil"/>
            </w:tcBorders>
            <w:shd w:val="clear" w:color="auto" w:fill="auto"/>
            <w:noWrap/>
            <w:vAlign w:val="center"/>
            <w:hideMark/>
          </w:tcPr>
          <w:p w14:paraId="6DD3713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DRON</w:t>
            </w:r>
          </w:p>
        </w:tc>
      </w:tr>
      <w:tr w:rsidR="00151DC1" w:rsidRPr="00FF4E93" w14:paraId="07BDDB75" w14:textId="77777777" w:rsidTr="00C54569">
        <w:trPr>
          <w:trHeight w:val="360"/>
        </w:trPr>
        <w:tc>
          <w:tcPr>
            <w:tcW w:w="1553" w:type="dxa"/>
            <w:tcBorders>
              <w:top w:val="single" w:sz="4" w:space="0" w:color="auto"/>
              <w:left w:val="nil"/>
              <w:bottom w:val="nil"/>
              <w:right w:val="nil"/>
            </w:tcBorders>
            <w:shd w:val="clear" w:color="auto" w:fill="auto"/>
            <w:noWrap/>
            <w:vAlign w:val="center"/>
            <w:hideMark/>
          </w:tcPr>
          <w:p w14:paraId="4D5F0462"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Layer Player</w:t>
            </w:r>
          </w:p>
        </w:tc>
        <w:tc>
          <w:tcPr>
            <w:tcW w:w="850" w:type="dxa"/>
            <w:tcBorders>
              <w:top w:val="single" w:sz="4" w:space="0" w:color="auto"/>
              <w:left w:val="nil"/>
              <w:bottom w:val="nil"/>
              <w:right w:val="nil"/>
            </w:tcBorders>
            <w:shd w:val="clear" w:color="000000" w:fill="6AC07C"/>
            <w:noWrap/>
            <w:vAlign w:val="center"/>
            <w:hideMark/>
          </w:tcPr>
          <w:p w14:paraId="5137FA5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63.2%</w:t>
            </w:r>
          </w:p>
        </w:tc>
        <w:tc>
          <w:tcPr>
            <w:tcW w:w="78" w:type="dxa"/>
            <w:tcBorders>
              <w:top w:val="single" w:sz="4" w:space="0" w:color="auto"/>
              <w:left w:val="nil"/>
              <w:bottom w:val="nil"/>
              <w:right w:val="nil"/>
            </w:tcBorders>
            <w:shd w:val="clear" w:color="auto" w:fill="auto"/>
            <w:noWrap/>
            <w:vAlign w:val="center"/>
            <w:hideMark/>
          </w:tcPr>
          <w:p w14:paraId="6B8CCF06"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single" w:sz="4" w:space="0" w:color="auto"/>
              <w:left w:val="nil"/>
              <w:bottom w:val="nil"/>
              <w:right w:val="nil"/>
            </w:tcBorders>
            <w:shd w:val="clear" w:color="000000" w:fill="67BF7C"/>
            <w:noWrap/>
            <w:vAlign w:val="center"/>
            <w:hideMark/>
          </w:tcPr>
          <w:p w14:paraId="13EF0215"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64.3%</w:t>
            </w:r>
          </w:p>
        </w:tc>
        <w:tc>
          <w:tcPr>
            <w:tcW w:w="709" w:type="dxa"/>
            <w:tcBorders>
              <w:top w:val="single" w:sz="4" w:space="0" w:color="auto"/>
              <w:left w:val="nil"/>
              <w:bottom w:val="nil"/>
              <w:right w:val="nil"/>
            </w:tcBorders>
            <w:shd w:val="clear" w:color="000000" w:fill="74C37C"/>
            <w:noWrap/>
            <w:vAlign w:val="center"/>
            <w:hideMark/>
          </w:tcPr>
          <w:p w14:paraId="532F9E7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59.0%</w:t>
            </w:r>
          </w:p>
        </w:tc>
        <w:tc>
          <w:tcPr>
            <w:tcW w:w="718" w:type="dxa"/>
            <w:tcBorders>
              <w:top w:val="single" w:sz="4" w:space="0" w:color="auto"/>
              <w:left w:val="nil"/>
              <w:bottom w:val="nil"/>
              <w:right w:val="nil"/>
            </w:tcBorders>
            <w:shd w:val="clear" w:color="000000" w:fill="63BE7B"/>
            <w:noWrap/>
            <w:vAlign w:val="center"/>
            <w:hideMark/>
          </w:tcPr>
          <w:p w14:paraId="64E030D2"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65.7%</w:t>
            </w:r>
          </w:p>
        </w:tc>
      </w:tr>
      <w:tr w:rsidR="00151DC1" w:rsidRPr="00FF4E93" w14:paraId="7F9B991E" w14:textId="77777777" w:rsidTr="00C54569">
        <w:trPr>
          <w:trHeight w:val="360"/>
        </w:trPr>
        <w:tc>
          <w:tcPr>
            <w:tcW w:w="1553" w:type="dxa"/>
            <w:tcBorders>
              <w:top w:val="nil"/>
              <w:left w:val="nil"/>
              <w:bottom w:val="nil"/>
              <w:right w:val="nil"/>
            </w:tcBorders>
            <w:shd w:val="clear" w:color="auto" w:fill="auto"/>
            <w:noWrap/>
            <w:vAlign w:val="center"/>
            <w:hideMark/>
          </w:tcPr>
          <w:p w14:paraId="1998D1F3"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Solution Provider</w:t>
            </w:r>
          </w:p>
        </w:tc>
        <w:tc>
          <w:tcPr>
            <w:tcW w:w="850" w:type="dxa"/>
            <w:tcBorders>
              <w:top w:val="nil"/>
              <w:left w:val="nil"/>
              <w:bottom w:val="nil"/>
              <w:right w:val="nil"/>
            </w:tcBorders>
            <w:shd w:val="clear" w:color="000000" w:fill="7DC67D"/>
            <w:noWrap/>
            <w:vAlign w:val="center"/>
            <w:hideMark/>
          </w:tcPr>
          <w:p w14:paraId="16BB24D5"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55.1%</w:t>
            </w:r>
          </w:p>
        </w:tc>
        <w:tc>
          <w:tcPr>
            <w:tcW w:w="78" w:type="dxa"/>
            <w:tcBorders>
              <w:top w:val="nil"/>
              <w:left w:val="nil"/>
              <w:bottom w:val="nil"/>
              <w:right w:val="nil"/>
            </w:tcBorders>
            <w:shd w:val="clear" w:color="auto" w:fill="auto"/>
            <w:noWrap/>
            <w:vAlign w:val="center"/>
            <w:hideMark/>
          </w:tcPr>
          <w:p w14:paraId="2480B2C8"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8AC97E"/>
            <w:noWrap/>
            <w:vAlign w:val="center"/>
            <w:hideMark/>
          </w:tcPr>
          <w:p w14:paraId="78576D5B"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50.2%</w:t>
            </w:r>
          </w:p>
        </w:tc>
        <w:tc>
          <w:tcPr>
            <w:tcW w:w="709" w:type="dxa"/>
            <w:tcBorders>
              <w:top w:val="nil"/>
              <w:left w:val="nil"/>
              <w:bottom w:val="nil"/>
              <w:right w:val="nil"/>
            </w:tcBorders>
            <w:shd w:val="clear" w:color="000000" w:fill="83C77D"/>
            <w:noWrap/>
            <w:vAlign w:val="center"/>
            <w:hideMark/>
          </w:tcPr>
          <w:p w14:paraId="4D0B3FEF"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53.0%</w:t>
            </w:r>
          </w:p>
        </w:tc>
        <w:tc>
          <w:tcPr>
            <w:tcW w:w="718" w:type="dxa"/>
            <w:tcBorders>
              <w:top w:val="nil"/>
              <w:left w:val="nil"/>
              <w:bottom w:val="nil"/>
              <w:right w:val="nil"/>
            </w:tcBorders>
            <w:shd w:val="clear" w:color="000000" w:fill="63BE7B"/>
            <w:noWrap/>
            <w:vAlign w:val="center"/>
            <w:hideMark/>
          </w:tcPr>
          <w:p w14:paraId="43A081A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65.7%</w:t>
            </w:r>
          </w:p>
        </w:tc>
      </w:tr>
      <w:tr w:rsidR="00151DC1" w:rsidRPr="00FF4E93" w14:paraId="51FC0698" w14:textId="77777777" w:rsidTr="00C54569">
        <w:trPr>
          <w:trHeight w:val="360"/>
        </w:trPr>
        <w:tc>
          <w:tcPr>
            <w:tcW w:w="1553" w:type="dxa"/>
            <w:tcBorders>
              <w:top w:val="nil"/>
              <w:left w:val="nil"/>
              <w:bottom w:val="nil"/>
              <w:right w:val="nil"/>
            </w:tcBorders>
            <w:shd w:val="clear" w:color="auto" w:fill="auto"/>
            <w:noWrap/>
            <w:vAlign w:val="center"/>
            <w:hideMark/>
          </w:tcPr>
          <w:p w14:paraId="0F4E1AD9"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OBM</w:t>
            </w:r>
          </w:p>
        </w:tc>
        <w:tc>
          <w:tcPr>
            <w:tcW w:w="850" w:type="dxa"/>
            <w:tcBorders>
              <w:top w:val="nil"/>
              <w:left w:val="nil"/>
              <w:bottom w:val="nil"/>
              <w:right w:val="nil"/>
            </w:tcBorders>
            <w:shd w:val="clear" w:color="000000" w:fill="9ECF7F"/>
            <w:noWrap/>
            <w:vAlign w:val="center"/>
            <w:hideMark/>
          </w:tcPr>
          <w:p w14:paraId="4268AF8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41.9%</w:t>
            </w:r>
          </w:p>
        </w:tc>
        <w:tc>
          <w:tcPr>
            <w:tcW w:w="78" w:type="dxa"/>
            <w:tcBorders>
              <w:top w:val="nil"/>
              <w:left w:val="nil"/>
              <w:bottom w:val="nil"/>
              <w:right w:val="nil"/>
            </w:tcBorders>
            <w:shd w:val="clear" w:color="auto" w:fill="auto"/>
            <w:noWrap/>
            <w:vAlign w:val="center"/>
            <w:hideMark/>
          </w:tcPr>
          <w:p w14:paraId="4523A151"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A5D17F"/>
            <w:noWrap/>
            <w:vAlign w:val="center"/>
            <w:hideMark/>
          </w:tcPr>
          <w:p w14:paraId="02F08C4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39.0%</w:t>
            </w:r>
          </w:p>
        </w:tc>
        <w:tc>
          <w:tcPr>
            <w:tcW w:w="709" w:type="dxa"/>
            <w:tcBorders>
              <w:top w:val="nil"/>
              <w:left w:val="nil"/>
              <w:bottom w:val="nil"/>
              <w:right w:val="nil"/>
            </w:tcBorders>
            <w:shd w:val="clear" w:color="000000" w:fill="96CD7E"/>
            <w:noWrap/>
            <w:vAlign w:val="center"/>
            <w:hideMark/>
          </w:tcPr>
          <w:p w14:paraId="61413556"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45.0%</w:t>
            </w:r>
          </w:p>
        </w:tc>
        <w:tc>
          <w:tcPr>
            <w:tcW w:w="718" w:type="dxa"/>
            <w:tcBorders>
              <w:top w:val="nil"/>
              <w:left w:val="nil"/>
              <w:bottom w:val="nil"/>
              <w:right w:val="nil"/>
            </w:tcBorders>
            <w:shd w:val="clear" w:color="000000" w:fill="9ACE7F"/>
            <w:noWrap/>
            <w:vAlign w:val="center"/>
            <w:hideMark/>
          </w:tcPr>
          <w:p w14:paraId="1DA8060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43.4%</w:t>
            </w:r>
          </w:p>
        </w:tc>
      </w:tr>
      <w:tr w:rsidR="00151DC1" w:rsidRPr="00FF4E93" w14:paraId="4DA3CD98" w14:textId="77777777" w:rsidTr="00C54569">
        <w:trPr>
          <w:trHeight w:val="360"/>
        </w:trPr>
        <w:tc>
          <w:tcPr>
            <w:tcW w:w="1553" w:type="dxa"/>
            <w:tcBorders>
              <w:top w:val="nil"/>
              <w:left w:val="nil"/>
              <w:bottom w:val="nil"/>
              <w:right w:val="nil"/>
            </w:tcBorders>
            <w:shd w:val="clear" w:color="auto" w:fill="auto"/>
            <w:noWrap/>
            <w:vAlign w:val="center"/>
            <w:hideMark/>
          </w:tcPr>
          <w:p w14:paraId="4C95DD12"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Self-Service</w:t>
            </w:r>
          </w:p>
        </w:tc>
        <w:tc>
          <w:tcPr>
            <w:tcW w:w="850" w:type="dxa"/>
            <w:tcBorders>
              <w:top w:val="nil"/>
              <w:left w:val="nil"/>
              <w:bottom w:val="nil"/>
              <w:right w:val="nil"/>
            </w:tcBorders>
            <w:shd w:val="clear" w:color="000000" w:fill="C5DB81"/>
            <w:noWrap/>
            <w:vAlign w:val="center"/>
            <w:hideMark/>
          </w:tcPr>
          <w:p w14:paraId="2C4ECBF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25.9%</w:t>
            </w:r>
          </w:p>
        </w:tc>
        <w:tc>
          <w:tcPr>
            <w:tcW w:w="78" w:type="dxa"/>
            <w:tcBorders>
              <w:top w:val="nil"/>
              <w:left w:val="nil"/>
              <w:bottom w:val="nil"/>
              <w:right w:val="nil"/>
            </w:tcBorders>
            <w:shd w:val="clear" w:color="auto" w:fill="auto"/>
            <w:noWrap/>
            <w:vAlign w:val="center"/>
            <w:hideMark/>
          </w:tcPr>
          <w:p w14:paraId="65F28C34"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B4D680"/>
            <w:noWrap/>
            <w:vAlign w:val="center"/>
            <w:hideMark/>
          </w:tcPr>
          <w:p w14:paraId="24F994D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32.7%</w:t>
            </w:r>
          </w:p>
        </w:tc>
        <w:tc>
          <w:tcPr>
            <w:tcW w:w="709" w:type="dxa"/>
            <w:tcBorders>
              <w:top w:val="nil"/>
              <w:left w:val="nil"/>
              <w:bottom w:val="nil"/>
              <w:right w:val="nil"/>
            </w:tcBorders>
            <w:shd w:val="clear" w:color="000000" w:fill="D6DF82"/>
            <w:noWrap/>
            <w:vAlign w:val="center"/>
            <w:hideMark/>
          </w:tcPr>
          <w:p w14:paraId="15CEB4F3"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19.0%</w:t>
            </w:r>
          </w:p>
        </w:tc>
        <w:tc>
          <w:tcPr>
            <w:tcW w:w="718" w:type="dxa"/>
            <w:tcBorders>
              <w:top w:val="nil"/>
              <w:left w:val="nil"/>
              <w:bottom w:val="nil"/>
              <w:right w:val="nil"/>
            </w:tcBorders>
            <w:shd w:val="clear" w:color="000000" w:fill="D0DE82"/>
            <w:noWrap/>
            <w:vAlign w:val="center"/>
            <w:hideMark/>
          </w:tcPr>
          <w:p w14:paraId="36008966"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21.2%</w:t>
            </w:r>
          </w:p>
        </w:tc>
      </w:tr>
      <w:tr w:rsidR="00151DC1" w:rsidRPr="00FF4E93" w14:paraId="01F3C630" w14:textId="77777777" w:rsidTr="00C54569">
        <w:trPr>
          <w:trHeight w:val="360"/>
        </w:trPr>
        <w:tc>
          <w:tcPr>
            <w:tcW w:w="1553" w:type="dxa"/>
            <w:tcBorders>
              <w:top w:val="nil"/>
              <w:left w:val="nil"/>
              <w:bottom w:val="nil"/>
              <w:right w:val="nil"/>
            </w:tcBorders>
            <w:shd w:val="clear" w:color="auto" w:fill="auto"/>
            <w:noWrap/>
            <w:vAlign w:val="center"/>
            <w:hideMark/>
          </w:tcPr>
          <w:p w14:paraId="20131B42"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Subscription</w:t>
            </w:r>
          </w:p>
        </w:tc>
        <w:tc>
          <w:tcPr>
            <w:tcW w:w="850" w:type="dxa"/>
            <w:tcBorders>
              <w:top w:val="nil"/>
              <w:left w:val="nil"/>
              <w:bottom w:val="nil"/>
              <w:right w:val="nil"/>
            </w:tcBorders>
            <w:shd w:val="clear" w:color="000000" w:fill="CFDE82"/>
            <w:noWrap/>
            <w:vAlign w:val="center"/>
            <w:hideMark/>
          </w:tcPr>
          <w:p w14:paraId="1809810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21.8%</w:t>
            </w:r>
          </w:p>
        </w:tc>
        <w:tc>
          <w:tcPr>
            <w:tcW w:w="78" w:type="dxa"/>
            <w:tcBorders>
              <w:top w:val="nil"/>
              <w:left w:val="nil"/>
              <w:bottom w:val="nil"/>
              <w:right w:val="nil"/>
            </w:tcBorders>
            <w:shd w:val="clear" w:color="auto" w:fill="auto"/>
            <w:noWrap/>
            <w:vAlign w:val="center"/>
            <w:hideMark/>
          </w:tcPr>
          <w:p w14:paraId="3FA8B3E7"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C1D981"/>
            <w:noWrap/>
            <w:vAlign w:val="center"/>
            <w:hideMark/>
          </w:tcPr>
          <w:p w14:paraId="460A7923"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27.6%</w:t>
            </w:r>
          </w:p>
        </w:tc>
        <w:tc>
          <w:tcPr>
            <w:tcW w:w="709" w:type="dxa"/>
            <w:tcBorders>
              <w:top w:val="nil"/>
              <w:left w:val="nil"/>
              <w:bottom w:val="nil"/>
              <w:right w:val="nil"/>
            </w:tcBorders>
            <w:shd w:val="clear" w:color="000000" w:fill="E0E283"/>
            <w:noWrap/>
            <w:vAlign w:val="center"/>
            <w:hideMark/>
          </w:tcPr>
          <w:p w14:paraId="1AD613D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15.0%</w:t>
            </w:r>
          </w:p>
        </w:tc>
        <w:tc>
          <w:tcPr>
            <w:tcW w:w="718" w:type="dxa"/>
            <w:tcBorders>
              <w:top w:val="nil"/>
              <w:left w:val="nil"/>
              <w:bottom w:val="nil"/>
              <w:right w:val="nil"/>
            </w:tcBorders>
            <w:shd w:val="clear" w:color="000000" w:fill="D7E082"/>
            <w:noWrap/>
            <w:vAlign w:val="center"/>
            <w:hideMark/>
          </w:tcPr>
          <w:p w14:paraId="21C44766"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18.7%</w:t>
            </w:r>
          </w:p>
        </w:tc>
      </w:tr>
      <w:tr w:rsidR="00151DC1" w:rsidRPr="00FF4E93" w14:paraId="68C87894" w14:textId="77777777" w:rsidTr="00C54569">
        <w:trPr>
          <w:trHeight w:val="360"/>
        </w:trPr>
        <w:tc>
          <w:tcPr>
            <w:tcW w:w="1553" w:type="dxa"/>
            <w:tcBorders>
              <w:top w:val="nil"/>
              <w:left w:val="nil"/>
              <w:bottom w:val="nil"/>
              <w:right w:val="nil"/>
            </w:tcBorders>
            <w:shd w:val="clear" w:color="auto" w:fill="auto"/>
            <w:noWrap/>
            <w:vAlign w:val="center"/>
            <w:hideMark/>
          </w:tcPr>
          <w:p w14:paraId="0006C069"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Digitization</w:t>
            </w:r>
          </w:p>
        </w:tc>
        <w:tc>
          <w:tcPr>
            <w:tcW w:w="850" w:type="dxa"/>
            <w:tcBorders>
              <w:top w:val="nil"/>
              <w:left w:val="nil"/>
              <w:bottom w:val="nil"/>
              <w:right w:val="nil"/>
            </w:tcBorders>
            <w:shd w:val="clear" w:color="000000" w:fill="D2DF82"/>
            <w:noWrap/>
            <w:vAlign w:val="center"/>
            <w:hideMark/>
          </w:tcPr>
          <w:p w14:paraId="1E102CA1"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20.4%</w:t>
            </w:r>
          </w:p>
        </w:tc>
        <w:tc>
          <w:tcPr>
            <w:tcW w:w="78" w:type="dxa"/>
            <w:tcBorders>
              <w:top w:val="nil"/>
              <w:left w:val="nil"/>
              <w:bottom w:val="nil"/>
              <w:right w:val="nil"/>
            </w:tcBorders>
            <w:shd w:val="clear" w:color="auto" w:fill="auto"/>
            <w:noWrap/>
            <w:vAlign w:val="center"/>
            <w:hideMark/>
          </w:tcPr>
          <w:p w14:paraId="6D8CD49A"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DFE283"/>
            <w:noWrap/>
            <w:vAlign w:val="center"/>
            <w:hideMark/>
          </w:tcPr>
          <w:p w14:paraId="4EC5090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15.3%</w:t>
            </w:r>
          </w:p>
        </w:tc>
        <w:tc>
          <w:tcPr>
            <w:tcW w:w="709" w:type="dxa"/>
            <w:tcBorders>
              <w:top w:val="nil"/>
              <w:left w:val="nil"/>
              <w:bottom w:val="nil"/>
              <w:right w:val="nil"/>
            </w:tcBorders>
            <w:shd w:val="clear" w:color="000000" w:fill="AFD480"/>
            <w:noWrap/>
            <w:vAlign w:val="center"/>
            <w:hideMark/>
          </w:tcPr>
          <w:p w14:paraId="77F90592"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35.0%</w:t>
            </w:r>
          </w:p>
        </w:tc>
        <w:tc>
          <w:tcPr>
            <w:tcW w:w="718" w:type="dxa"/>
            <w:tcBorders>
              <w:top w:val="nil"/>
              <w:left w:val="nil"/>
              <w:bottom w:val="nil"/>
              <w:right w:val="nil"/>
            </w:tcBorders>
            <w:shd w:val="clear" w:color="000000" w:fill="E2E383"/>
            <w:noWrap/>
            <w:vAlign w:val="center"/>
            <w:hideMark/>
          </w:tcPr>
          <w:p w14:paraId="2757A7A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14.1%</w:t>
            </w:r>
          </w:p>
        </w:tc>
      </w:tr>
      <w:tr w:rsidR="00151DC1" w:rsidRPr="00FF4E93" w14:paraId="59061D6A" w14:textId="77777777" w:rsidTr="00C54569">
        <w:trPr>
          <w:trHeight w:val="360"/>
        </w:trPr>
        <w:tc>
          <w:tcPr>
            <w:tcW w:w="1553" w:type="dxa"/>
            <w:tcBorders>
              <w:top w:val="nil"/>
              <w:left w:val="nil"/>
              <w:bottom w:val="nil"/>
              <w:right w:val="nil"/>
            </w:tcBorders>
            <w:shd w:val="clear" w:color="auto" w:fill="auto"/>
            <w:noWrap/>
            <w:vAlign w:val="center"/>
            <w:hideMark/>
          </w:tcPr>
          <w:p w14:paraId="6DC6B2B5"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Direct Selling</w:t>
            </w:r>
          </w:p>
        </w:tc>
        <w:tc>
          <w:tcPr>
            <w:tcW w:w="850" w:type="dxa"/>
            <w:tcBorders>
              <w:top w:val="nil"/>
              <w:left w:val="nil"/>
              <w:bottom w:val="nil"/>
              <w:right w:val="nil"/>
            </w:tcBorders>
            <w:shd w:val="clear" w:color="000000" w:fill="E5E483"/>
            <w:noWrap/>
            <w:vAlign w:val="center"/>
            <w:hideMark/>
          </w:tcPr>
          <w:p w14:paraId="7AC2CE0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13.0%</w:t>
            </w:r>
          </w:p>
        </w:tc>
        <w:tc>
          <w:tcPr>
            <w:tcW w:w="78" w:type="dxa"/>
            <w:tcBorders>
              <w:top w:val="nil"/>
              <w:left w:val="nil"/>
              <w:bottom w:val="nil"/>
              <w:right w:val="nil"/>
            </w:tcBorders>
            <w:shd w:val="clear" w:color="auto" w:fill="auto"/>
            <w:noWrap/>
            <w:vAlign w:val="center"/>
            <w:hideMark/>
          </w:tcPr>
          <w:p w14:paraId="1E65C6C5"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EAE583"/>
            <w:noWrap/>
            <w:vAlign w:val="center"/>
            <w:hideMark/>
          </w:tcPr>
          <w:p w14:paraId="4187354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10.8%</w:t>
            </w:r>
          </w:p>
        </w:tc>
        <w:tc>
          <w:tcPr>
            <w:tcW w:w="709" w:type="dxa"/>
            <w:tcBorders>
              <w:top w:val="nil"/>
              <w:left w:val="nil"/>
              <w:bottom w:val="nil"/>
              <w:right w:val="nil"/>
            </w:tcBorders>
            <w:shd w:val="clear" w:color="000000" w:fill="E8E583"/>
            <w:noWrap/>
            <w:vAlign w:val="center"/>
            <w:hideMark/>
          </w:tcPr>
          <w:p w14:paraId="7B13CA1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11.5%</w:t>
            </w:r>
          </w:p>
        </w:tc>
        <w:tc>
          <w:tcPr>
            <w:tcW w:w="718" w:type="dxa"/>
            <w:tcBorders>
              <w:top w:val="nil"/>
              <w:left w:val="nil"/>
              <w:bottom w:val="nil"/>
              <w:right w:val="nil"/>
            </w:tcBorders>
            <w:shd w:val="clear" w:color="000000" w:fill="D8E082"/>
            <w:noWrap/>
            <w:vAlign w:val="center"/>
            <w:hideMark/>
          </w:tcPr>
          <w:p w14:paraId="413CEAB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18.2%</w:t>
            </w:r>
          </w:p>
        </w:tc>
      </w:tr>
      <w:tr w:rsidR="00151DC1" w:rsidRPr="00FF4E93" w14:paraId="75DB3B40" w14:textId="77777777" w:rsidTr="00C54569">
        <w:trPr>
          <w:trHeight w:val="360"/>
        </w:trPr>
        <w:tc>
          <w:tcPr>
            <w:tcW w:w="1553" w:type="dxa"/>
            <w:tcBorders>
              <w:top w:val="nil"/>
              <w:left w:val="nil"/>
              <w:bottom w:val="nil"/>
              <w:right w:val="nil"/>
            </w:tcBorders>
            <w:shd w:val="clear" w:color="auto" w:fill="auto"/>
            <w:noWrap/>
            <w:vAlign w:val="center"/>
            <w:hideMark/>
          </w:tcPr>
          <w:p w14:paraId="5AA353A8"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Leverage Customer Data</w:t>
            </w:r>
          </w:p>
        </w:tc>
        <w:tc>
          <w:tcPr>
            <w:tcW w:w="850" w:type="dxa"/>
            <w:tcBorders>
              <w:top w:val="nil"/>
              <w:left w:val="nil"/>
              <w:bottom w:val="nil"/>
              <w:right w:val="nil"/>
            </w:tcBorders>
            <w:shd w:val="clear" w:color="000000" w:fill="E5E483"/>
            <w:noWrap/>
            <w:vAlign w:val="center"/>
            <w:hideMark/>
          </w:tcPr>
          <w:p w14:paraId="46CD404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13.0%</w:t>
            </w:r>
          </w:p>
        </w:tc>
        <w:tc>
          <w:tcPr>
            <w:tcW w:w="78" w:type="dxa"/>
            <w:tcBorders>
              <w:top w:val="nil"/>
              <w:left w:val="nil"/>
              <w:bottom w:val="nil"/>
              <w:right w:val="nil"/>
            </w:tcBorders>
            <w:shd w:val="clear" w:color="auto" w:fill="auto"/>
            <w:noWrap/>
            <w:vAlign w:val="center"/>
            <w:hideMark/>
          </w:tcPr>
          <w:p w14:paraId="4B28B5DE"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1E784"/>
            <w:noWrap/>
            <w:vAlign w:val="center"/>
            <w:hideMark/>
          </w:tcPr>
          <w:p w14:paraId="73D5F51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8.1%</w:t>
            </w:r>
          </w:p>
        </w:tc>
        <w:tc>
          <w:tcPr>
            <w:tcW w:w="709" w:type="dxa"/>
            <w:tcBorders>
              <w:top w:val="nil"/>
              <w:left w:val="nil"/>
              <w:bottom w:val="nil"/>
              <w:right w:val="nil"/>
            </w:tcBorders>
            <w:shd w:val="clear" w:color="000000" w:fill="E9E583"/>
            <w:noWrap/>
            <w:vAlign w:val="center"/>
            <w:hideMark/>
          </w:tcPr>
          <w:p w14:paraId="72276AD5"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11.0%</w:t>
            </w:r>
          </w:p>
        </w:tc>
        <w:tc>
          <w:tcPr>
            <w:tcW w:w="718" w:type="dxa"/>
            <w:tcBorders>
              <w:top w:val="nil"/>
              <w:left w:val="nil"/>
              <w:bottom w:val="nil"/>
              <w:right w:val="nil"/>
            </w:tcBorders>
            <w:shd w:val="clear" w:color="000000" w:fill="CCDD82"/>
            <w:noWrap/>
            <w:vAlign w:val="center"/>
            <w:hideMark/>
          </w:tcPr>
          <w:p w14:paraId="6D3A6FA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23.2%</w:t>
            </w:r>
          </w:p>
        </w:tc>
      </w:tr>
      <w:tr w:rsidR="00151DC1" w:rsidRPr="00FF4E93" w14:paraId="2BEDE49B" w14:textId="77777777" w:rsidTr="00C54569">
        <w:trPr>
          <w:trHeight w:val="360"/>
        </w:trPr>
        <w:tc>
          <w:tcPr>
            <w:tcW w:w="1553" w:type="dxa"/>
            <w:tcBorders>
              <w:top w:val="nil"/>
              <w:left w:val="nil"/>
              <w:bottom w:val="nil"/>
              <w:right w:val="nil"/>
            </w:tcBorders>
            <w:shd w:val="clear" w:color="auto" w:fill="auto"/>
            <w:noWrap/>
            <w:vAlign w:val="center"/>
            <w:hideMark/>
          </w:tcPr>
          <w:p w14:paraId="767D0CBE"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Virtualization</w:t>
            </w:r>
          </w:p>
        </w:tc>
        <w:tc>
          <w:tcPr>
            <w:tcW w:w="850" w:type="dxa"/>
            <w:tcBorders>
              <w:top w:val="nil"/>
              <w:left w:val="nil"/>
              <w:bottom w:val="nil"/>
              <w:right w:val="nil"/>
            </w:tcBorders>
            <w:shd w:val="clear" w:color="000000" w:fill="E6E483"/>
            <w:noWrap/>
            <w:vAlign w:val="center"/>
            <w:hideMark/>
          </w:tcPr>
          <w:p w14:paraId="365ED706"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12.3%</w:t>
            </w:r>
          </w:p>
        </w:tc>
        <w:tc>
          <w:tcPr>
            <w:tcW w:w="78" w:type="dxa"/>
            <w:tcBorders>
              <w:top w:val="nil"/>
              <w:left w:val="nil"/>
              <w:bottom w:val="nil"/>
              <w:right w:val="nil"/>
            </w:tcBorders>
            <w:shd w:val="clear" w:color="auto" w:fill="auto"/>
            <w:noWrap/>
            <w:vAlign w:val="center"/>
            <w:hideMark/>
          </w:tcPr>
          <w:p w14:paraId="6F6BE0B6"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CEA84"/>
            <w:noWrap/>
            <w:vAlign w:val="center"/>
            <w:hideMark/>
          </w:tcPr>
          <w:p w14:paraId="189896A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3.6%</w:t>
            </w:r>
          </w:p>
        </w:tc>
        <w:tc>
          <w:tcPr>
            <w:tcW w:w="709" w:type="dxa"/>
            <w:tcBorders>
              <w:top w:val="nil"/>
              <w:left w:val="nil"/>
              <w:bottom w:val="nil"/>
              <w:right w:val="nil"/>
            </w:tcBorders>
            <w:shd w:val="clear" w:color="000000" w:fill="BCD881"/>
            <w:noWrap/>
            <w:vAlign w:val="center"/>
            <w:hideMark/>
          </w:tcPr>
          <w:p w14:paraId="30D8A4A4"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29.5%</w:t>
            </w:r>
          </w:p>
        </w:tc>
        <w:tc>
          <w:tcPr>
            <w:tcW w:w="718" w:type="dxa"/>
            <w:tcBorders>
              <w:top w:val="nil"/>
              <w:left w:val="nil"/>
              <w:bottom w:val="nil"/>
              <w:right w:val="nil"/>
            </w:tcBorders>
            <w:shd w:val="clear" w:color="000000" w:fill="EDE683"/>
            <w:noWrap/>
            <w:vAlign w:val="center"/>
            <w:hideMark/>
          </w:tcPr>
          <w:p w14:paraId="0230F9D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9.6%</w:t>
            </w:r>
          </w:p>
        </w:tc>
      </w:tr>
      <w:tr w:rsidR="00151DC1" w:rsidRPr="00FF4E93" w14:paraId="513D836A" w14:textId="77777777" w:rsidTr="00C54569">
        <w:trPr>
          <w:trHeight w:val="360"/>
        </w:trPr>
        <w:tc>
          <w:tcPr>
            <w:tcW w:w="1553" w:type="dxa"/>
            <w:tcBorders>
              <w:top w:val="nil"/>
              <w:left w:val="nil"/>
              <w:bottom w:val="nil"/>
              <w:right w:val="nil"/>
            </w:tcBorders>
            <w:shd w:val="clear" w:color="auto" w:fill="auto"/>
            <w:noWrap/>
            <w:vAlign w:val="center"/>
            <w:hideMark/>
          </w:tcPr>
          <w:p w14:paraId="6067E1EE"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Aikido</w:t>
            </w:r>
          </w:p>
        </w:tc>
        <w:tc>
          <w:tcPr>
            <w:tcW w:w="850" w:type="dxa"/>
            <w:tcBorders>
              <w:top w:val="nil"/>
              <w:left w:val="nil"/>
              <w:bottom w:val="nil"/>
              <w:right w:val="nil"/>
            </w:tcBorders>
            <w:shd w:val="clear" w:color="000000" w:fill="E8E583"/>
            <w:noWrap/>
            <w:vAlign w:val="center"/>
            <w:hideMark/>
          </w:tcPr>
          <w:p w14:paraId="0C534D3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11.6%</w:t>
            </w:r>
          </w:p>
        </w:tc>
        <w:tc>
          <w:tcPr>
            <w:tcW w:w="78" w:type="dxa"/>
            <w:tcBorders>
              <w:top w:val="nil"/>
              <w:left w:val="nil"/>
              <w:bottom w:val="nil"/>
              <w:right w:val="nil"/>
            </w:tcBorders>
            <w:shd w:val="clear" w:color="auto" w:fill="auto"/>
            <w:noWrap/>
            <w:vAlign w:val="center"/>
            <w:hideMark/>
          </w:tcPr>
          <w:p w14:paraId="72C60414"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CB679"/>
            <w:noWrap/>
            <w:vAlign w:val="center"/>
            <w:hideMark/>
          </w:tcPr>
          <w:p w14:paraId="31976FF3"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1.2%</w:t>
            </w:r>
          </w:p>
        </w:tc>
        <w:tc>
          <w:tcPr>
            <w:tcW w:w="709" w:type="dxa"/>
            <w:tcBorders>
              <w:top w:val="nil"/>
              <w:left w:val="nil"/>
              <w:bottom w:val="nil"/>
              <w:right w:val="nil"/>
            </w:tcBorders>
            <w:shd w:val="clear" w:color="000000" w:fill="CBDC81"/>
            <w:noWrap/>
            <w:vAlign w:val="center"/>
            <w:hideMark/>
          </w:tcPr>
          <w:p w14:paraId="19AE7A59"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23.5%</w:t>
            </w:r>
          </w:p>
        </w:tc>
        <w:tc>
          <w:tcPr>
            <w:tcW w:w="718" w:type="dxa"/>
            <w:tcBorders>
              <w:top w:val="nil"/>
              <w:left w:val="nil"/>
              <w:bottom w:val="nil"/>
              <w:right w:val="nil"/>
            </w:tcBorders>
            <w:shd w:val="clear" w:color="000000" w:fill="DAE182"/>
            <w:noWrap/>
            <w:vAlign w:val="center"/>
            <w:hideMark/>
          </w:tcPr>
          <w:p w14:paraId="55985D3B"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17.2%</w:t>
            </w:r>
          </w:p>
        </w:tc>
      </w:tr>
      <w:tr w:rsidR="00151DC1" w:rsidRPr="00FF4E93" w14:paraId="1B2F37C5" w14:textId="77777777" w:rsidTr="00C54569">
        <w:trPr>
          <w:trHeight w:val="360"/>
        </w:trPr>
        <w:tc>
          <w:tcPr>
            <w:tcW w:w="1553" w:type="dxa"/>
            <w:tcBorders>
              <w:top w:val="nil"/>
              <w:left w:val="nil"/>
              <w:bottom w:val="nil"/>
              <w:right w:val="nil"/>
            </w:tcBorders>
            <w:shd w:val="clear" w:color="auto" w:fill="auto"/>
            <w:noWrap/>
            <w:vAlign w:val="center"/>
            <w:hideMark/>
          </w:tcPr>
          <w:p w14:paraId="3FE75153"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Integrator</w:t>
            </w:r>
          </w:p>
        </w:tc>
        <w:tc>
          <w:tcPr>
            <w:tcW w:w="850" w:type="dxa"/>
            <w:tcBorders>
              <w:top w:val="nil"/>
              <w:left w:val="nil"/>
              <w:bottom w:val="nil"/>
              <w:right w:val="nil"/>
            </w:tcBorders>
            <w:shd w:val="clear" w:color="000000" w:fill="E8E583"/>
            <w:noWrap/>
            <w:vAlign w:val="center"/>
            <w:hideMark/>
          </w:tcPr>
          <w:p w14:paraId="2827B27F"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11.6%</w:t>
            </w:r>
          </w:p>
        </w:tc>
        <w:tc>
          <w:tcPr>
            <w:tcW w:w="78" w:type="dxa"/>
            <w:tcBorders>
              <w:top w:val="nil"/>
              <w:left w:val="nil"/>
              <w:bottom w:val="nil"/>
              <w:right w:val="nil"/>
            </w:tcBorders>
            <w:shd w:val="clear" w:color="auto" w:fill="auto"/>
            <w:noWrap/>
            <w:vAlign w:val="center"/>
            <w:hideMark/>
          </w:tcPr>
          <w:p w14:paraId="15F787B5"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9EA84"/>
            <w:noWrap/>
            <w:vAlign w:val="center"/>
            <w:hideMark/>
          </w:tcPr>
          <w:p w14:paraId="541DEED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4.5%</w:t>
            </w:r>
          </w:p>
        </w:tc>
        <w:tc>
          <w:tcPr>
            <w:tcW w:w="709" w:type="dxa"/>
            <w:tcBorders>
              <w:top w:val="nil"/>
              <w:left w:val="nil"/>
              <w:bottom w:val="nil"/>
              <w:right w:val="nil"/>
            </w:tcBorders>
            <w:shd w:val="clear" w:color="000000" w:fill="ECE683"/>
            <w:noWrap/>
            <w:vAlign w:val="center"/>
            <w:hideMark/>
          </w:tcPr>
          <w:p w14:paraId="1B617266"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10.0%</w:t>
            </w:r>
          </w:p>
        </w:tc>
        <w:tc>
          <w:tcPr>
            <w:tcW w:w="718" w:type="dxa"/>
            <w:tcBorders>
              <w:top w:val="nil"/>
              <w:left w:val="nil"/>
              <w:bottom w:val="nil"/>
              <w:right w:val="nil"/>
            </w:tcBorders>
            <w:shd w:val="clear" w:color="000000" w:fill="C7DB81"/>
            <w:noWrap/>
            <w:vAlign w:val="center"/>
            <w:hideMark/>
          </w:tcPr>
          <w:p w14:paraId="046E6BE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25.3%</w:t>
            </w:r>
          </w:p>
        </w:tc>
      </w:tr>
      <w:tr w:rsidR="00151DC1" w:rsidRPr="00FF4E93" w14:paraId="58B0F19A" w14:textId="77777777" w:rsidTr="00C54569">
        <w:trPr>
          <w:trHeight w:val="360"/>
        </w:trPr>
        <w:tc>
          <w:tcPr>
            <w:tcW w:w="1553" w:type="dxa"/>
            <w:tcBorders>
              <w:top w:val="nil"/>
              <w:left w:val="nil"/>
              <w:bottom w:val="nil"/>
              <w:right w:val="nil"/>
            </w:tcBorders>
            <w:shd w:val="clear" w:color="auto" w:fill="auto"/>
            <w:noWrap/>
            <w:vAlign w:val="center"/>
            <w:hideMark/>
          </w:tcPr>
          <w:p w14:paraId="7D7B3DC8"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Two-Sided Market</w:t>
            </w:r>
          </w:p>
        </w:tc>
        <w:tc>
          <w:tcPr>
            <w:tcW w:w="850" w:type="dxa"/>
            <w:tcBorders>
              <w:top w:val="nil"/>
              <w:left w:val="nil"/>
              <w:bottom w:val="nil"/>
              <w:right w:val="nil"/>
            </w:tcBorders>
            <w:shd w:val="clear" w:color="000000" w:fill="EDE683"/>
            <w:noWrap/>
            <w:vAlign w:val="center"/>
            <w:hideMark/>
          </w:tcPr>
          <w:p w14:paraId="7BFE0AD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9.7%</w:t>
            </w:r>
          </w:p>
        </w:tc>
        <w:tc>
          <w:tcPr>
            <w:tcW w:w="78" w:type="dxa"/>
            <w:tcBorders>
              <w:top w:val="nil"/>
              <w:left w:val="nil"/>
              <w:bottom w:val="nil"/>
              <w:right w:val="nil"/>
            </w:tcBorders>
            <w:shd w:val="clear" w:color="auto" w:fill="auto"/>
            <w:noWrap/>
            <w:vAlign w:val="center"/>
            <w:hideMark/>
          </w:tcPr>
          <w:p w14:paraId="5BF34E4C"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3E884"/>
            <w:noWrap/>
            <w:vAlign w:val="center"/>
            <w:hideMark/>
          </w:tcPr>
          <w:p w14:paraId="200F924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7.2%</w:t>
            </w:r>
          </w:p>
        </w:tc>
        <w:tc>
          <w:tcPr>
            <w:tcW w:w="709" w:type="dxa"/>
            <w:tcBorders>
              <w:top w:val="nil"/>
              <w:left w:val="nil"/>
              <w:bottom w:val="nil"/>
              <w:right w:val="nil"/>
            </w:tcBorders>
            <w:shd w:val="clear" w:color="000000" w:fill="E1E383"/>
            <w:noWrap/>
            <w:vAlign w:val="center"/>
            <w:hideMark/>
          </w:tcPr>
          <w:p w14:paraId="106A7686"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14.5%</w:t>
            </w:r>
          </w:p>
        </w:tc>
        <w:tc>
          <w:tcPr>
            <w:tcW w:w="718" w:type="dxa"/>
            <w:tcBorders>
              <w:top w:val="nil"/>
              <w:left w:val="nil"/>
              <w:bottom w:val="nil"/>
              <w:right w:val="nil"/>
            </w:tcBorders>
            <w:shd w:val="clear" w:color="000000" w:fill="EEE784"/>
            <w:noWrap/>
            <w:vAlign w:val="center"/>
            <w:hideMark/>
          </w:tcPr>
          <w:p w14:paraId="5F519AE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9.1%</w:t>
            </w:r>
          </w:p>
        </w:tc>
      </w:tr>
      <w:tr w:rsidR="00151DC1" w:rsidRPr="00FF4E93" w14:paraId="1D81D635" w14:textId="77777777" w:rsidTr="00C54569">
        <w:trPr>
          <w:trHeight w:val="360"/>
        </w:trPr>
        <w:tc>
          <w:tcPr>
            <w:tcW w:w="1553" w:type="dxa"/>
            <w:tcBorders>
              <w:top w:val="nil"/>
              <w:left w:val="nil"/>
              <w:bottom w:val="nil"/>
              <w:right w:val="nil"/>
            </w:tcBorders>
            <w:shd w:val="clear" w:color="auto" w:fill="auto"/>
            <w:noWrap/>
            <w:vAlign w:val="center"/>
            <w:hideMark/>
          </w:tcPr>
          <w:p w14:paraId="17317EAF"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Mass Customisation</w:t>
            </w:r>
          </w:p>
        </w:tc>
        <w:tc>
          <w:tcPr>
            <w:tcW w:w="850" w:type="dxa"/>
            <w:tcBorders>
              <w:top w:val="nil"/>
              <w:left w:val="nil"/>
              <w:bottom w:val="nil"/>
              <w:right w:val="nil"/>
            </w:tcBorders>
            <w:shd w:val="clear" w:color="000000" w:fill="F0E784"/>
            <w:noWrap/>
            <w:vAlign w:val="center"/>
            <w:hideMark/>
          </w:tcPr>
          <w:p w14:paraId="60D5BBF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8.3%</w:t>
            </w:r>
          </w:p>
        </w:tc>
        <w:tc>
          <w:tcPr>
            <w:tcW w:w="78" w:type="dxa"/>
            <w:tcBorders>
              <w:top w:val="nil"/>
              <w:left w:val="nil"/>
              <w:bottom w:val="nil"/>
              <w:right w:val="nil"/>
            </w:tcBorders>
            <w:shd w:val="clear" w:color="auto" w:fill="auto"/>
            <w:noWrap/>
            <w:vAlign w:val="center"/>
            <w:hideMark/>
          </w:tcPr>
          <w:p w14:paraId="0298DC02"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E5E483"/>
            <w:noWrap/>
            <w:vAlign w:val="center"/>
            <w:hideMark/>
          </w:tcPr>
          <w:p w14:paraId="3D3CF412"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12.9%</w:t>
            </w:r>
          </w:p>
        </w:tc>
        <w:tc>
          <w:tcPr>
            <w:tcW w:w="709" w:type="dxa"/>
            <w:tcBorders>
              <w:top w:val="nil"/>
              <w:left w:val="nil"/>
              <w:bottom w:val="nil"/>
              <w:right w:val="nil"/>
            </w:tcBorders>
            <w:shd w:val="clear" w:color="000000" w:fill="FDEB84"/>
            <w:noWrap/>
            <w:vAlign w:val="center"/>
            <w:hideMark/>
          </w:tcPr>
          <w:p w14:paraId="666C2AFC"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3.0%</w:t>
            </w:r>
          </w:p>
        </w:tc>
        <w:tc>
          <w:tcPr>
            <w:tcW w:w="718" w:type="dxa"/>
            <w:tcBorders>
              <w:top w:val="nil"/>
              <w:left w:val="nil"/>
              <w:bottom w:val="nil"/>
              <w:right w:val="nil"/>
            </w:tcBorders>
            <w:shd w:val="clear" w:color="000000" w:fill="F6E984"/>
            <w:noWrap/>
            <w:vAlign w:val="center"/>
            <w:hideMark/>
          </w:tcPr>
          <w:p w14:paraId="5EB9EB39"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6.1%</w:t>
            </w:r>
          </w:p>
        </w:tc>
      </w:tr>
      <w:tr w:rsidR="00151DC1" w:rsidRPr="00FF4E93" w14:paraId="052C9DBF" w14:textId="77777777" w:rsidTr="00C54569">
        <w:trPr>
          <w:trHeight w:val="360"/>
        </w:trPr>
        <w:tc>
          <w:tcPr>
            <w:tcW w:w="1553" w:type="dxa"/>
            <w:tcBorders>
              <w:top w:val="nil"/>
              <w:left w:val="nil"/>
              <w:bottom w:val="nil"/>
              <w:right w:val="nil"/>
            </w:tcBorders>
            <w:shd w:val="clear" w:color="auto" w:fill="auto"/>
            <w:noWrap/>
            <w:vAlign w:val="center"/>
            <w:hideMark/>
          </w:tcPr>
          <w:p w14:paraId="19036355"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Peer-to-Peer</w:t>
            </w:r>
          </w:p>
        </w:tc>
        <w:tc>
          <w:tcPr>
            <w:tcW w:w="850" w:type="dxa"/>
            <w:tcBorders>
              <w:top w:val="nil"/>
              <w:left w:val="nil"/>
              <w:bottom w:val="nil"/>
              <w:right w:val="nil"/>
            </w:tcBorders>
            <w:shd w:val="clear" w:color="000000" w:fill="F1E784"/>
            <w:noWrap/>
            <w:vAlign w:val="center"/>
            <w:hideMark/>
          </w:tcPr>
          <w:p w14:paraId="32067092"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7.8%</w:t>
            </w:r>
          </w:p>
        </w:tc>
        <w:tc>
          <w:tcPr>
            <w:tcW w:w="78" w:type="dxa"/>
            <w:tcBorders>
              <w:top w:val="nil"/>
              <w:left w:val="nil"/>
              <w:bottom w:val="nil"/>
              <w:right w:val="nil"/>
            </w:tcBorders>
            <w:shd w:val="clear" w:color="auto" w:fill="auto"/>
            <w:noWrap/>
            <w:vAlign w:val="center"/>
            <w:hideMark/>
          </w:tcPr>
          <w:p w14:paraId="3C196FD3"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DEB84"/>
            <w:noWrap/>
            <w:vAlign w:val="center"/>
            <w:hideMark/>
          </w:tcPr>
          <w:p w14:paraId="36E3C2E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3.0%</w:t>
            </w:r>
          </w:p>
        </w:tc>
        <w:tc>
          <w:tcPr>
            <w:tcW w:w="709" w:type="dxa"/>
            <w:tcBorders>
              <w:top w:val="nil"/>
              <w:left w:val="nil"/>
              <w:bottom w:val="nil"/>
              <w:right w:val="nil"/>
            </w:tcBorders>
            <w:shd w:val="clear" w:color="000000" w:fill="E0E283"/>
            <w:noWrap/>
            <w:vAlign w:val="center"/>
            <w:hideMark/>
          </w:tcPr>
          <w:p w14:paraId="5AB7E151"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15.0%</w:t>
            </w:r>
          </w:p>
        </w:tc>
        <w:tc>
          <w:tcPr>
            <w:tcW w:w="718" w:type="dxa"/>
            <w:tcBorders>
              <w:top w:val="nil"/>
              <w:left w:val="nil"/>
              <w:bottom w:val="nil"/>
              <w:right w:val="nil"/>
            </w:tcBorders>
            <w:shd w:val="clear" w:color="000000" w:fill="EFE784"/>
            <w:noWrap/>
            <w:vAlign w:val="center"/>
            <w:hideMark/>
          </w:tcPr>
          <w:p w14:paraId="5B4BC76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8.6%</w:t>
            </w:r>
          </w:p>
        </w:tc>
      </w:tr>
      <w:tr w:rsidR="00151DC1" w:rsidRPr="00FF4E93" w14:paraId="513FC9B3" w14:textId="77777777" w:rsidTr="00C54569">
        <w:trPr>
          <w:trHeight w:val="360"/>
        </w:trPr>
        <w:tc>
          <w:tcPr>
            <w:tcW w:w="1553" w:type="dxa"/>
            <w:tcBorders>
              <w:top w:val="nil"/>
              <w:left w:val="nil"/>
              <w:bottom w:val="nil"/>
              <w:right w:val="nil"/>
            </w:tcBorders>
            <w:shd w:val="clear" w:color="auto" w:fill="auto"/>
            <w:noWrap/>
            <w:vAlign w:val="center"/>
            <w:hideMark/>
          </w:tcPr>
          <w:p w14:paraId="1BAC6322"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Crowdfunding</w:t>
            </w:r>
          </w:p>
        </w:tc>
        <w:tc>
          <w:tcPr>
            <w:tcW w:w="850" w:type="dxa"/>
            <w:tcBorders>
              <w:top w:val="nil"/>
              <w:left w:val="nil"/>
              <w:bottom w:val="nil"/>
              <w:right w:val="nil"/>
            </w:tcBorders>
            <w:shd w:val="clear" w:color="000000" w:fill="F3E884"/>
            <w:noWrap/>
            <w:vAlign w:val="center"/>
            <w:hideMark/>
          </w:tcPr>
          <w:p w14:paraId="3F63D26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7.3%</w:t>
            </w:r>
          </w:p>
        </w:tc>
        <w:tc>
          <w:tcPr>
            <w:tcW w:w="78" w:type="dxa"/>
            <w:tcBorders>
              <w:top w:val="nil"/>
              <w:left w:val="nil"/>
              <w:bottom w:val="nil"/>
              <w:right w:val="nil"/>
            </w:tcBorders>
            <w:shd w:val="clear" w:color="auto" w:fill="auto"/>
            <w:noWrap/>
            <w:vAlign w:val="center"/>
            <w:hideMark/>
          </w:tcPr>
          <w:p w14:paraId="738BF5C9"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6E984"/>
            <w:noWrap/>
            <w:vAlign w:val="center"/>
            <w:hideMark/>
          </w:tcPr>
          <w:p w14:paraId="5B611295"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5.7%</w:t>
            </w:r>
          </w:p>
        </w:tc>
        <w:tc>
          <w:tcPr>
            <w:tcW w:w="709" w:type="dxa"/>
            <w:tcBorders>
              <w:top w:val="nil"/>
              <w:left w:val="nil"/>
              <w:bottom w:val="nil"/>
              <w:right w:val="nil"/>
            </w:tcBorders>
            <w:shd w:val="clear" w:color="000000" w:fill="F0E784"/>
            <w:noWrap/>
            <w:vAlign w:val="center"/>
            <w:hideMark/>
          </w:tcPr>
          <w:p w14:paraId="3612D3F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8.5%</w:t>
            </w:r>
          </w:p>
        </w:tc>
        <w:tc>
          <w:tcPr>
            <w:tcW w:w="718" w:type="dxa"/>
            <w:tcBorders>
              <w:top w:val="nil"/>
              <w:left w:val="nil"/>
              <w:bottom w:val="nil"/>
              <w:right w:val="nil"/>
            </w:tcBorders>
            <w:shd w:val="clear" w:color="000000" w:fill="EFE784"/>
            <w:noWrap/>
            <w:vAlign w:val="center"/>
            <w:hideMark/>
          </w:tcPr>
          <w:p w14:paraId="0B5B866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8.6%</w:t>
            </w:r>
          </w:p>
        </w:tc>
      </w:tr>
      <w:tr w:rsidR="00151DC1" w:rsidRPr="00FF4E93" w14:paraId="1D888C9E" w14:textId="77777777" w:rsidTr="00C54569">
        <w:trPr>
          <w:trHeight w:val="360"/>
        </w:trPr>
        <w:tc>
          <w:tcPr>
            <w:tcW w:w="1553" w:type="dxa"/>
            <w:tcBorders>
              <w:top w:val="nil"/>
              <w:left w:val="nil"/>
              <w:bottom w:val="nil"/>
              <w:right w:val="nil"/>
            </w:tcBorders>
            <w:shd w:val="clear" w:color="auto" w:fill="auto"/>
            <w:noWrap/>
            <w:vAlign w:val="center"/>
            <w:hideMark/>
          </w:tcPr>
          <w:p w14:paraId="1729BF48" w14:textId="77777777" w:rsidR="00151DC1" w:rsidRPr="00FF4E93" w:rsidRDefault="00151DC1" w:rsidP="00151DC1">
            <w:pPr>
              <w:spacing w:before="0" w:after="0" w:line="240" w:lineRule="auto"/>
              <w:jc w:val="left"/>
              <w:rPr>
                <w:rFonts w:eastAsia="Times New Roman"/>
                <w:color w:val="212121"/>
                <w:sz w:val="20"/>
                <w:szCs w:val="20"/>
              </w:rPr>
            </w:pPr>
            <w:r w:rsidRPr="00FF4E93">
              <w:rPr>
                <w:rFonts w:eastAsia="Times New Roman"/>
                <w:color w:val="212121"/>
                <w:sz w:val="20"/>
                <w:szCs w:val="20"/>
              </w:rPr>
              <w:t>User Designed</w:t>
            </w:r>
          </w:p>
        </w:tc>
        <w:tc>
          <w:tcPr>
            <w:tcW w:w="850" w:type="dxa"/>
            <w:tcBorders>
              <w:top w:val="nil"/>
              <w:left w:val="nil"/>
              <w:bottom w:val="nil"/>
              <w:right w:val="nil"/>
            </w:tcBorders>
            <w:shd w:val="clear" w:color="000000" w:fill="F3E884"/>
            <w:noWrap/>
            <w:vAlign w:val="center"/>
            <w:hideMark/>
          </w:tcPr>
          <w:p w14:paraId="379BEC2C"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7.1%</w:t>
            </w:r>
          </w:p>
        </w:tc>
        <w:tc>
          <w:tcPr>
            <w:tcW w:w="78" w:type="dxa"/>
            <w:tcBorders>
              <w:top w:val="nil"/>
              <w:left w:val="nil"/>
              <w:bottom w:val="nil"/>
              <w:right w:val="nil"/>
            </w:tcBorders>
            <w:shd w:val="clear" w:color="auto" w:fill="auto"/>
            <w:noWrap/>
            <w:vAlign w:val="center"/>
            <w:hideMark/>
          </w:tcPr>
          <w:p w14:paraId="73C0249B"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A8F72"/>
            <w:noWrap/>
            <w:vAlign w:val="center"/>
            <w:hideMark/>
          </w:tcPr>
          <w:p w14:paraId="2D49393C"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0.6%</w:t>
            </w:r>
          </w:p>
        </w:tc>
        <w:tc>
          <w:tcPr>
            <w:tcW w:w="709" w:type="dxa"/>
            <w:tcBorders>
              <w:top w:val="nil"/>
              <w:left w:val="nil"/>
              <w:bottom w:val="nil"/>
              <w:right w:val="nil"/>
            </w:tcBorders>
            <w:shd w:val="clear" w:color="000000" w:fill="D3DF82"/>
            <w:noWrap/>
            <w:vAlign w:val="center"/>
            <w:hideMark/>
          </w:tcPr>
          <w:p w14:paraId="6D256E1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20.0%</w:t>
            </w:r>
          </w:p>
        </w:tc>
        <w:tc>
          <w:tcPr>
            <w:tcW w:w="718" w:type="dxa"/>
            <w:tcBorders>
              <w:top w:val="nil"/>
              <w:left w:val="nil"/>
              <w:bottom w:val="nil"/>
              <w:right w:val="nil"/>
            </w:tcBorders>
            <w:shd w:val="clear" w:color="000000" w:fill="F8E984"/>
            <w:noWrap/>
            <w:vAlign w:val="center"/>
            <w:hideMark/>
          </w:tcPr>
          <w:p w14:paraId="4FFC4FA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5.1%</w:t>
            </w:r>
          </w:p>
        </w:tc>
      </w:tr>
      <w:tr w:rsidR="00151DC1" w:rsidRPr="00FF4E93" w14:paraId="05074026" w14:textId="77777777" w:rsidTr="00C54569">
        <w:trPr>
          <w:trHeight w:val="360"/>
        </w:trPr>
        <w:tc>
          <w:tcPr>
            <w:tcW w:w="1553" w:type="dxa"/>
            <w:tcBorders>
              <w:top w:val="nil"/>
              <w:left w:val="nil"/>
              <w:bottom w:val="nil"/>
              <w:right w:val="nil"/>
            </w:tcBorders>
            <w:shd w:val="clear" w:color="auto" w:fill="auto"/>
            <w:noWrap/>
            <w:vAlign w:val="center"/>
            <w:hideMark/>
          </w:tcPr>
          <w:p w14:paraId="1A873FCD"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bCs/>
                <w:color w:val="000000"/>
                <w:sz w:val="20"/>
                <w:szCs w:val="20"/>
              </w:rPr>
              <w:t>Sensor as a Service</w:t>
            </w:r>
          </w:p>
        </w:tc>
        <w:tc>
          <w:tcPr>
            <w:tcW w:w="850" w:type="dxa"/>
            <w:tcBorders>
              <w:top w:val="nil"/>
              <w:left w:val="nil"/>
              <w:bottom w:val="nil"/>
              <w:right w:val="nil"/>
            </w:tcBorders>
            <w:shd w:val="clear" w:color="000000" w:fill="F3E884"/>
            <w:noWrap/>
            <w:vAlign w:val="center"/>
            <w:hideMark/>
          </w:tcPr>
          <w:p w14:paraId="51A74A01"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7.1%</w:t>
            </w:r>
          </w:p>
        </w:tc>
        <w:tc>
          <w:tcPr>
            <w:tcW w:w="78" w:type="dxa"/>
            <w:tcBorders>
              <w:top w:val="nil"/>
              <w:left w:val="nil"/>
              <w:bottom w:val="nil"/>
              <w:right w:val="nil"/>
            </w:tcBorders>
            <w:shd w:val="clear" w:color="auto" w:fill="auto"/>
            <w:noWrap/>
            <w:vAlign w:val="center"/>
            <w:hideMark/>
          </w:tcPr>
          <w:p w14:paraId="19CEDA7D"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DEB84"/>
            <w:noWrap/>
            <w:vAlign w:val="center"/>
            <w:hideMark/>
          </w:tcPr>
          <w:p w14:paraId="2FA0A3E2"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3.0%</w:t>
            </w:r>
          </w:p>
        </w:tc>
        <w:tc>
          <w:tcPr>
            <w:tcW w:w="709" w:type="dxa"/>
            <w:tcBorders>
              <w:top w:val="nil"/>
              <w:left w:val="nil"/>
              <w:bottom w:val="nil"/>
              <w:right w:val="nil"/>
            </w:tcBorders>
            <w:shd w:val="clear" w:color="000000" w:fill="F9EA84"/>
            <w:noWrap/>
            <w:vAlign w:val="center"/>
            <w:hideMark/>
          </w:tcPr>
          <w:p w14:paraId="40BBF0F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4.5%</w:t>
            </w:r>
          </w:p>
        </w:tc>
        <w:tc>
          <w:tcPr>
            <w:tcW w:w="718" w:type="dxa"/>
            <w:tcBorders>
              <w:top w:val="nil"/>
              <w:left w:val="nil"/>
              <w:bottom w:val="nil"/>
              <w:right w:val="nil"/>
            </w:tcBorders>
            <w:shd w:val="clear" w:color="000000" w:fill="DCE182"/>
            <w:noWrap/>
            <w:vAlign w:val="center"/>
            <w:hideMark/>
          </w:tcPr>
          <w:p w14:paraId="051801BC"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16.7%</w:t>
            </w:r>
          </w:p>
        </w:tc>
      </w:tr>
      <w:tr w:rsidR="00151DC1" w:rsidRPr="00FF4E93" w14:paraId="3E8ED770" w14:textId="77777777" w:rsidTr="00C54569">
        <w:trPr>
          <w:trHeight w:val="360"/>
        </w:trPr>
        <w:tc>
          <w:tcPr>
            <w:tcW w:w="1553" w:type="dxa"/>
            <w:tcBorders>
              <w:top w:val="nil"/>
              <w:left w:val="nil"/>
              <w:bottom w:val="nil"/>
              <w:right w:val="nil"/>
            </w:tcBorders>
            <w:shd w:val="clear" w:color="auto" w:fill="auto"/>
            <w:noWrap/>
            <w:vAlign w:val="center"/>
            <w:hideMark/>
          </w:tcPr>
          <w:p w14:paraId="0234A3C9"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Freemium</w:t>
            </w:r>
          </w:p>
        </w:tc>
        <w:tc>
          <w:tcPr>
            <w:tcW w:w="850" w:type="dxa"/>
            <w:tcBorders>
              <w:top w:val="nil"/>
              <w:left w:val="nil"/>
              <w:bottom w:val="nil"/>
              <w:right w:val="nil"/>
            </w:tcBorders>
            <w:shd w:val="clear" w:color="000000" w:fill="F6E984"/>
            <w:noWrap/>
            <w:vAlign w:val="center"/>
            <w:hideMark/>
          </w:tcPr>
          <w:p w14:paraId="387C0F6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6.0%</w:t>
            </w:r>
          </w:p>
        </w:tc>
        <w:tc>
          <w:tcPr>
            <w:tcW w:w="78" w:type="dxa"/>
            <w:tcBorders>
              <w:top w:val="nil"/>
              <w:left w:val="nil"/>
              <w:bottom w:val="nil"/>
              <w:right w:val="nil"/>
            </w:tcBorders>
            <w:shd w:val="clear" w:color="auto" w:fill="auto"/>
            <w:noWrap/>
            <w:vAlign w:val="center"/>
            <w:hideMark/>
          </w:tcPr>
          <w:p w14:paraId="0A683499"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4E884"/>
            <w:noWrap/>
            <w:vAlign w:val="center"/>
            <w:hideMark/>
          </w:tcPr>
          <w:p w14:paraId="5AB688F4"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6.6%</w:t>
            </w:r>
          </w:p>
        </w:tc>
        <w:tc>
          <w:tcPr>
            <w:tcW w:w="709" w:type="dxa"/>
            <w:tcBorders>
              <w:top w:val="nil"/>
              <w:left w:val="nil"/>
              <w:bottom w:val="nil"/>
              <w:right w:val="nil"/>
            </w:tcBorders>
            <w:shd w:val="clear" w:color="000000" w:fill="F0E784"/>
            <w:noWrap/>
            <w:vAlign w:val="center"/>
            <w:hideMark/>
          </w:tcPr>
          <w:p w14:paraId="27B0DB66"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8.5%</w:t>
            </w:r>
          </w:p>
        </w:tc>
        <w:tc>
          <w:tcPr>
            <w:tcW w:w="718" w:type="dxa"/>
            <w:tcBorders>
              <w:top w:val="nil"/>
              <w:left w:val="nil"/>
              <w:bottom w:val="nil"/>
              <w:right w:val="nil"/>
            </w:tcBorders>
            <w:shd w:val="clear" w:color="000000" w:fill="FEEB84"/>
            <w:noWrap/>
            <w:vAlign w:val="center"/>
            <w:hideMark/>
          </w:tcPr>
          <w:p w14:paraId="46DD9AF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2.5%</w:t>
            </w:r>
          </w:p>
        </w:tc>
      </w:tr>
      <w:tr w:rsidR="00151DC1" w:rsidRPr="00FF4E93" w14:paraId="02232F50" w14:textId="77777777" w:rsidTr="00C54569">
        <w:trPr>
          <w:trHeight w:val="360"/>
        </w:trPr>
        <w:tc>
          <w:tcPr>
            <w:tcW w:w="1553" w:type="dxa"/>
            <w:tcBorders>
              <w:top w:val="nil"/>
              <w:left w:val="nil"/>
              <w:bottom w:val="nil"/>
              <w:right w:val="nil"/>
            </w:tcBorders>
            <w:shd w:val="clear" w:color="auto" w:fill="auto"/>
            <w:noWrap/>
            <w:vAlign w:val="center"/>
            <w:hideMark/>
          </w:tcPr>
          <w:p w14:paraId="08EBB823"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Orchestrator</w:t>
            </w:r>
          </w:p>
        </w:tc>
        <w:tc>
          <w:tcPr>
            <w:tcW w:w="850" w:type="dxa"/>
            <w:tcBorders>
              <w:top w:val="nil"/>
              <w:left w:val="nil"/>
              <w:bottom w:val="nil"/>
              <w:right w:val="nil"/>
            </w:tcBorders>
            <w:shd w:val="clear" w:color="000000" w:fill="F7E984"/>
            <w:noWrap/>
            <w:vAlign w:val="center"/>
            <w:hideMark/>
          </w:tcPr>
          <w:p w14:paraId="5603BF06"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5.3%</w:t>
            </w:r>
          </w:p>
        </w:tc>
        <w:tc>
          <w:tcPr>
            <w:tcW w:w="78" w:type="dxa"/>
            <w:tcBorders>
              <w:top w:val="nil"/>
              <w:left w:val="nil"/>
              <w:bottom w:val="nil"/>
              <w:right w:val="nil"/>
            </w:tcBorders>
            <w:shd w:val="clear" w:color="auto" w:fill="auto"/>
            <w:noWrap/>
            <w:vAlign w:val="center"/>
            <w:hideMark/>
          </w:tcPr>
          <w:p w14:paraId="68C43EBD"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4E884"/>
            <w:noWrap/>
            <w:vAlign w:val="center"/>
            <w:hideMark/>
          </w:tcPr>
          <w:p w14:paraId="4BA7D8A3"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6.9%</w:t>
            </w:r>
          </w:p>
        </w:tc>
        <w:tc>
          <w:tcPr>
            <w:tcW w:w="709" w:type="dxa"/>
            <w:tcBorders>
              <w:top w:val="nil"/>
              <w:left w:val="nil"/>
              <w:bottom w:val="nil"/>
              <w:right w:val="nil"/>
            </w:tcBorders>
            <w:shd w:val="clear" w:color="000000" w:fill="F8E984"/>
            <w:noWrap/>
            <w:vAlign w:val="center"/>
            <w:hideMark/>
          </w:tcPr>
          <w:p w14:paraId="012EC859"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5.0%</w:t>
            </w:r>
          </w:p>
        </w:tc>
        <w:tc>
          <w:tcPr>
            <w:tcW w:w="718" w:type="dxa"/>
            <w:tcBorders>
              <w:top w:val="nil"/>
              <w:left w:val="nil"/>
              <w:bottom w:val="nil"/>
              <w:right w:val="nil"/>
            </w:tcBorders>
            <w:shd w:val="clear" w:color="000000" w:fill="FDEB84"/>
            <w:noWrap/>
            <w:vAlign w:val="center"/>
            <w:hideMark/>
          </w:tcPr>
          <w:p w14:paraId="7AC8BDB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3.0%</w:t>
            </w:r>
          </w:p>
        </w:tc>
      </w:tr>
      <w:tr w:rsidR="00151DC1" w:rsidRPr="00FF4E93" w14:paraId="786597AF" w14:textId="77777777" w:rsidTr="00C54569">
        <w:trPr>
          <w:trHeight w:val="360"/>
        </w:trPr>
        <w:tc>
          <w:tcPr>
            <w:tcW w:w="1553" w:type="dxa"/>
            <w:tcBorders>
              <w:top w:val="nil"/>
              <w:left w:val="nil"/>
              <w:bottom w:val="nil"/>
              <w:right w:val="nil"/>
            </w:tcBorders>
            <w:shd w:val="clear" w:color="auto" w:fill="auto"/>
            <w:noWrap/>
            <w:vAlign w:val="center"/>
            <w:hideMark/>
          </w:tcPr>
          <w:p w14:paraId="1ADACBA2"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Pay per Use</w:t>
            </w:r>
          </w:p>
        </w:tc>
        <w:tc>
          <w:tcPr>
            <w:tcW w:w="850" w:type="dxa"/>
            <w:tcBorders>
              <w:top w:val="nil"/>
              <w:left w:val="nil"/>
              <w:bottom w:val="nil"/>
              <w:right w:val="nil"/>
            </w:tcBorders>
            <w:shd w:val="clear" w:color="000000" w:fill="F7E984"/>
            <w:noWrap/>
            <w:vAlign w:val="center"/>
            <w:hideMark/>
          </w:tcPr>
          <w:p w14:paraId="56C2C8D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5.3%</w:t>
            </w:r>
          </w:p>
        </w:tc>
        <w:tc>
          <w:tcPr>
            <w:tcW w:w="78" w:type="dxa"/>
            <w:tcBorders>
              <w:top w:val="nil"/>
              <w:left w:val="nil"/>
              <w:bottom w:val="nil"/>
              <w:right w:val="nil"/>
            </w:tcBorders>
            <w:shd w:val="clear" w:color="auto" w:fill="auto"/>
            <w:noWrap/>
            <w:vAlign w:val="center"/>
            <w:hideMark/>
          </w:tcPr>
          <w:p w14:paraId="099FB96C"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E984"/>
            <w:noWrap/>
            <w:vAlign w:val="center"/>
            <w:hideMark/>
          </w:tcPr>
          <w:p w14:paraId="4F992B7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5.1%</w:t>
            </w:r>
          </w:p>
        </w:tc>
        <w:tc>
          <w:tcPr>
            <w:tcW w:w="709" w:type="dxa"/>
            <w:tcBorders>
              <w:top w:val="nil"/>
              <w:left w:val="nil"/>
              <w:bottom w:val="nil"/>
              <w:right w:val="nil"/>
            </w:tcBorders>
            <w:shd w:val="clear" w:color="000000" w:fill="FEEB84"/>
            <w:noWrap/>
            <w:vAlign w:val="center"/>
            <w:hideMark/>
          </w:tcPr>
          <w:p w14:paraId="422650A6"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2.5%</w:t>
            </w:r>
          </w:p>
        </w:tc>
        <w:tc>
          <w:tcPr>
            <w:tcW w:w="718" w:type="dxa"/>
            <w:tcBorders>
              <w:top w:val="nil"/>
              <w:left w:val="nil"/>
              <w:bottom w:val="nil"/>
              <w:right w:val="nil"/>
            </w:tcBorders>
            <w:shd w:val="clear" w:color="000000" w:fill="EFE784"/>
            <w:noWrap/>
            <w:vAlign w:val="center"/>
            <w:hideMark/>
          </w:tcPr>
          <w:p w14:paraId="52F0BBE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8.6%</w:t>
            </w:r>
          </w:p>
        </w:tc>
      </w:tr>
      <w:tr w:rsidR="00151DC1" w:rsidRPr="00FF4E93" w14:paraId="414CBA54" w14:textId="77777777" w:rsidTr="00C54569">
        <w:trPr>
          <w:trHeight w:val="360"/>
        </w:trPr>
        <w:tc>
          <w:tcPr>
            <w:tcW w:w="1553" w:type="dxa"/>
            <w:tcBorders>
              <w:top w:val="nil"/>
              <w:left w:val="nil"/>
              <w:bottom w:val="nil"/>
              <w:right w:val="nil"/>
            </w:tcBorders>
            <w:shd w:val="clear" w:color="auto" w:fill="auto"/>
            <w:noWrap/>
            <w:vAlign w:val="center"/>
            <w:hideMark/>
          </w:tcPr>
          <w:p w14:paraId="6C78FDB2"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License</w:t>
            </w:r>
          </w:p>
        </w:tc>
        <w:tc>
          <w:tcPr>
            <w:tcW w:w="850" w:type="dxa"/>
            <w:tcBorders>
              <w:top w:val="nil"/>
              <w:left w:val="nil"/>
              <w:bottom w:val="nil"/>
              <w:right w:val="nil"/>
            </w:tcBorders>
            <w:shd w:val="clear" w:color="000000" w:fill="F9EA84"/>
            <w:noWrap/>
            <w:vAlign w:val="center"/>
            <w:hideMark/>
          </w:tcPr>
          <w:p w14:paraId="78A98FD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4.8%</w:t>
            </w:r>
          </w:p>
        </w:tc>
        <w:tc>
          <w:tcPr>
            <w:tcW w:w="78" w:type="dxa"/>
            <w:tcBorders>
              <w:top w:val="nil"/>
              <w:left w:val="nil"/>
              <w:bottom w:val="nil"/>
              <w:right w:val="nil"/>
            </w:tcBorders>
            <w:shd w:val="clear" w:color="auto" w:fill="auto"/>
            <w:noWrap/>
            <w:vAlign w:val="center"/>
            <w:hideMark/>
          </w:tcPr>
          <w:p w14:paraId="1C0141BE"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BEA84"/>
            <w:noWrap/>
            <w:vAlign w:val="center"/>
            <w:hideMark/>
          </w:tcPr>
          <w:p w14:paraId="7743E6D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3.9%</w:t>
            </w:r>
          </w:p>
        </w:tc>
        <w:tc>
          <w:tcPr>
            <w:tcW w:w="709" w:type="dxa"/>
            <w:tcBorders>
              <w:top w:val="nil"/>
              <w:left w:val="nil"/>
              <w:bottom w:val="nil"/>
              <w:right w:val="nil"/>
            </w:tcBorders>
            <w:shd w:val="clear" w:color="000000" w:fill="F1E784"/>
            <w:noWrap/>
            <w:vAlign w:val="center"/>
            <w:hideMark/>
          </w:tcPr>
          <w:p w14:paraId="02FCD27B"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8.0%</w:t>
            </w:r>
          </w:p>
        </w:tc>
        <w:tc>
          <w:tcPr>
            <w:tcW w:w="718" w:type="dxa"/>
            <w:tcBorders>
              <w:top w:val="nil"/>
              <w:left w:val="nil"/>
              <w:bottom w:val="nil"/>
              <w:right w:val="nil"/>
            </w:tcBorders>
            <w:shd w:val="clear" w:color="000000" w:fill="FDEB84"/>
            <w:noWrap/>
            <w:vAlign w:val="center"/>
            <w:hideMark/>
          </w:tcPr>
          <w:p w14:paraId="382367A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3.0%</w:t>
            </w:r>
          </w:p>
        </w:tc>
      </w:tr>
      <w:tr w:rsidR="00151DC1" w:rsidRPr="00FF4E93" w14:paraId="14F1F5C3" w14:textId="77777777" w:rsidTr="00C54569">
        <w:trPr>
          <w:trHeight w:val="360"/>
        </w:trPr>
        <w:tc>
          <w:tcPr>
            <w:tcW w:w="1553" w:type="dxa"/>
            <w:tcBorders>
              <w:top w:val="nil"/>
              <w:left w:val="nil"/>
              <w:bottom w:val="nil"/>
              <w:right w:val="nil"/>
            </w:tcBorders>
            <w:shd w:val="clear" w:color="auto" w:fill="auto"/>
            <w:noWrap/>
            <w:vAlign w:val="center"/>
            <w:hideMark/>
          </w:tcPr>
          <w:p w14:paraId="379503A1"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Experience Selling</w:t>
            </w:r>
          </w:p>
        </w:tc>
        <w:tc>
          <w:tcPr>
            <w:tcW w:w="850" w:type="dxa"/>
            <w:tcBorders>
              <w:top w:val="nil"/>
              <w:left w:val="nil"/>
              <w:bottom w:val="nil"/>
              <w:right w:val="nil"/>
            </w:tcBorders>
            <w:shd w:val="clear" w:color="000000" w:fill="FAEA84"/>
            <w:noWrap/>
            <w:vAlign w:val="center"/>
            <w:hideMark/>
          </w:tcPr>
          <w:p w14:paraId="6AB90C8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4.2%</w:t>
            </w:r>
          </w:p>
        </w:tc>
        <w:tc>
          <w:tcPr>
            <w:tcW w:w="78" w:type="dxa"/>
            <w:tcBorders>
              <w:top w:val="nil"/>
              <w:left w:val="nil"/>
              <w:bottom w:val="nil"/>
              <w:right w:val="nil"/>
            </w:tcBorders>
            <w:shd w:val="clear" w:color="auto" w:fill="auto"/>
            <w:noWrap/>
            <w:vAlign w:val="center"/>
            <w:hideMark/>
          </w:tcPr>
          <w:p w14:paraId="58229D77"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696B"/>
            <w:noWrap/>
            <w:vAlign w:val="center"/>
            <w:hideMark/>
          </w:tcPr>
          <w:p w14:paraId="42FFB2D3"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nil"/>
              <w:right w:val="nil"/>
            </w:tcBorders>
            <w:shd w:val="clear" w:color="000000" w:fill="F0E784"/>
            <w:noWrap/>
            <w:vAlign w:val="center"/>
            <w:hideMark/>
          </w:tcPr>
          <w:p w14:paraId="667C2543"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8.5%</w:t>
            </w:r>
          </w:p>
        </w:tc>
        <w:tc>
          <w:tcPr>
            <w:tcW w:w="718" w:type="dxa"/>
            <w:tcBorders>
              <w:top w:val="nil"/>
              <w:left w:val="nil"/>
              <w:bottom w:val="nil"/>
              <w:right w:val="nil"/>
            </w:tcBorders>
            <w:shd w:val="clear" w:color="000000" w:fill="F3E884"/>
            <w:noWrap/>
            <w:vAlign w:val="center"/>
            <w:hideMark/>
          </w:tcPr>
          <w:p w14:paraId="43AE68A9"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7.1%</w:t>
            </w:r>
          </w:p>
        </w:tc>
      </w:tr>
      <w:tr w:rsidR="00151DC1" w:rsidRPr="00FF4E93" w14:paraId="03E489CB" w14:textId="77777777" w:rsidTr="00C54569">
        <w:trPr>
          <w:trHeight w:val="360"/>
        </w:trPr>
        <w:tc>
          <w:tcPr>
            <w:tcW w:w="1553" w:type="dxa"/>
            <w:tcBorders>
              <w:top w:val="nil"/>
              <w:left w:val="nil"/>
              <w:bottom w:val="nil"/>
              <w:right w:val="nil"/>
            </w:tcBorders>
            <w:shd w:val="clear" w:color="auto" w:fill="auto"/>
            <w:noWrap/>
            <w:vAlign w:val="center"/>
            <w:hideMark/>
          </w:tcPr>
          <w:p w14:paraId="216DEF91"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Revenue Sharing</w:t>
            </w:r>
          </w:p>
        </w:tc>
        <w:tc>
          <w:tcPr>
            <w:tcW w:w="850" w:type="dxa"/>
            <w:tcBorders>
              <w:top w:val="nil"/>
              <w:left w:val="nil"/>
              <w:bottom w:val="nil"/>
              <w:right w:val="nil"/>
            </w:tcBorders>
            <w:shd w:val="clear" w:color="000000" w:fill="FBEA84"/>
            <w:noWrap/>
            <w:vAlign w:val="center"/>
            <w:hideMark/>
          </w:tcPr>
          <w:p w14:paraId="118C4A39"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3.7%</w:t>
            </w:r>
          </w:p>
        </w:tc>
        <w:tc>
          <w:tcPr>
            <w:tcW w:w="78" w:type="dxa"/>
            <w:tcBorders>
              <w:top w:val="nil"/>
              <w:left w:val="nil"/>
              <w:bottom w:val="nil"/>
              <w:right w:val="nil"/>
            </w:tcBorders>
            <w:shd w:val="clear" w:color="auto" w:fill="auto"/>
            <w:noWrap/>
            <w:vAlign w:val="center"/>
            <w:hideMark/>
          </w:tcPr>
          <w:p w14:paraId="4E081731"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EEB84"/>
            <w:noWrap/>
            <w:vAlign w:val="center"/>
            <w:hideMark/>
          </w:tcPr>
          <w:p w14:paraId="276E8C44"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2.7%</w:t>
            </w:r>
          </w:p>
        </w:tc>
        <w:tc>
          <w:tcPr>
            <w:tcW w:w="709" w:type="dxa"/>
            <w:tcBorders>
              <w:top w:val="nil"/>
              <w:left w:val="nil"/>
              <w:bottom w:val="nil"/>
              <w:right w:val="nil"/>
            </w:tcBorders>
            <w:shd w:val="clear" w:color="000000" w:fill="F5E884"/>
            <w:noWrap/>
            <w:vAlign w:val="center"/>
            <w:hideMark/>
          </w:tcPr>
          <w:p w14:paraId="5707E1E5"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6.5%</w:t>
            </w:r>
          </w:p>
        </w:tc>
        <w:tc>
          <w:tcPr>
            <w:tcW w:w="718" w:type="dxa"/>
            <w:tcBorders>
              <w:top w:val="nil"/>
              <w:left w:val="nil"/>
              <w:bottom w:val="nil"/>
              <w:right w:val="nil"/>
            </w:tcBorders>
            <w:shd w:val="clear" w:color="000000" w:fill="FEEB84"/>
            <w:noWrap/>
            <w:vAlign w:val="center"/>
            <w:hideMark/>
          </w:tcPr>
          <w:p w14:paraId="6471FC2F"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2.5%</w:t>
            </w:r>
          </w:p>
        </w:tc>
      </w:tr>
      <w:tr w:rsidR="00151DC1" w:rsidRPr="00FF4E93" w14:paraId="787AC070" w14:textId="77777777" w:rsidTr="00C54569">
        <w:trPr>
          <w:trHeight w:val="360"/>
        </w:trPr>
        <w:tc>
          <w:tcPr>
            <w:tcW w:w="1553" w:type="dxa"/>
            <w:tcBorders>
              <w:top w:val="nil"/>
              <w:left w:val="nil"/>
              <w:bottom w:val="nil"/>
              <w:right w:val="nil"/>
            </w:tcBorders>
            <w:shd w:val="clear" w:color="auto" w:fill="auto"/>
            <w:noWrap/>
            <w:vAlign w:val="center"/>
            <w:hideMark/>
          </w:tcPr>
          <w:p w14:paraId="7186E7BE"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No Frills</w:t>
            </w:r>
          </w:p>
        </w:tc>
        <w:tc>
          <w:tcPr>
            <w:tcW w:w="850" w:type="dxa"/>
            <w:tcBorders>
              <w:top w:val="nil"/>
              <w:left w:val="nil"/>
              <w:bottom w:val="nil"/>
              <w:right w:val="nil"/>
            </w:tcBorders>
            <w:shd w:val="clear" w:color="000000" w:fill="FCEA84"/>
            <w:noWrap/>
            <w:vAlign w:val="center"/>
            <w:hideMark/>
          </w:tcPr>
          <w:p w14:paraId="5F754A4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3.6%</w:t>
            </w:r>
          </w:p>
        </w:tc>
        <w:tc>
          <w:tcPr>
            <w:tcW w:w="78" w:type="dxa"/>
            <w:tcBorders>
              <w:top w:val="nil"/>
              <w:left w:val="nil"/>
              <w:bottom w:val="nil"/>
              <w:right w:val="nil"/>
            </w:tcBorders>
            <w:shd w:val="clear" w:color="auto" w:fill="auto"/>
            <w:noWrap/>
            <w:vAlign w:val="center"/>
            <w:hideMark/>
          </w:tcPr>
          <w:p w14:paraId="31B04391"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696B"/>
            <w:noWrap/>
            <w:vAlign w:val="center"/>
            <w:hideMark/>
          </w:tcPr>
          <w:p w14:paraId="521CD21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nil"/>
              <w:right w:val="nil"/>
            </w:tcBorders>
            <w:shd w:val="clear" w:color="000000" w:fill="F9EA84"/>
            <w:noWrap/>
            <w:vAlign w:val="center"/>
            <w:hideMark/>
          </w:tcPr>
          <w:p w14:paraId="36B5847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4.5%</w:t>
            </w:r>
          </w:p>
        </w:tc>
        <w:tc>
          <w:tcPr>
            <w:tcW w:w="718" w:type="dxa"/>
            <w:tcBorders>
              <w:top w:val="nil"/>
              <w:left w:val="nil"/>
              <w:bottom w:val="nil"/>
              <w:right w:val="nil"/>
            </w:tcBorders>
            <w:shd w:val="clear" w:color="000000" w:fill="EFE784"/>
            <w:noWrap/>
            <w:vAlign w:val="center"/>
            <w:hideMark/>
          </w:tcPr>
          <w:p w14:paraId="6CA7B294"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8.6%</w:t>
            </w:r>
          </w:p>
        </w:tc>
      </w:tr>
      <w:tr w:rsidR="00151DC1" w:rsidRPr="00FF4E93" w14:paraId="0AF015B3" w14:textId="77777777" w:rsidTr="00C54569">
        <w:trPr>
          <w:trHeight w:val="360"/>
        </w:trPr>
        <w:tc>
          <w:tcPr>
            <w:tcW w:w="1553" w:type="dxa"/>
            <w:tcBorders>
              <w:top w:val="nil"/>
              <w:left w:val="nil"/>
              <w:bottom w:val="nil"/>
              <w:right w:val="nil"/>
            </w:tcBorders>
            <w:shd w:val="clear" w:color="auto" w:fill="auto"/>
            <w:noWrap/>
            <w:vAlign w:val="center"/>
            <w:hideMark/>
          </w:tcPr>
          <w:p w14:paraId="18357F74" w14:textId="77777777" w:rsidR="00151DC1" w:rsidRPr="00FF4E93" w:rsidRDefault="00151DC1" w:rsidP="00151DC1">
            <w:pPr>
              <w:spacing w:before="0" w:after="0" w:line="240" w:lineRule="auto"/>
              <w:jc w:val="left"/>
              <w:rPr>
                <w:rFonts w:eastAsia="Times New Roman"/>
                <w:color w:val="000000"/>
                <w:sz w:val="20"/>
                <w:szCs w:val="20"/>
              </w:rPr>
            </w:pPr>
            <w:proofErr w:type="spellStart"/>
            <w:r w:rsidRPr="00FF4E93">
              <w:rPr>
                <w:rFonts w:eastAsia="Times New Roman"/>
                <w:bCs/>
                <w:color w:val="000000"/>
                <w:sz w:val="20"/>
                <w:szCs w:val="20"/>
              </w:rPr>
              <w:t>Whitelabel</w:t>
            </w:r>
            <w:proofErr w:type="spellEnd"/>
          </w:p>
        </w:tc>
        <w:tc>
          <w:tcPr>
            <w:tcW w:w="850" w:type="dxa"/>
            <w:tcBorders>
              <w:top w:val="nil"/>
              <w:left w:val="nil"/>
              <w:bottom w:val="nil"/>
              <w:right w:val="nil"/>
            </w:tcBorders>
            <w:shd w:val="clear" w:color="000000" w:fill="FCEB84"/>
            <w:noWrap/>
            <w:vAlign w:val="center"/>
            <w:hideMark/>
          </w:tcPr>
          <w:p w14:paraId="576734D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3.3%</w:t>
            </w:r>
          </w:p>
        </w:tc>
        <w:tc>
          <w:tcPr>
            <w:tcW w:w="78" w:type="dxa"/>
            <w:tcBorders>
              <w:top w:val="nil"/>
              <w:left w:val="nil"/>
              <w:bottom w:val="nil"/>
              <w:right w:val="nil"/>
            </w:tcBorders>
            <w:shd w:val="clear" w:color="auto" w:fill="auto"/>
            <w:noWrap/>
            <w:vAlign w:val="center"/>
            <w:hideMark/>
          </w:tcPr>
          <w:p w14:paraId="2D641D8A"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CB679"/>
            <w:noWrap/>
            <w:vAlign w:val="center"/>
            <w:hideMark/>
          </w:tcPr>
          <w:p w14:paraId="74CDF864"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1.2%</w:t>
            </w:r>
          </w:p>
        </w:tc>
        <w:tc>
          <w:tcPr>
            <w:tcW w:w="709" w:type="dxa"/>
            <w:tcBorders>
              <w:top w:val="nil"/>
              <w:left w:val="nil"/>
              <w:bottom w:val="nil"/>
              <w:right w:val="nil"/>
            </w:tcBorders>
            <w:shd w:val="clear" w:color="000000" w:fill="EEE784"/>
            <w:noWrap/>
            <w:vAlign w:val="center"/>
            <w:hideMark/>
          </w:tcPr>
          <w:p w14:paraId="1CBF1C8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9.0%</w:t>
            </w:r>
          </w:p>
        </w:tc>
        <w:tc>
          <w:tcPr>
            <w:tcW w:w="718" w:type="dxa"/>
            <w:tcBorders>
              <w:top w:val="nil"/>
              <w:left w:val="nil"/>
              <w:bottom w:val="nil"/>
              <w:right w:val="nil"/>
            </w:tcBorders>
            <w:shd w:val="clear" w:color="000000" w:fill="FBAA77"/>
            <w:noWrap/>
            <w:vAlign w:val="center"/>
            <w:hideMark/>
          </w:tcPr>
          <w:p w14:paraId="6AB70963"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1.0%</w:t>
            </w:r>
          </w:p>
        </w:tc>
      </w:tr>
      <w:tr w:rsidR="00151DC1" w:rsidRPr="00FF4E93" w14:paraId="690C5D8B" w14:textId="77777777" w:rsidTr="00C54569">
        <w:trPr>
          <w:trHeight w:val="360"/>
        </w:trPr>
        <w:tc>
          <w:tcPr>
            <w:tcW w:w="1553" w:type="dxa"/>
            <w:tcBorders>
              <w:top w:val="nil"/>
              <w:left w:val="nil"/>
              <w:bottom w:val="nil"/>
              <w:right w:val="nil"/>
            </w:tcBorders>
            <w:shd w:val="clear" w:color="auto" w:fill="auto"/>
            <w:noWrap/>
            <w:vAlign w:val="center"/>
            <w:hideMark/>
          </w:tcPr>
          <w:p w14:paraId="377D3BBC"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Add-On</w:t>
            </w:r>
          </w:p>
        </w:tc>
        <w:tc>
          <w:tcPr>
            <w:tcW w:w="850" w:type="dxa"/>
            <w:tcBorders>
              <w:top w:val="nil"/>
              <w:left w:val="nil"/>
              <w:bottom w:val="nil"/>
              <w:right w:val="nil"/>
            </w:tcBorders>
            <w:shd w:val="clear" w:color="000000" w:fill="FDEB84"/>
            <w:noWrap/>
            <w:vAlign w:val="center"/>
            <w:hideMark/>
          </w:tcPr>
          <w:p w14:paraId="5A696E9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3.2%</w:t>
            </w:r>
          </w:p>
        </w:tc>
        <w:tc>
          <w:tcPr>
            <w:tcW w:w="78" w:type="dxa"/>
            <w:tcBorders>
              <w:top w:val="nil"/>
              <w:left w:val="nil"/>
              <w:bottom w:val="nil"/>
              <w:right w:val="nil"/>
            </w:tcBorders>
            <w:shd w:val="clear" w:color="auto" w:fill="auto"/>
            <w:noWrap/>
            <w:vAlign w:val="center"/>
            <w:hideMark/>
          </w:tcPr>
          <w:p w14:paraId="19C57CA4"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BA276"/>
            <w:noWrap/>
            <w:vAlign w:val="center"/>
            <w:hideMark/>
          </w:tcPr>
          <w:p w14:paraId="484B5FD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0.9%</w:t>
            </w:r>
          </w:p>
        </w:tc>
        <w:tc>
          <w:tcPr>
            <w:tcW w:w="709" w:type="dxa"/>
            <w:tcBorders>
              <w:top w:val="nil"/>
              <w:left w:val="nil"/>
              <w:bottom w:val="nil"/>
              <w:right w:val="nil"/>
            </w:tcBorders>
            <w:shd w:val="clear" w:color="000000" w:fill="FDEB84"/>
            <w:noWrap/>
            <w:vAlign w:val="center"/>
            <w:hideMark/>
          </w:tcPr>
          <w:p w14:paraId="0EA99BA5"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3.0%</w:t>
            </w:r>
          </w:p>
        </w:tc>
        <w:tc>
          <w:tcPr>
            <w:tcW w:w="718" w:type="dxa"/>
            <w:tcBorders>
              <w:top w:val="nil"/>
              <w:left w:val="nil"/>
              <w:bottom w:val="nil"/>
              <w:right w:val="nil"/>
            </w:tcBorders>
            <w:shd w:val="clear" w:color="000000" w:fill="F3E884"/>
            <w:noWrap/>
            <w:vAlign w:val="center"/>
            <w:hideMark/>
          </w:tcPr>
          <w:p w14:paraId="1BC4D42C"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7.1%</w:t>
            </w:r>
          </w:p>
        </w:tc>
      </w:tr>
      <w:tr w:rsidR="00151DC1" w:rsidRPr="00FF4E93" w14:paraId="73446363" w14:textId="77777777" w:rsidTr="00C54569">
        <w:trPr>
          <w:trHeight w:val="360"/>
        </w:trPr>
        <w:tc>
          <w:tcPr>
            <w:tcW w:w="1553" w:type="dxa"/>
            <w:tcBorders>
              <w:top w:val="nil"/>
              <w:left w:val="nil"/>
              <w:bottom w:val="nil"/>
              <w:right w:val="nil"/>
            </w:tcBorders>
            <w:shd w:val="clear" w:color="auto" w:fill="auto"/>
            <w:noWrap/>
            <w:vAlign w:val="center"/>
            <w:hideMark/>
          </w:tcPr>
          <w:p w14:paraId="1A6D9B3A" w14:textId="77777777" w:rsidR="00151DC1" w:rsidRPr="00FF4E93" w:rsidRDefault="00151DC1" w:rsidP="00151DC1">
            <w:pPr>
              <w:spacing w:before="0" w:after="0" w:line="240" w:lineRule="auto"/>
              <w:jc w:val="left"/>
              <w:rPr>
                <w:rFonts w:eastAsia="Times New Roman"/>
                <w:color w:val="212121"/>
                <w:sz w:val="20"/>
                <w:szCs w:val="20"/>
              </w:rPr>
            </w:pPr>
            <w:r w:rsidRPr="00FF4E93">
              <w:rPr>
                <w:rFonts w:eastAsia="Times New Roman"/>
                <w:color w:val="212121"/>
                <w:sz w:val="20"/>
                <w:szCs w:val="20"/>
              </w:rPr>
              <w:t>From Push-to-Pull</w:t>
            </w:r>
          </w:p>
        </w:tc>
        <w:tc>
          <w:tcPr>
            <w:tcW w:w="850" w:type="dxa"/>
            <w:tcBorders>
              <w:top w:val="nil"/>
              <w:left w:val="nil"/>
              <w:bottom w:val="nil"/>
              <w:right w:val="nil"/>
            </w:tcBorders>
            <w:shd w:val="clear" w:color="000000" w:fill="FDEB84"/>
            <w:noWrap/>
            <w:vAlign w:val="center"/>
            <w:hideMark/>
          </w:tcPr>
          <w:p w14:paraId="79E8D1F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3.0%</w:t>
            </w:r>
          </w:p>
        </w:tc>
        <w:tc>
          <w:tcPr>
            <w:tcW w:w="78" w:type="dxa"/>
            <w:tcBorders>
              <w:top w:val="nil"/>
              <w:left w:val="nil"/>
              <w:bottom w:val="nil"/>
              <w:right w:val="nil"/>
            </w:tcBorders>
            <w:shd w:val="clear" w:color="auto" w:fill="auto"/>
            <w:noWrap/>
            <w:vAlign w:val="center"/>
            <w:hideMark/>
          </w:tcPr>
          <w:p w14:paraId="73CBDF06"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97C6E"/>
            <w:noWrap/>
            <w:vAlign w:val="center"/>
            <w:hideMark/>
          </w:tcPr>
          <w:p w14:paraId="6F37D16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0.3%</w:t>
            </w:r>
          </w:p>
        </w:tc>
        <w:tc>
          <w:tcPr>
            <w:tcW w:w="709" w:type="dxa"/>
            <w:tcBorders>
              <w:top w:val="nil"/>
              <w:left w:val="nil"/>
              <w:bottom w:val="nil"/>
              <w:right w:val="nil"/>
            </w:tcBorders>
            <w:shd w:val="clear" w:color="000000" w:fill="FBA977"/>
            <w:noWrap/>
            <w:vAlign w:val="center"/>
            <w:hideMark/>
          </w:tcPr>
          <w:p w14:paraId="4B694FBB"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1.0%</w:t>
            </w:r>
          </w:p>
        </w:tc>
        <w:tc>
          <w:tcPr>
            <w:tcW w:w="718" w:type="dxa"/>
            <w:tcBorders>
              <w:top w:val="nil"/>
              <w:left w:val="nil"/>
              <w:bottom w:val="nil"/>
              <w:right w:val="nil"/>
            </w:tcBorders>
            <w:shd w:val="clear" w:color="000000" w:fill="EDE683"/>
            <w:noWrap/>
            <w:vAlign w:val="center"/>
            <w:hideMark/>
          </w:tcPr>
          <w:p w14:paraId="2224A7C1"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9.6%</w:t>
            </w:r>
          </w:p>
        </w:tc>
      </w:tr>
      <w:tr w:rsidR="00151DC1" w:rsidRPr="00FF4E93" w14:paraId="31BF7CFD" w14:textId="77777777" w:rsidTr="00C54569">
        <w:trPr>
          <w:trHeight w:val="360"/>
        </w:trPr>
        <w:tc>
          <w:tcPr>
            <w:tcW w:w="1553" w:type="dxa"/>
            <w:tcBorders>
              <w:top w:val="nil"/>
              <w:left w:val="nil"/>
              <w:bottom w:val="nil"/>
              <w:right w:val="nil"/>
            </w:tcBorders>
            <w:shd w:val="clear" w:color="auto" w:fill="auto"/>
            <w:noWrap/>
            <w:vAlign w:val="center"/>
            <w:hideMark/>
          </w:tcPr>
          <w:p w14:paraId="21A5C9B9"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Guaranteed Availability</w:t>
            </w:r>
          </w:p>
        </w:tc>
        <w:tc>
          <w:tcPr>
            <w:tcW w:w="850" w:type="dxa"/>
            <w:tcBorders>
              <w:top w:val="nil"/>
              <w:left w:val="nil"/>
              <w:bottom w:val="nil"/>
              <w:right w:val="nil"/>
            </w:tcBorders>
            <w:shd w:val="clear" w:color="000000" w:fill="FDEB84"/>
            <w:noWrap/>
            <w:vAlign w:val="center"/>
            <w:hideMark/>
          </w:tcPr>
          <w:p w14:paraId="7038825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3.0%</w:t>
            </w:r>
          </w:p>
        </w:tc>
        <w:tc>
          <w:tcPr>
            <w:tcW w:w="78" w:type="dxa"/>
            <w:tcBorders>
              <w:top w:val="nil"/>
              <w:left w:val="nil"/>
              <w:bottom w:val="nil"/>
              <w:right w:val="nil"/>
            </w:tcBorders>
            <w:shd w:val="clear" w:color="auto" w:fill="auto"/>
            <w:noWrap/>
            <w:vAlign w:val="center"/>
            <w:hideMark/>
          </w:tcPr>
          <w:p w14:paraId="42EC3B89"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CEA84"/>
            <w:noWrap/>
            <w:vAlign w:val="center"/>
            <w:hideMark/>
          </w:tcPr>
          <w:p w14:paraId="7BB4D60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3.6%</w:t>
            </w:r>
          </w:p>
        </w:tc>
        <w:tc>
          <w:tcPr>
            <w:tcW w:w="709" w:type="dxa"/>
            <w:tcBorders>
              <w:top w:val="nil"/>
              <w:left w:val="nil"/>
              <w:bottom w:val="nil"/>
              <w:right w:val="nil"/>
            </w:tcBorders>
            <w:shd w:val="clear" w:color="000000" w:fill="F98971"/>
            <w:noWrap/>
            <w:vAlign w:val="center"/>
            <w:hideMark/>
          </w:tcPr>
          <w:p w14:paraId="6382B90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0.5%</w:t>
            </w:r>
          </w:p>
        </w:tc>
        <w:tc>
          <w:tcPr>
            <w:tcW w:w="718" w:type="dxa"/>
            <w:tcBorders>
              <w:top w:val="nil"/>
              <w:left w:val="nil"/>
              <w:bottom w:val="nil"/>
              <w:right w:val="nil"/>
            </w:tcBorders>
            <w:shd w:val="clear" w:color="000000" w:fill="F9EA84"/>
            <w:noWrap/>
            <w:vAlign w:val="center"/>
            <w:hideMark/>
          </w:tcPr>
          <w:p w14:paraId="29014BA3"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4.6%</w:t>
            </w:r>
          </w:p>
        </w:tc>
      </w:tr>
      <w:tr w:rsidR="00151DC1" w:rsidRPr="00FF4E93" w14:paraId="56E8130F" w14:textId="77777777" w:rsidTr="00C54569">
        <w:trPr>
          <w:trHeight w:val="360"/>
        </w:trPr>
        <w:tc>
          <w:tcPr>
            <w:tcW w:w="1553" w:type="dxa"/>
            <w:tcBorders>
              <w:top w:val="nil"/>
              <w:left w:val="nil"/>
              <w:bottom w:val="nil"/>
              <w:right w:val="nil"/>
            </w:tcBorders>
            <w:shd w:val="clear" w:color="auto" w:fill="auto"/>
            <w:noWrap/>
            <w:vAlign w:val="center"/>
            <w:hideMark/>
          </w:tcPr>
          <w:p w14:paraId="1A2AC869"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Open Source</w:t>
            </w:r>
          </w:p>
        </w:tc>
        <w:tc>
          <w:tcPr>
            <w:tcW w:w="850" w:type="dxa"/>
            <w:tcBorders>
              <w:top w:val="nil"/>
              <w:left w:val="nil"/>
              <w:bottom w:val="nil"/>
              <w:right w:val="nil"/>
            </w:tcBorders>
            <w:shd w:val="clear" w:color="000000" w:fill="FDEB84"/>
            <w:noWrap/>
            <w:vAlign w:val="center"/>
            <w:hideMark/>
          </w:tcPr>
          <w:p w14:paraId="7657171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3.0%</w:t>
            </w:r>
          </w:p>
        </w:tc>
        <w:tc>
          <w:tcPr>
            <w:tcW w:w="78" w:type="dxa"/>
            <w:tcBorders>
              <w:top w:val="nil"/>
              <w:left w:val="nil"/>
              <w:bottom w:val="nil"/>
              <w:right w:val="nil"/>
            </w:tcBorders>
            <w:shd w:val="clear" w:color="auto" w:fill="auto"/>
            <w:noWrap/>
            <w:vAlign w:val="center"/>
            <w:hideMark/>
          </w:tcPr>
          <w:p w14:paraId="061DE158"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CEA84"/>
            <w:noWrap/>
            <w:vAlign w:val="center"/>
            <w:hideMark/>
          </w:tcPr>
          <w:p w14:paraId="435A968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3.6%</w:t>
            </w:r>
          </w:p>
        </w:tc>
        <w:tc>
          <w:tcPr>
            <w:tcW w:w="709" w:type="dxa"/>
            <w:tcBorders>
              <w:top w:val="nil"/>
              <w:left w:val="nil"/>
              <w:bottom w:val="nil"/>
              <w:right w:val="nil"/>
            </w:tcBorders>
            <w:shd w:val="clear" w:color="000000" w:fill="FDEB84"/>
            <w:noWrap/>
            <w:vAlign w:val="center"/>
            <w:hideMark/>
          </w:tcPr>
          <w:p w14:paraId="054E9829"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3.0%</w:t>
            </w:r>
          </w:p>
        </w:tc>
        <w:tc>
          <w:tcPr>
            <w:tcW w:w="718" w:type="dxa"/>
            <w:tcBorders>
              <w:top w:val="nil"/>
              <w:left w:val="nil"/>
              <w:bottom w:val="nil"/>
              <w:right w:val="nil"/>
            </w:tcBorders>
            <w:shd w:val="clear" w:color="000000" w:fill="FFEB84"/>
            <w:noWrap/>
            <w:vAlign w:val="center"/>
            <w:hideMark/>
          </w:tcPr>
          <w:p w14:paraId="333016D1"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2.0%</w:t>
            </w:r>
          </w:p>
        </w:tc>
      </w:tr>
      <w:tr w:rsidR="00151DC1" w:rsidRPr="00FF4E93" w14:paraId="119DBAFD" w14:textId="77777777" w:rsidTr="00C54569">
        <w:trPr>
          <w:trHeight w:val="360"/>
        </w:trPr>
        <w:tc>
          <w:tcPr>
            <w:tcW w:w="1553" w:type="dxa"/>
            <w:tcBorders>
              <w:top w:val="nil"/>
              <w:left w:val="nil"/>
              <w:bottom w:val="nil"/>
              <w:right w:val="nil"/>
            </w:tcBorders>
            <w:shd w:val="clear" w:color="auto" w:fill="auto"/>
            <w:noWrap/>
            <w:vAlign w:val="center"/>
            <w:hideMark/>
          </w:tcPr>
          <w:p w14:paraId="20301D10"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Target the Poor</w:t>
            </w:r>
          </w:p>
        </w:tc>
        <w:tc>
          <w:tcPr>
            <w:tcW w:w="850" w:type="dxa"/>
            <w:tcBorders>
              <w:top w:val="nil"/>
              <w:left w:val="nil"/>
              <w:bottom w:val="nil"/>
              <w:right w:val="nil"/>
            </w:tcBorders>
            <w:shd w:val="clear" w:color="000000" w:fill="FDEB84"/>
            <w:noWrap/>
            <w:vAlign w:val="center"/>
            <w:hideMark/>
          </w:tcPr>
          <w:p w14:paraId="70D7B6E4"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2.9%</w:t>
            </w:r>
          </w:p>
        </w:tc>
        <w:tc>
          <w:tcPr>
            <w:tcW w:w="78" w:type="dxa"/>
            <w:tcBorders>
              <w:top w:val="nil"/>
              <w:left w:val="nil"/>
              <w:bottom w:val="nil"/>
              <w:right w:val="nil"/>
            </w:tcBorders>
            <w:shd w:val="clear" w:color="auto" w:fill="auto"/>
            <w:noWrap/>
            <w:vAlign w:val="center"/>
            <w:hideMark/>
          </w:tcPr>
          <w:p w14:paraId="1E903EFE"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CEA84"/>
            <w:noWrap/>
            <w:vAlign w:val="center"/>
            <w:hideMark/>
          </w:tcPr>
          <w:p w14:paraId="1ECD5AFC"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3.6%</w:t>
            </w:r>
          </w:p>
        </w:tc>
        <w:tc>
          <w:tcPr>
            <w:tcW w:w="709" w:type="dxa"/>
            <w:tcBorders>
              <w:top w:val="nil"/>
              <w:left w:val="nil"/>
              <w:bottom w:val="nil"/>
              <w:right w:val="nil"/>
            </w:tcBorders>
            <w:shd w:val="clear" w:color="000000" w:fill="FDC97D"/>
            <w:noWrap/>
            <w:vAlign w:val="center"/>
            <w:hideMark/>
          </w:tcPr>
          <w:p w14:paraId="47283EA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1.5%</w:t>
            </w:r>
          </w:p>
        </w:tc>
        <w:tc>
          <w:tcPr>
            <w:tcW w:w="718" w:type="dxa"/>
            <w:tcBorders>
              <w:top w:val="nil"/>
              <w:left w:val="nil"/>
              <w:bottom w:val="nil"/>
              <w:right w:val="nil"/>
            </w:tcBorders>
            <w:shd w:val="clear" w:color="000000" w:fill="FDEB84"/>
            <w:noWrap/>
            <w:vAlign w:val="center"/>
            <w:hideMark/>
          </w:tcPr>
          <w:p w14:paraId="6DF95779"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3.0%</w:t>
            </w:r>
          </w:p>
        </w:tc>
      </w:tr>
      <w:tr w:rsidR="00151DC1" w:rsidRPr="00FF4E93" w14:paraId="2164F10C" w14:textId="77777777" w:rsidTr="00C54569">
        <w:trPr>
          <w:trHeight w:val="360"/>
        </w:trPr>
        <w:tc>
          <w:tcPr>
            <w:tcW w:w="1553" w:type="dxa"/>
            <w:tcBorders>
              <w:top w:val="nil"/>
              <w:left w:val="nil"/>
              <w:bottom w:val="nil"/>
              <w:right w:val="nil"/>
            </w:tcBorders>
            <w:shd w:val="clear" w:color="auto" w:fill="auto"/>
            <w:noWrap/>
            <w:vAlign w:val="center"/>
            <w:hideMark/>
          </w:tcPr>
          <w:p w14:paraId="6B1B4377"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bCs/>
                <w:color w:val="000000"/>
                <w:sz w:val="20"/>
                <w:szCs w:val="20"/>
              </w:rPr>
              <w:t>Make More Of It</w:t>
            </w:r>
          </w:p>
        </w:tc>
        <w:tc>
          <w:tcPr>
            <w:tcW w:w="850" w:type="dxa"/>
            <w:tcBorders>
              <w:top w:val="nil"/>
              <w:left w:val="nil"/>
              <w:bottom w:val="nil"/>
              <w:right w:val="nil"/>
            </w:tcBorders>
            <w:shd w:val="clear" w:color="000000" w:fill="FEEB84"/>
            <w:noWrap/>
            <w:vAlign w:val="center"/>
            <w:hideMark/>
          </w:tcPr>
          <w:p w14:paraId="0FF817FB"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2.5%</w:t>
            </w:r>
          </w:p>
        </w:tc>
        <w:tc>
          <w:tcPr>
            <w:tcW w:w="78" w:type="dxa"/>
            <w:tcBorders>
              <w:top w:val="nil"/>
              <w:left w:val="nil"/>
              <w:bottom w:val="nil"/>
              <w:right w:val="nil"/>
            </w:tcBorders>
            <w:shd w:val="clear" w:color="auto" w:fill="auto"/>
            <w:noWrap/>
            <w:vAlign w:val="center"/>
            <w:hideMark/>
          </w:tcPr>
          <w:p w14:paraId="3BBCB374"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696B"/>
            <w:noWrap/>
            <w:vAlign w:val="center"/>
            <w:hideMark/>
          </w:tcPr>
          <w:p w14:paraId="513D369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nil"/>
              <w:right w:val="nil"/>
            </w:tcBorders>
            <w:shd w:val="clear" w:color="000000" w:fill="F8E984"/>
            <w:noWrap/>
            <w:vAlign w:val="center"/>
            <w:hideMark/>
          </w:tcPr>
          <w:p w14:paraId="34651E32"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5.0%</w:t>
            </w:r>
          </w:p>
        </w:tc>
        <w:tc>
          <w:tcPr>
            <w:tcW w:w="718" w:type="dxa"/>
            <w:tcBorders>
              <w:top w:val="nil"/>
              <w:left w:val="nil"/>
              <w:bottom w:val="nil"/>
              <w:right w:val="nil"/>
            </w:tcBorders>
            <w:shd w:val="clear" w:color="000000" w:fill="FBEA84"/>
            <w:noWrap/>
            <w:vAlign w:val="center"/>
            <w:hideMark/>
          </w:tcPr>
          <w:p w14:paraId="264432F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4.0%</w:t>
            </w:r>
          </w:p>
        </w:tc>
      </w:tr>
      <w:tr w:rsidR="00151DC1" w:rsidRPr="00FF4E93" w14:paraId="4347A6C6" w14:textId="77777777" w:rsidTr="00C54569">
        <w:trPr>
          <w:trHeight w:val="360"/>
        </w:trPr>
        <w:tc>
          <w:tcPr>
            <w:tcW w:w="1553" w:type="dxa"/>
            <w:tcBorders>
              <w:top w:val="nil"/>
              <w:left w:val="nil"/>
              <w:bottom w:val="nil"/>
              <w:right w:val="nil"/>
            </w:tcBorders>
            <w:shd w:val="clear" w:color="auto" w:fill="auto"/>
            <w:noWrap/>
            <w:vAlign w:val="center"/>
            <w:hideMark/>
          </w:tcPr>
          <w:p w14:paraId="38802ABB"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Crowdsourcing</w:t>
            </w:r>
          </w:p>
        </w:tc>
        <w:tc>
          <w:tcPr>
            <w:tcW w:w="850" w:type="dxa"/>
            <w:tcBorders>
              <w:top w:val="nil"/>
              <w:left w:val="nil"/>
              <w:bottom w:val="nil"/>
              <w:right w:val="nil"/>
            </w:tcBorders>
            <w:shd w:val="clear" w:color="000000" w:fill="FFEB84"/>
            <w:noWrap/>
            <w:vAlign w:val="center"/>
            <w:hideMark/>
          </w:tcPr>
          <w:p w14:paraId="27F42BD1"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2.3%</w:t>
            </w:r>
          </w:p>
        </w:tc>
        <w:tc>
          <w:tcPr>
            <w:tcW w:w="78" w:type="dxa"/>
            <w:tcBorders>
              <w:top w:val="nil"/>
              <w:left w:val="nil"/>
              <w:bottom w:val="nil"/>
              <w:right w:val="nil"/>
            </w:tcBorders>
            <w:shd w:val="clear" w:color="auto" w:fill="auto"/>
            <w:noWrap/>
            <w:vAlign w:val="center"/>
            <w:hideMark/>
          </w:tcPr>
          <w:p w14:paraId="5D41A945"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DEB84"/>
            <w:noWrap/>
            <w:vAlign w:val="center"/>
            <w:hideMark/>
          </w:tcPr>
          <w:p w14:paraId="3B07ACAF"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3.0%</w:t>
            </w:r>
          </w:p>
        </w:tc>
        <w:tc>
          <w:tcPr>
            <w:tcW w:w="709" w:type="dxa"/>
            <w:tcBorders>
              <w:top w:val="nil"/>
              <w:left w:val="nil"/>
              <w:bottom w:val="nil"/>
              <w:right w:val="nil"/>
            </w:tcBorders>
            <w:shd w:val="clear" w:color="000000" w:fill="FDC97D"/>
            <w:noWrap/>
            <w:vAlign w:val="center"/>
            <w:hideMark/>
          </w:tcPr>
          <w:p w14:paraId="30788FA4"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1.5%</w:t>
            </w:r>
          </w:p>
        </w:tc>
        <w:tc>
          <w:tcPr>
            <w:tcW w:w="718" w:type="dxa"/>
            <w:tcBorders>
              <w:top w:val="nil"/>
              <w:left w:val="nil"/>
              <w:bottom w:val="nil"/>
              <w:right w:val="nil"/>
            </w:tcBorders>
            <w:shd w:val="clear" w:color="000000" w:fill="FFEB84"/>
            <w:noWrap/>
            <w:vAlign w:val="center"/>
            <w:hideMark/>
          </w:tcPr>
          <w:p w14:paraId="1C2B46CB"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2.0%</w:t>
            </w:r>
          </w:p>
        </w:tc>
      </w:tr>
      <w:tr w:rsidR="00151DC1" w:rsidRPr="00FF4E93" w14:paraId="2CC4B0DD" w14:textId="77777777" w:rsidTr="00C54569">
        <w:trPr>
          <w:trHeight w:val="360"/>
        </w:trPr>
        <w:tc>
          <w:tcPr>
            <w:tcW w:w="1553" w:type="dxa"/>
            <w:tcBorders>
              <w:top w:val="nil"/>
              <w:left w:val="nil"/>
              <w:bottom w:val="nil"/>
              <w:right w:val="nil"/>
            </w:tcBorders>
            <w:shd w:val="clear" w:color="auto" w:fill="auto"/>
            <w:noWrap/>
            <w:vAlign w:val="center"/>
            <w:hideMark/>
          </w:tcPr>
          <w:p w14:paraId="2ED5C948"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bCs/>
                <w:color w:val="000000"/>
                <w:sz w:val="20"/>
                <w:szCs w:val="20"/>
              </w:rPr>
              <w:t>Rent Instead of Buy</w:t>
            </w:r>
          </w:p>
        </w:tc>
        <w:tc>
          <w:tcPr>
            <w:tcW w:w="850" w:type="dxa"/>
            <w:tcBorders>
              <w:top w:val="nil"/>
              <w:left w:val="nil"/>
              <w:bottom w:val="nil"/>
              <w:right w:val="nil"/>
            </w:tcBorders>
            <w:shd w:val="clear" w:color="000000" w:fill="FFEB84"/>
            <w:noWrap/>
            <w:vAlign w:val="center"/>
            <w:hideMark/>
          </w:tcPr>
          <w:p w14:paraId="5A97905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2.1%</w:t>
            </w:r>
          </w:p>
        </w:tc>
        <w:tc>
          <w:tcPr>
            <w:tcW w:w="78" w:type="dxa"/>
            <w:tcBorders>
              <w:top w:val="nil"/>
              <w:left w:val="nil"/>
              <w:bottom w:val="nil"/>
              <w:right w:val="nil"/>
            </w:tcBorders>
            <w:shd w:val="clear" w:color="auto" w:fill="auto"/>
            <w:noWrap/>
            <w:vAlign w:val="center"/>
            <w:hideMark/>
          </w:tcPr>
          <w:p w14:paraId="03895ADC"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FEB84"/>
            <w:noWrap/>
            <w:vAlign w:val="center"/>
            <w:hideMark/>
          </w:tcPr>
          <w:p w14:paraId="476F6A0F"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2.1%</w:t>
            </w:r>
          </w:p>
        </w:tc>
        <w:tc>
          <w:tcPr>
            <w:tcW w:w="709" w:type="dxa"/>
            <w:tcBorders>
              <w:top w:val="nil"/>
              <w:left w:val="nil"/>
              <w:bottom w:val="nil"/>
              <w:right w:val="nil"/>
            </w:tcBorders>
            <w:shd w:val="clear" w:color="000000" w:fill="F98971"/>
            <w:noWrap/>
            <w:vAlign w:val="center"/>
            <w:hideMark/>
          </w:tcPr>
          <w:p w14:paraId="1844ADE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0.5%</w:t>
            </w:r>
          </w:p>
        </w:tc>
        <w:tc>
          <w:tcPr>
            <w:tcW w:w="718" w:type="dxa"/>
            <w:tcBorders>
              <w:top w:val="nil"/>
              <w:left w:val="nil"/>
              <w:bottom w:val="nil"/>
              <w:right w:val="nil"/>
            </w:tcBorders>
            <w:shd w:val="clear" w:color="000000" w:fill="FCEA84"/>
            <w:noWrap/>
            <w:vAlign w:val="center"/>
            <w:hideMark/>
          </w:tcPr>
          <w:p w14:paraId="1DCF177C"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3.5%</w:t>
            </w:r>
          </w:p>
        </w:tc>
      </w:tr>
      <w:tr w:rsidR="00151DC1" w:rsidRPr="00FF4E93" w14:paraId="2506CE1E" w14:textId="77777777" w:rsidTr="00C54569">
        <w:trPr>
          <w:trHeight w:val="360"/>
        </w:trPr>
        <w:tc>
          <w:tcPr>
            <w:tcW w:w="1553" w:type="dxa"/>
            <w:tcBorders>
              <w:top w:val="nil"/>
              <w:left w:val="nil"/>
              <w:bottom w:val="nil"/>
              <w:right w:val="nil"/>
            </w:tcBorders>
            <w:shd w:val="clear" w:color="auto" w:fill="auto"/>
            <w:noWrap/>
            <w:vAlign w:val="center"/>
            <w:hideMark/>
          </w:tcPr>
          <w:p w14:paraId="10C1C656"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Long Tail</w:t>
            </w:r>
          </w:p>
        </w:tc>
        <w:tc>
          <w:tcPr>
            <w:tcW w:w="850" w:type="dxa"/>
            <w:tcBorders>
              <w:top w:val="nil"/>
              <w:left w:val="nil"/>
              <w:bottom w:val="nil"/>
              <w:right w:val="nil"/>
            </w:tcBorders>
            <w:shd w:val="clear" w:color="000000" w:fill="FDD27F"/>
            <w:noWrap/>
            <w:vAlign w:val="center"/>
            <w:hideMark/>
          </w:tcPr>
          <w:p w14:paraId="74E27F9F"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1.6%</w:t>
            </w:r>
          </w:p>
        </w:tc>
        <w:tc>
          <w:tcPr>
            <w:tcW w:w="78" w:type="dxa"/>
            <w:tcBorders>
              <w:top w:val="nil"/>
              <w:left w:val="nil"/>
              <w:bottom w:val="nil"/>
              <w:right w:val="nil"/>
            </w:tcBorders>
            <w:shd w:val="clear" w:color="auto" w:fill="auto"/>
            <w:noWrap/>
            <w:vAlign w:val="center"/>
            <w:hideMark/>
          </w:tcPr>
          <w:p w14:paraId="3046E150"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CB679"/>
            <w:noWrap/>
            <w:vAlign w:val="center"/>
            <w:hideMark/>
          </w:tcPr>
          <w:p w14:paraId="2A3E78E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1.2%</w:t>
            </w:r>
          </w:p>
        </w:tc>
        <w:tc>
          <w:tcPr>
            <w:tcW w:w="709" w:type="dxa"/>
            <w:tcBorders>
              <w:top w:val="nil"/>
              <w:left w:val="nil"/>
              <w:bottom w:val="nil"/>
              <w:right w:val="nil"/>
            </w:tcBorders>
            <w:shd w:val="clear" w:color="000000" w:fill="FEE983"/>
            <w:noWrap/>
            <w:vAlign w:val="center"/>
            <w:hideMark/>
          </w:tcPr>
          <w:p w14:paraId="39B20526"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2.0%</w:t>
            </w:r>
          </w:p>
        </w:tc>
        <w:tc>
          <w:tcPr>
            <w:tcW w:w="718" w:type="dxa"/>
            <w:tcBorders>
              <w:top w:val="nil"/>
              <w:left w:val="nil"/>
              <w:bottom w:val="nil"/>
              <w:right w:val="nil"/>
            </w:tcBorders>
            <w:shd w:val="clear" w:color="000000" w:fill="FFEB84"/>
            <w:noWrap/>
            <w:vAlign w:val="center"/>
            <w:hideMark/>
          </w:tcPr>
          <w:p w14:paraId="7D7C4F9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2.0%</w:t>
            </w:r>
          </w:p>
        </w:tc>
      </w:tr>
      <w:tr w:rsidR="00151DC1" w:rsidRPr="00FF4E93" w14:paraId="68A50F85" w14:textId="77777777" w:rsidTr="00C54569">
        <w:trPr>
          <w:trHeight w:val="360"/>
        </w:trPr>
        <w:tc>
          <w:tcPr>
            <w:tcW w:w="1553" w:type="dxa"/>
            <w:tcBorders>
              <w:top w:val="nil"/>
              <w:left w:val="nil"/>
              <w:bottom w:val="nil"/>
              <w:right w:val="nil"/>
            </w:tcBorders>
            <w:shd w:val="clear" w:color="auto" w:fill="auto"/>
            <w:noWrap/>
            <w:vAlign w:val="center"/>
            <w:hideMark/>
          </w:tcPr>
          <w:p w14:paraId="111E2274"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Robin Hood</w:t>
            </w:r>
          </w:p>
        </w:tc>
        <w:tc>
          <w:tcPr>
            <w:tcW w:w="850" w:type="dxa"/>
            <w:tcBorders>
              <w:top w:val="nil"/>
              <w:left w:val="nil"/>
              <w:bottom w:val="nil"/>
              <w:right w:val="nil"/>
            </w:tcBorders>
            <w:shd w:val="clear" w:color="000000" w:fill="FDD27F"/>
            <w:noWrap/>
            <w:vAlign w:val="center"/>
            <w:hideMark/>
          </w:tcPr>
          <w:p w14:paraId="4C1C6F8B"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1.6%</w:t>
            </w:r>
          </w:p>
        </w:tc>
        <w:tc>
          <w:tcPr>
            <w:tcW w:w="78" w:type="dxa"/>
            <w:tcBorders>
              <w:top w:val="nil"/>
              <w:left w:val="nil"/>
              <w:bottom w:val="nil"/>
              <w:right w:val="nil"/>
            </w:tcBorders>
            <w:shd w:val="clear" w:color="auto" w:fill="auto"/>
            <w:noWrap/>
            <w:vAlign w:val="center"/>
            <w:hideMark/>
          </w:tcPr>
          <w:p w14:paraId="79EFF232"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EDC81"/>
            <w:noWrap/>
            <w:vAlign w:val="center"/>
            <w:hideMark/>
          </w:tcPr>
          <w:p w14:paraId="052B6C0B"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1.8%</w:t>
            </w:r>
          </w:p>
        </w:tc>
        <w:tc>
          <w:tcPr>
            <w:tcW w:w="709" w:type="dxa"/>
            <w:tcBorders>
              <w:top w:val="nil"/>
              <w:left w:val="nil"/>
              <w:bottom w:val="nil"/>
              <w:right w:val="nil"/>
            </w:tcBorders>
            <w:shd w:val="clear" w:color="000000" w:fill="FDC97D"/>
            <w:noWrap/>
            <w:vAlign w:val="center"/>
            <w:hideMark/>
          </w:tcPr>
          <w:p w14:paraId="6DDC897B"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1.5%</w:t>
            </w:r>
          </w:p>
        </w:tc>
        <w:tc>
          <w:tcPr>
            <w:tcW w:w="718" w:type="dxa"/>
            <w:tcBorders>
              <w:top w:val="nil"/>
              <w:left w:val="nil"/>
              <w:bottom w:val="nil"/>
              <w:right w:val="nil"/>
            </w:tcBorders>
            <w:shd w:val="clear" w:color="000000" w:fill="FDCA7D"/>
            <w:noWrap/>
            <w:vAlign w:val="center"/>
            <w:hideMark/>
          </w:tcPr>
          <w:p w14:paraId="40932952"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1.5%</w:t>
            </w:r>
          </w:p>
        </w:tc>
      </w:tr>
      <w:tr w:rsidR="00151DC1" w:rsidRPr="00FF4E93" w14:paraId="7045B689" w14:textId="77777777" w:rsidTr="00C54569">
        <w:trPr>
          <w:trHeight w:val="360"/>
        </w:trPr>
        <w:tc>
          <w:tcPr>
            <w:tcW w:w="1553" w:type="dxa"/>
            <w:tcBorders>
              <w:top w:val="nil"/>
              <w:left w:val="nil"/>
              <w:bottom w:val="nil"/>
              <w:right w:val="nil"/>
            </w:tcBorders>
            <w:shd w:val="clear" w:color="auto" w:fill="auto"/>
            <w:noWrap/>
            <w:vAlign w:val="center"/>
            <w:hideMark/>
          </w:tcPr>
          <w:p w14:paraId="1F514E44"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E-Commerce</w:t>
            </w:r>
          </w:p>
        </w:tc>
        <w:tc>
          <w:tcPr>
            <w:tcW w:w="850" w:type="dxa"/>
            <w:tcBorders>
              <w:top w:val="nil"/>
              <w:left w:val="nil"/>
              <w:bottom w:val="nil"/>
              <w:right w:val="nil"/>
            </w:tcBorders>
            <w:shd w:val="clear" w:color="000000" w:fill="FDC97D"/>
            <w:noWrap/>
            <w:vAlign w:val="center"/>
            <w:hideMark/>
          </w:tcPr>
          <w:p w14:paraId="0D343E3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1.5%</w:t>
            </w:r>
          </w:p>
        </w:tc>
        <w:tc>
          <w:tcPr>
            <w:tcW w:w="78" w:type="dxa"/>
            <w:tcBorders>
              <w:top w:val="nil"/>
              <w:left w:val="nil"/>
              <w:bottom w:val="nil"/>
              <w:right w:val="nil"/>
            </w:tcBorders>
            <w:shd w:val="clear" w:color="auto" w:fill="auto"/>
            <w:noWrap/>
            <w:vAlign w:val="center"/>
            <w:hideMark/>
          </w:tcPr>
          <w:p w14:paraId="28440167"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CB679"/>
            <w:noWrap/>
            <w:vAlign w:val="center"/>
            <w:hideMark/>
          </w:tcPr>
          <w:p w14:paraId="53F68716"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1.2%</w:t>
            </w:r>
          </w:p>
        </w:tc>
        <w:tc>
          <w:tcPr>
            <w:tcW w:w="709" w:type="dxa"/>
            <w:tcBorders>
              <w:top w:val="nil"/>
              <w:left w:val="nil"/>
              <w:bottom w:val="nil"/>
              <w:right w:val="nil"/>
            </w:tcBorders>
            <w:shd w:val="clear" w:color="000000" w:fill="FEEB84"/>
            <w:noWrap/>
            <w:vAlign w:val="center"/>
            <w:hideMark/>
          </w:tcPr>
          <w:p w14:paraId="33A93973"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2.5%</w:t>
            </w:r>
          </w:p>
        </w:tc>
        <w:tc>
          <w:tcPr>
            <w:tcW w:w="718" w:type="dxa"/>
            <w:tcBorders>
              <w:top w:val="nil"/>
              <w:left w:val="nil"/>
              <w:bottom w:val="nil"/>
              <w:right w:val="nil"/>
            </w:tcBorders>
            <w:shd w:val="clear" w:color="000000" w:fill="FBAA77"/>
            <w:noWrap/>
            <w:vAlign w:val="center"/>
            <w:hideMark/>
          </w:tcPr>
          <w:p w14:paraId="7E0DBE2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1.0%</w:t>
            </w:r>
          </w:p>
        </w:tc>
      </w:tr>
      <w:tr w:rsidR="00151DC1" w:rsidRPr="00FF4E93" w14:paraId="66C3D942" w14:textId="77777777" w:rsidTr="00C54569">
        <w:trPr>
          <w:trHeight w:val="360"/>
        </w:trPr>
        <w:tc>
          <w:tcPr>
            <w:tcW w:w="1553" w:type="dxa"/>
            <w:tcBorders>
              <w:top w:val="nil"/>
              <w:left w:val="nil"/>
              <w:bottom w:val="nil"/>
              <w:right w:val="nil"/>
            </w:tcBorders>
            <w:shd w:val="clear" w:color="auto" w:fill="auto"/>
            <w:noWrap/>
            <w:vAlign w:val="center"/>
            <w:hideMark/>
          </w:tcPr>
          <w:p w14:paraId="3D789F14"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Hidden Revenue</w:t>
            </w:r>
          </w:p>
        </w:tc>
        <w:tc>
          <w:tcPr>
            <w:tcW w:w="850" w:type="dxa"/>
            <w:tcBorders>
              <w:top w:val="nil"/>
              <w:left w:val="nil"/>
              <w:bottom w:val="nil"/>
              <w:right w:val="nil"/>
            </w:tcBorders>
            <w:shd w:val="clear" w:color="000000" w:fill="FCC17B"/>
            <w:noWrap/>
            <w:vAlign w:val="center"/>
            <w:hideMark/>
          </w:tcPr>
          <w:p w14:paraId="577B9F1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1.4%</w:t>
            </w:r>
          </w:p>
        </w:tc>
        <w:tc>
          <w:tcPr>
            <w:tcW w:w="78" w:type="dxa"/>
            <w:tcBorders>
              <w:top w:val="nil"/>
              <w:left w:val="nil"/>
              <w:bottom w:val="nil"/>
              <w:right w:val="nil"/>
            </w:tcBorders>
            <w:shd w:val="clear" w:color="auto" w:fill="auto"/>
            <w:noWrap/>
            <w:vAlign w:val="center"/>
            <w:hideMark/>
          </w:tcPr>
          <w:p w14:paraId="3C93844F"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EDC81"/>
            <w:noWrap/>
            <w:vAlign w:val="center"/>
            <w:hideMark/>
          </w:tcPr>
          <w:p w14:paraId="024798B4"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1.8%</w:t>
            </w:r>
          </w:p>
        </w:tc>
        <w:tc>
          <w:tcPr>
            <w:tcW w:w="709" w:type="dxa"/>
            <w:tcBorders>
              <w:top w:val="nil"/>
              <w:left w:val="nil"/>
              <w:bottom w:val="nil"/>
              <w:right w:val="nil"/>
            </w:tcBorders>
            <w:shd w:val="clear" w:color="000000" w:fill="FEE983"/>
            <w:noWrap/>
            <w:vAlign w:val="center"/>
            <w:hideMark/>
          </w:tcPr>
          <w:p w14:paraId="0FB9E83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2.0%</w:t>
            </w:r>
          </w:p>
        </w:tc>
        <w:tc>
          <w:tcPr>
            <w:tcW w:w="718" w:type="dxa"/>
            <w:tcBorders>
              <w:top w:val="nil"/>
              <w:left w:val="nil"/>
              <w:bottom w:val="nil"/>
              <w:right w:val="nil"/>
            </w:tcBorders>
            <w:shd w:val="clear" w:color="000000" w:fill="F8696B"/>
            <w:noWrap/>
            <w:vAlign w:val="center"/>
            <w:hideMark/>
          </w:tcPr>
          <w:p w14:paraId="6A0F448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r>
      <w:tr w:rsidR="00151DC1" w:rsidRPr="00FF4E93" w14:paraId="1B5B3612" w14:textId="77777777" w:rsidTr="00C54569">
        <w:trPr>
          <w:trHeight w:val="360"/>
        </w:trPr>
        <w:tc>
          <w:tcPr>
            <w:tcW w:w="1553" w:type="dxa"/>
            <w:tcBorders>
              <w:top w:val="nil"/>
              <w:left w:val="nil"/>
              <w:bottom w:val="nil"/>
              <w:right w:val="nil"/>
            </w:tcBorders>
            <w:shd w:val="clear" w:color="auto" w:fill="auto"/>
            <w:noWrap/>
            <w:vAlign w:val="center"/>
            <w:hideMark/>
          </w:tcPr>
          <w:p w14:paraId="0272B55D"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Cash Machine</w:t>
            </w:r>
          </w:p>
        </w:tc>
        <w:tc>
          <w:tcPr>
            <w:tcW w:w="850" w:type="dxa"/>
            <w:tcBorders>
              <w:top w:val="nil"/>
              <w:left w:val="nil"/>
              <w:bottom w:val="nil"/>
              <w:right w:val="nil"/>
            </w:tcBorders>
            <w:shd w:val="clear" w:color="000000" w:fill="FCB87A"/>
            <w:noWrap/>
            <w:vAlign w:val="center"/>
            <w:hideMark/>
          </w:tcPr>
          <w:p w14:paraId="05A451FB"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1.2%</w:t>
            </w:r>
          </w:p>
        </w:tc>
        <w:tc>
          <w:tcPr>
            <w:tcW w:w="78" w:type="dxa"/>
            <w:tcBorders>
              <w:top w:val="nil"/>
              <w:left w:val="nil"/>
              <w:bottom w:val="nil"/>
              <w:right w:val="nil"/>
            </w:tcBorders>
            <w:shd w:val="clear" w:color="auto" w:fill="auto"/>
            <w:noWrap/>
            <w:vAlign w:val="center"/>
            <w:hideMark/>
          </w:tcPr>
          <w:p w14:paraId="0BE9CF93"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696B"/>
            <w:noWrap/>
            <w:vAlign w:val="center"/>
            <w:hideMark/>
          </w:tcPr>
          <w:p w14:paraId="23CCE62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nil"/>
              <w:right w:val="nil"/>
            </w:tcBorders>
            <w:shd w:val="clear" w:color="000000" w:fill="FBEA84"/>
            <w:noWrap/>
            <w:vAlign w:val="center"/>
            <w:hideMark/>
          </w:tcPr>
          <w:p w14:paraId="06A633C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4.0%</w:t>
            </w:r>
          </w:p>
        </w:tc>
        <w:tc>
          <w:tcPr>
            <w:tcW w:w="718" w:type="dxa"/>
            <w:tcBorders>
              <w:top w:val="nil"/>
              <w:left w:val="nil"/>
              <w:bottom w:val="nil"/>
              <w:right w:val="nil"/>
            </w:tcBorders>
            <w:shd w:val="clear" w:color="000000" w:fill="F98971"/>
            <w:noWrap/>
            <w:vAlign w:val="center"/>
            <w:hideMark/>
          </w:tcPr>
          <w:p w14:paraId="311C0792"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0.5%</w:t>
            </w:r>
          </w:p>
        </w:tc>
      </w:tr>
      <w:tr w:rsidR="00151DC1" w:rsidRPr="00FF4E93" w14:paraId="5E94B0F5" w14:textId="77777777" w:rsidTr="00C54569">
        <w:trPr>
          <w:trHeight w:val="360"/>
        </w:trPr>
        <w:tc>
          <w:tcPr>
            <w:tcW w:w="1553" w:type="dxa"/>
            <w:tcBorders>
              <w:top w:val="nil"/>
              <w:left w:val="nil"/>
              <w:bottom w:val="nil"/>
              <w:right w:val="nil"/>
            </w:tcBorders>
            <w:shd w:val="clear" w:color="auto" w:fill="auto"/>
            <w:noWrap/>
            <w:vAlign w:val="center"/>
            <w:hideMark/>
          </w:tcPr>
          <w:p w14:paraId="153615B3"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Customer Loyalty</w:t>
            </w:r>
          </w:p>
        </w:tc>
        <w:tc>
          <w:tcPr>
            <w:tcW w:w="850" w:type="dxa"/>
            <w:tcBorders>
              <w:top w:val="nil"/>
              <w:left w:val="nil"/>
              <w:bottom w:val="nil"/>
              <w:right w:val="nil"/>
            </w:tcBorders>
            <w:shd w:val="clear" w:color="000000" w:fill="FCB87A"/>
            <w:noWrap/>
            <w:vAlign w:val="center"/>
            <w:hideMark/>
          </w:tcPr>
          <w:p w14:paraId="56EB409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1.2%</w:t>
            </w:r>
          </w:p>
        </w:tc>
        <w:tc>
          <w:tcPr>
            <w:tcW w:w="78" w:type="dxa"/>
            <w:tcBorders>
              <w:top w:val="nil"/>
              <w:left w:val="nil"/>
              <w:bottom w:val="nil"/>
              <w:right w:val="nil"/>
            </w:tcBorders>
            <w:shd w:val="clear" w:color="auto" w:fill="auto"/>
            <w:noWrap/>
            <w:vAlign w:val="center"/>
            <w:hideMark/>
          </w:tcPr>
          <w:p w14:paraId="1A1A4637"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696B"/>
            <w:noWrap/>
            <w:vAlign w:val="center"/>
            <w:hideMark/>
          </w:tcPr>
          <w:p w14:paraId="7D045F8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nil"/>
              <w:right w:val="nil"/>
            </w:tcBorders>
            <w:shd w:val="clear" w:color="000000" w:fill="FDC97D"/>
            <w:noWrap/>
            <w:vAlign w:val="center"/>
            <w:hideMark/>
          </w:tcPr>
          <w:p w14:paraId="2BD1BD0C"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1.5%</w:t>
            </w:r>
          </w:p>
        </w:tc>
        <w:tc>
          <w:tcPr>
            <w:tcW w:w="718" w:type="dxa"/>
            <w:tcBorders>
              <w:top w:val="nil"/>
              <w:left w:val="nil"/>
              <w:bottom w:val="nil"/>
              <w:right w:val="nil"/>
            </w:tcBorders>
            <w:shd w:val="clear" w:color="000000" w:fill="FDEB84"/>
            <w:noWrap/>
            <w:vAlign w:val="center"/>
            <w:hideMark/>
          </w:tcPr>
          <w:p w14:paraId="284E4AB4"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3.0%</w:t>
            </w:r>
          </w:p>
        </w:tc>
      </w:tr>
      <w:tr w:rsidR="00151DC1" w:rsidRPr="00FF4E93" w14:paraId="5A159F80" w14:textId="77777777" w:rsidTr="00C54569">
        <w:trPr>
          <w:trHeight w:val="360"/>
        </w:trPr>
        <w:tc>
          <w:tcPr>
            <w:tcW w:w="1553" w:type="dxa"/>
            <w:tcBorders>
              <w:top w:val="nil"/>
              <w:left w:val="nil"/>
              <w:bottom w:val="nil"/>
              <w:right w:val="nil"/>
            </w:tcBorders>
            <w:shd w:val="clear" w:color="auto" w:fill="auto"/>
            <w:noWrap/>
            <w:vAlign w:val="center"/>
            <w:hideMark/>
          </w:tcPr>
          <w:p w14:paraId="0955917B"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Barter</w:t>
            </w:r>
          </w:p>
        </w:tc>
        <w:tc>
          <w:tcPr>
            <w:tcW w:w="850" w:type="dxa"/>
            <w:tcBorders>
              <w:top w:val="nil"/>
              <w:left w:val="nil"/>
              <w:bottom w:val="nil"/>
              <w:right w:val="nil"/>
            </w:tcBorders>
            <w:shd w:val="clear" w:color="000000" w:fill="FBA676"/>
            <w:noWrap/>
            <w:vAlign w:val="center"/>
            <w:hideMark/>
          </w:tcPr>
          <w:p w14:paraId="32BAD36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1.0%</w:t>
            </w:r>
          </w:p>
        </w:tc>
        <w:tc>
          <w:tcPr>
            <w:tcW w:w="78" w:type="dxa"/>
            <w:tcBorders>
              <w:top w:val="nil"/>
              <w:left w:val="nil"/>
              <w:bottom w:val="nil"/>
              <w:right w:val="nil"/>
            </w:tcBorders>
            <w:shd w:val="clear" w:color="auto" w:fill="auto"/>
            <w:noWrap/>
            <w:vAlign w:val="center"/>
            <w:hideMark/>
          </w:tcPr>
          <w:p w14:paraId="444E0232"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CB679"/>
            <w:noWrap/>
            <w:vAlign w:val="center"/>
            <w:hideMark/>
          </w:tcPr>
          <w:p w14:paraId="7FB70CD4"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1.2%</w:t>
            </w:r>
          </w:p>
        </w:tc>
        <w:tc>
          <w:tcPr>
            <w:tcW w:w="709" w:type="dxa"/>
            <w:tcBorders>
              <w:top w:val="nil"/>
              <w:left w:val="nil"/>
              <w:bottom w:val="nil"/>
              <w:right w:val="nil"/>
            </w:tcBorders>
            <w:shd w:val="clear" w:color="000000" w:fill="F98971"/>
            <w:noWrap/>
            <w:vAlign w:val="center"/>
            <w:hideMark/>
          </w:tcPr>
          <w:p w14:paraId="2C742AF6"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0.5%</w:t>
            </w:r>
          </w:p>
        </w:tc>
        <w:tc>
          <w:tcPr>
            <w:tcW w:w="718" w:type="dxa"/>
            <w:tcBorders>
              <w:top w:val="nil"/>
              <w:left w:val="nil"/>
              <w:bottom w:val="nil"/>
              <w:right w:val="nil"/>
            </w:tcBorders>
            <w:shd w:val="clear" w:color="000000" w:fill="FBAA77"/>
            <w:noWrap/>
            <w:vAlign w:val="center"/>
            <w:hideMark/>
          </w:tcPr>
          <w:p w14:paraId="7FA0E246"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1.0%</w:t>
            </w:r>
          </w:p>
        </w:tc>
      </w:tr>
      <w:tr w:rsidR="00151DC1" w:rsidRPr="00FF4E93" w14:paraId="73EE889F" w14:textId="77777777" w:rsidTr="00C54569">
        <w:trPr>
          <w:trHeight w:val="360"/>
        </w:trPr>
        <w:tc>
          <w:tcPr>
            <w:tcW w:w="1553" w:type="dxa"/>
            <w:tcBorders>
              <w:top w:val="nil"/>
              <w:left w:val="nil"/>
              <w:bottom w:val="nil"/>
              <w:right w:val="nil"/>
            </w:tcBorders>
            <w:shd w:val="clear" w:color="auto" w:fill="auto"/>
            <w:noWrap/>
            <w:vAlign w:val="center"/>
            <w:hideMark/>
          </w:tcPr>
          <w:p w14:paraId="0A94C5F3"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Flat Rate</w:t>
            </w:r>
          </w:p>
        </w:tc>
        <w:tc>
          <w:tcPr>
            <w:tcW w:w="850" w:type="dxa"/>
            <w:tcBorders>
              <w:top w:val="nil"/>
              <w:left w:val="nil"/>
              <w:bottom w:val="nil"/>
              <w:right w:val="nil"/>
            </w:tcBorders>
            <w:shd w:val="clear" w:color="000000" w:fill="FA9473"/>
            <w:noWrap/>
            <w:vAlign w:val="center"/>
            <w:hideMark/>
          </w:tcPr>
          <w:p w14:paraId="087AA39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0.7%</w:t>
            </w:r>
          </w:p>
        </w:tc>
        <w:tc>
          <w:tcPr>
            <w:tcW w:w="78" w:type="dxa"/>
            <w:tcBorders>
              <w:top w:val="nil"/>
              <w:left w:val="nil"/>
              <w:bottom w:val="nil"/>
              <w:right w:val="nil"/>
            </w:tcBorders>
            <w:shd w:val="clear" w:color="auto" w:fill="auto"/>
            <w:noWrap/>
            <w:vAlign w:val="center"/>
            <w:hideMark/>
          </w:tcPr>
          <w:p w14:paraId="63E2A70E"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A8F72"/>
            <w:noWrap/>
            <w:vAlign w:val="center"/>
            <w:hideMark/>
          </w:tcPr>
          <w:p w14:paraId="092F9DB4"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0.6%</w:t>
            </w:r>
          </w:p>
        </w:tc>
        <w:tc>
          <w:tcPr>
            <w:tcW w:w="709" w:type="dxa"/>
            <w:tcBorders>
              <w:top w:val="nil"/>
              <w:left w:val="nil"/>
              <w:bottom w:val="nil"/>
              <w:right w:val="nil"/>
            </w:tcBorders>
            <w:shd w:val="clear" w:color="000000" w:fill="FBA977"/>
            <w:noWrap/>
            <w:vAlign w:val="center"/>
            <w:hideMark/>
          </w:tcPr>
          <w:p w14:paraId="02C1BF29"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1.0%</w:t>
            </w:r>
          </w:p>
        </w:tc>
        <w:tc>
          <w:tcPr>
            <w:tcW w:w="718" w:type="dxa"/>
            <w:tcBorders>
              <w:top w:val="nil"/>
              <w:left w:val="nil"/>
              <w:bottom w:val="nil"/>
              <w:right w:val="nil"/>
            </w:tcBorders>
            <w:shd w:val="clear" w:color="000000" w:fill="F98971"/>
            <w:noWrap/>
            <w:vAlign w:val="center"/>
            <w:hideMark/>
          </w:tcPr>
          <w:p w14:paraId="5DCF474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0.5%</w:t>
            </w:r>
          </w:p>
        </w:tc>
      </w:tr>
      <w:tr w:rsidR="00151DC1" w:rsidRPr="00FF4E93" w14:paraId="5EC0193D" w14:textId="77777777" w:rsidTr="00C54569">
        <w:trPr>
          <w:trHeight w:val="360"/>
        </w:trPr>
        <w:tc>
          <w:tcPr>
            <w:tcW w:w="1553" w:type="dxa"/>
            <w:tcBorders>
              <w:top w:val="nil"/>
              <w:left w:val="nil"/>
              <w:bottom w:val="nil"/>
              <w:right w:val="nil"/>
            </w:tcBorders>
            <w:shd w:val="clear" w:color="auto" w:fill="auto"/>
            <w:noWrap/>
            <w:vAlign w:val="center"/>
            <w:hideMark/>
          </w:tcPr>
          <w:p w14:paraId="20FC2916" w14:textId="77777777" w:rsidR="00151DC1" w:rsidRPr="00FF4E93" w:rsidRDefault="00151DC1" w:rsidP="00151DC1">
            <w:pPr>
              <w:spacing w:before="0" w:after="0" w:line="240" w:lineRule="auto"/>
              <w:jc w:val="left"/>
              <w:rPr>
                <w:rFonts w:eastAsia="Times New Roman"/>
                <w:color w:val="212121"/>
                <w:sz w:val="20"/>
                <w:szCs w:val="20"/>
              </w:rPr>
            </w:pPr>
            <w:r w:rsidRPr="00FF4E93">
              <w:rPr>
                <w:rFonts w:eastAsia="Times New Roman"/>
                <w:color w:val="212121"/>
                <w:sz w:val="20"/>
                <w:szCs w:val="20"/>
              </w:rPr>
              <w:t>Performance-based Contracting</w:t>
            </w:r>
          </w:p>
        </w:tc>
        <w:tc>
          <w:tcPr>
            <w:tcW w:w="850" w:type="dxa"/>
            <w:tcBorders>
              <w:top w:val="nil"/>
              <w:left w:val="nil"/>
              <w:bottom w:val="nil"/>
              <w:right w:val="nil"/>
            </w:tcBorders>
            <w:shd w:val="clear" w:color="000000" w:fill="F98C71"/>
            <w:noWrap/>
            <w:vAlign w:val="center"/>
            <w:hideMark/>
          </w:tcPr>
          <w:p w14:paraId="04C0E512"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0.6%</w:t>
            </w:r>
          </w:p>
        </w:tc>
        <w:tc>
          <w:tcPr>
            <w:tcW w:w="78" w:type="dxa"/>
            <w:tcBorders>
              <w:top w:val="nil"/>
              <w:left w:val="nil"/>
              <w:bottom w:val="nil"/>
              <w:right w:val="nil"/>
            </w:tcBorders>
            <w:shd w:val="clear" w:color="auto" w:fill="auto"/>
            <w:noWrap/>
            <w:vAlign w:val="center"/>
            <w:hideMark/>
          </w:tcPr>
          <w:p w14:paraId="7720A03A"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CB679"/>
            <w:noWrap/>
            <w:vAlign w:val="center"/>
            <w:hideMark/>
          </w:tcPr>
          <w:p w14:paraId="39AFD63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1.2%</w:t>
            </w:r>
          </w:p>
        </w:tc>
        <w:tc>
          <w:tcPr>
            <w:tcW w:w="709" w:type="dxa"/>
            <w:tcBorders>
              <w:top w:val="nil"/>
              <w:left w:val="nil"/>
              <w:bottom w:val="nil"/>
              <w:right w:val="nil"/>
            </w:tcBorders>
            <w:shd w:val="clear" w:color="000000" w:fill="F8696B"/>
            <w:noWrap/>
            <w:vAlign w:val="center"/>
            <w:hideMark/>
          </w:tcPr>
          <w:p w14:paraId="29B9F3A5"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18" w:type="dxa"/>
            <w:tcBorders>
              <w:top w:val="nil"/>
              <w:left w:val="nil"/>
              <w:bottom w:val="nil"/>
              <w:right w:val="nil"/>
            </w:tcBorders>
            <w:shd w:val="clear" w:color="000000" w:fill="F8696B"/>
            <w:noWrap/>
            <w:vAlign w:val="center"/>
            <w:hideMark/>
          </w:tcPr>
          <w:p w14:paraId="5DC4B77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r>
      <w:tr w:rsidR="00151DC1" w:rsidRPr="00FF4E93" w14:paraId="740E516D" w14:textId="77777777" w:rsidTr="00C54569">
        <w:trPr>
          <w:trHeight w:val="360"/>
        </w:trPr>
        <w:tc>
          <w:tcPr>
            <w:tcW w:w="1553" w:type="dxa"/>
            <w:tcBorders>
              <w:top w:val="nil"/>
              <w:left w:val="nil"/>
              <w:bottom w:val="nil"/>
              <w:right w:val="nil"/>
            </w:tcBorders>
            <w:shd w:val="clear" w:color="auto" w:fill="auto"/>
            <w:noWrap/>
            <w:vAlign w:val="center"/>
            <w:hideMark/>
          </w:tcPr>
          <w:p w14:paraId="0A952968"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Supermarket</w:t>
            </w:r>
          </w:p>
        </w:tc>
        <w:tc>
          <w:tcPr>
            <w:tcW w:w="850" w:type="dxa"/>
            <w:tcBorders>
              <w:top w:val="nil"/>
              <w:left w:val="nil"/>
              <w:bottom w:val="nil"/>
              <w:right w:val="nil"/>
            </w:tcBorders>
            <w:shd w:val="clear" w:color="000000" w:fill="F98C71"/>
            <w:noWrap/>
            <w:vAlign w:val="center"/>
            <w:hideMark/>
          </w:tcPr>
          <w:p w14:paraId="17623202"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0.6%</w:t>
            </w:r>
          </w:p>
        </w:tc>
        <w:tc>
          <w:tcPr>
            <w:tcW w:w="78" w:type="dxa"/>
            <w:tcBorders>
              <w:top w:val="nil"/>
              <w:left w:val="nil"/>
              <w:bottom w:val="nil"/>
              <w:right w:val="nil"/>
            </w:tcBorders>
            <w:shd w:val="clear" w:color="auto" w:fill="auto"/>
            <w:noWrap/>
            <w:vAlign w:val="center"/>
            <w:hideMark/>
          </w:tcPr>
          <w:p w14:paraId="2D25252F"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A8F72"/>
            <w:noWrap/>
            <w:vAlign w:val="center"/>
            <w:hideMark/>
          </w:tcPr>
          <w:p w14:paraId="0510473B"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0.6%</w:t>
            </w:r>
          </w:p>
        </w:tc>
        <w:tc>
          <w:tcPr>
            <w:tcW w:w="709" w:type="dxa"/>
            <w:tcBorders>
              <w:top w:val="nil"/>
              <w:left w:val="nil"/>
              <w:bottom w:val="nil"/>
              <w:right w:val="nil"/>
            </w:tcBorders>
            <w:shd w:val="clear" w:color="000000" w:fill="F8696B"/>
            <w:noWrap/>
            <w:vAlign w:val="center"/>
            <w:hideMark/>
          </w:tcPr>
          <w:p w14:paraId="5C895D0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18" w:type="dxa"/>
            <w:tcBorders>
              <w:top w:val="nil"/>
              <w:left w:val="nil"/>
              <w:bottom w:val="nil"/>
              <w:right w:val="nil"/>
            </w:tcBorders>
            <w:shd w:val="clear" w:color="000000" w:fill="FBAA77"/>
            <w:noWrap/>
            <w:vAlign w:val="center"/>
            <w:hideMark/>
          </w:tcPr>
          <w:p w14:paraId="1CC2B10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1.0%</w:t>
            </w:r>
          </w:p>
        </w:tc>
      </w:tr>
      <w:tr w:rsidR="00151DC1" w:rsidRPr="00FF4E93" w14:paraId="06826400" w14:textId="77777777" w:rsidTr="00C54569">
        <w:trPr>
          <w:trHeight w:val="360"/>
        </w:trPr>
        <w:tc>
          <w:tcPr>
            <w:tcW w:w="1553" w:type="dxa"/>
            <w:tcBorders>
              <w:top w:val="nil"/>
              <w:left w:val="nil"/>
              <w:bottom w:val="nil"/>
              <w:right w:val="nil"/>
            </w:tcBorders>
            <w:shd w:val="clear" w:color="auto" w:fill="auto"/>
            <w:noWrap/>
            <w:vAlign w:val="center"/>
            <w:hideMark/>
          </w:tcPr>
          <w:p w14:paraId="6456B469" w14:textId="77777777" w:rsidR="00151DC1" w:rsidRPr="00FF4E93" w:rsidRDefault="00151DC1" w:rsidP="00151DC1">
            <w:pPr>
              <w:spacing w:before="0" w:after="0" w:line="240" w:lineRule="auto"/>
              <w:jc w:val="left"/>
              <w:rPr>
                <w:rFonts w:eastAsia="Times New Roman"/>
                <w:color w:val="212121"/>
                <w:sz w:val="20"/>
                <w:szCs w:val="20"/>
              </w:rPr>
            </w:pPr>
            <w:r w:rsidRPr="00FF4E93">
              <w:rPr>
                <w:rFonts w:eastAsia="Times New Roman"/>
                <w:color w:val="212121"/>
                <w:sz w:val="20"/>
                <w:szCs w:val="20"/>
              </w:rPr>
              <w:t>Prosumer</w:t>
            </w:r>
          </w:p>
        </w:tc>
        <w:tc>
          <w:tcPr>
            <w:tcW w:w="850" w:type="dxa"/>
            <w:tcBorders>
              <w:top w:val="nil"/>
              <w:left w:val="nil"/>
              <w:bottom w:val="nil"/>
              <w:right w:val="nil"/>
            </w:tcBorders>
            <w:shd w:val="clear" w:color="000000" w:fill="F98C71"/>
            <w:noWrap/>
            <w:vAlign w:val="center"/>
            <w:hideMark/>
          </w:tcPr>
          <w:p w14:paraId="6D541D0C"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0.6%</w:t>
            </w:r>
          </w:p>
        </w:tc>
        <w:tc>
          <w:tcPr>
            <w:tcW w:w="78" w:type="dxa"/>
            <w:tcBorders>
              <w:top w:val="nil"/>
              <w:left w:val="nil"/>
              <w:bottom w:val="nil"/>
              <w:right w:val="nil"/>
            </w:tcBorders>
            <w:shd w:val="clear" w:color="auto" w:fill="auto"/>
            <w:noWrap/>
            <w:vAlign w:val="center"/>
            <w:hideMark/>
          </w:tcPr>
          <w:p w14:paraId="4EEB4DB2"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97C6E"/>
            <w:noWrap/>
            <w:vAlign w:val="center"/>
            <w:hideMark/>
          </w:tcPr>
          <w:p w14:paraId="341074B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0.3%</w:t>
            </w:r>
          </w:p>
        </w:tc>
        <w:tc>
          <w:tcPr>
            <w:tcW w:w="709" w:type="dxa"/>
            <w:tcBorders>
              <w:top w:val="nil"/>
              <w:left w:val="nil"/>
              <w:bottom w:val="nil"/>
              <w:right w:val="nil"/>
            </w:tcBorders>
            <w:shd w:val="clear" w:color="000000" w:fill="FBA977"/>
            <w:noWrap/>
            <w:vAlign w:val="center"/>
            <w:hideMark/>
          </w:tcPr>
          <w:p w14:paraId="765A5C2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1.0%</w:t>
            </w:r>
          </w:p>
        </w:tc>
        <w:tc>
          <w:tcPr>
            <w:tcW w:w="718" w:type="dxa"/>
            <w:tcBorders>
              <w:top w:val="nil"/>
              <w:left w:val="nil"/>
              <w:bottom w:val="nil"/>
              <w:right w:val="nil"/>
            </w:tcBorders>
            <w:shd w:val="clear" w:color="000000" w:fill="F98971"/>
            <w:noWrap/>
            <w:vAlign w:val="center"/>
            <w:hideMark/>
          </w:tcPr>
          <w:p w14:paraId="038E55E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0.5%</w:t>
            </w:r>
          </w:p>
        </w:tc>
      </w:tr>
      <w:tr w:rsidR="00151DC1" w:rsidRPr="00FF4E93" w14:paraId="787DEF8B" w14:textId="77777777" w:rsidTr="00C54569">
        <w:trPr>
          <w:trHeight w:val="360"/>
        </w:trPr>
        <w:tc>
          <w:tcPr>
            <w:tcW w:w="1553" w:type="dxa"/>
            <w:tcBorders>
              <w:top w:val="nil"/>
              <w:left w:val="nil"/>
              <w:bottom w:val="nil"/>
              <w:right w:val="nil"/>
            </w:tcBorders>
            <w:shd w:val="clear" w:color="auto" w:fill="auto"/>
            <w:noWrap/>
            <w:vAlign w:val="center"/>
            <w:hideMark/>
          </w:tcPr>
          <w:p w14:paraId="534308C0"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Cross Selling</w:t>
            </w:r>
          </w:p>
        </w:tc>
        <w:tc>
          <w:tcPr>
            <w:tcW w:w="850" w:type="dxa"/>
            <w:tcBorders>
              <w:top w:val="nil"/>
              <w:left w:val="nil"/>
              <w:bottom w:val="nil"/>
              <w:right w:val="nil"/>
            </w:tcBorders>
            <w:shd w:val="clear" w:color="000000" w:fill="F98370"/>
            <w:noWrap/>
            <w:vAlign w:val="center"/>
            <w:hideMark/>
          </w:tcPr>
          <w:p w14:paraId="4DB382CB"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0.4%</w:t>
            </w:r>
          </w:p>
        </w:tc>
        <w:tc>
          <w:tcPr>
            <w:tcW w:w="78" w:type="dxa"/>
            <w:tcBorders>
              <w:top w:val="nil"/>
              <w:left w:val="nil"/>
              <w:bottom w:val="nil"/>
              <w:right w:val="nil"/>
            </w:tcBorders>
            <w:shd w:val="clear" w:color="auto" w:fill="auto"/>
            <w:noWrap/>
            <w:vAlign w:val="center"/>
            <w:hideMark/>
          </w:tcPr>
          <w:p w14:paraId="7AAD85CD"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97C6E"/>
            <w:noWrap/>
            <w:vAlign w:val="center"/>
            <w:hideMark/>
          </w:tcPr>
          <w:p w14:paraId="6DF3046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0.3%</w:t>
            </w:r>
          </w:p>
        </w:tc>
        <w:tc>
          <w:tcPr>
            <w:tcW w:w="709" w:type="dxa"/>
            <w:tcBorders>
              <w:top w:val="nil"/>
              <w:left w:val="nil"/>
              <w:bottom w:val="nil"/>
              <w:right w:val="nil"/>
            </w:tcBorders>
            <w:shd w:val="clear" w:color="000000" w:fill="F98971"/>
            <w:noWrap/>
            <w:vAlign w:val="center"/>
            <w:hideMark/>
          </w:tcPr>
          <w:p w14:paraId="1EFDCCA6"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0.5%</w:t>
            </w:r>
          </w:p>
        </w:tc>
        <w:tc>
          <w:tcPr>
            <w:tcW w:w="718" w:type="dxa"/>
            <w:tcBorders>
              <w:top w:val="nil"/>
              <w:left w:val="nil"/>
              <w:bottom w:val="nil"/>
              <w:right w:val="nil"/>
            </w:tcBorders>
            <w:shd w:val="clear" w:color="000000" w:fill="F98971"/>
            <w:noWrap/>
            <w:vAlign w:val="center"/>
            <w:hideMark/>
          </w:tcPr>
          <w:p w14:paraId="09A0CA4F"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0.5%</w:t>
            </w:r>
          </w:p>
        </w:tc>
      </w:tr>
      <w:tr w:rsidR="00151DC1" w:rsidRPr="00FF4E93" w14:paraId="5DCE188B" w14:textId="77777777" w:rsidTr="00C54569">
        <w:trPr>
          <w:trHeight w:val="360"/>
        </w:trPr>
        <w:tc>
          <w:tcPr>
            <w:tcW w:w="1553" w:type="dxa"/>
            <w:tcBorders>
              <w:top w:val="nil"/>
              <w:left w:val="nil"/>
              <w:bottom w:val="nil"/>
              <w:right w:val="nil"/>
            </w:tcBorders>
            <w:shd w:val="clear" w:color="auto" w:fill="auto"/>
            <w:noWrap/>
            <w:vAlign w:val="center"/>
            <w:hideMark/>
          </w:tcPr>
          <w:p w14:paraId="125BA634"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Ingredient Branding</w:t>
            </w:r>
          </w:p>
        </w:tc>
        <w:tc>
          <w:tcPr>
            <w:tcW w:w="850" w:type="dxa"/>
            <w:tcBorders>
              <w:top w:val="nil"/>
              <w:left w:val="nil"/>
              <w:bottom w:val="nil"/>
              <w:right w:val="nil"/>
            </w:tcBorders>
            <w:shd w:val="clear" w:color="000000" w:fill="F98370"/>
            <w:noWrap/>
            <w:vAlign w:val="center"/>
            <w:hideMark/>
          </w:tcPr>
          <w:p w14:paraId="6103D25C"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0.4%</w:t>
            </w:r>
          </w:p>
        </w:tc>
        <w:tc>
          <w:tcPr>
            <w:tcW w:w="78" w:type="dxa"/>
            <w:tcBorders>
              <w:top w:val="nil"/>
              <w:left w:val="nil"/>
              <w:bottom w:val="nil"/>
              <w:right w:val="nil"/>
            </w:tcBorders>
            <w:shd w:val="clear" w:color="auto" w:fill="auto"/>
            <w:noWrap/>
            <w:vAlign w:val="center"/>
            <w:hideMark/>
          </w:tcPr>
          <w:p w14:paraId="6AA9F979"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696B"/>
            <w:noWrap/>
            <w:vAlign w:val="center"/>
            <w:hideMark/>
          </w:tcPr>
          <w:p w14:paraId="15D47FEF"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nil"/>
              <w:right w:val="nil"/>
            </w:tcBorders>
            <w:shd w:val="clear" w:color="000000" w:fill="FBA977"/>
            <w:noWrap/>
            <w:vAlign w:val="center"/>
            <w:hideMark/>
          </w:tcPr>
          <w:p w14:paraId="143CB9A9"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1.0%</w:t>
            </w:r>
          </w:p>
        </w:tc>
        <w:tc>
          <w:tcPr>
            <w:tcW w:w="718" w:type="dxa"/>
            <w:tcBorders>
              <w:top w:val="nil"/>
              <w:left w:val="nil"/>
              <w:bottom w:val="nil"/>
              <w:right w:val="nil"/>
            </w:tcBorders>
            <w:shd w:val="clear" w:color="000000" w:fill="F98971"/>
            <w:noWrap/>
            <w:vAlign w:val="center"/>
            <w:hideMark/>
          </w:tcPr>
          <w:p w14:paraId="78AB46F5"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0.5%</w:t>
            </w:r>
          </w:p>
        </w:tc>
      </w:tr>
      <w:tr w:rsidR="00151DC1" w:rsidRPr="00FF4E93" w14:paraId="29A4EE0F" w14:textId="77777777" w:rsidTr="00C54569">
        <w:trPr>
          <w:trHeight w:val="360"/>
        </w:trPr>
        <w:tc>
          <w:tcPr>
            <w:tcW w:w="1553" w:type="dxa"/>
            <w:tcBorders>
              <w:top w:val="nil"/>
              <w:left w:val="nil"/>
              <w:bottom w:val="nil"/>
              <w:right w:val="nil"/>
            </w:tcBorders>
            <w:shd w:val="clear" w:color="auto" w:fill="auto"/>
            <w:noWrap/>
            <w:vAlign w:val="center"/>
            <w:hideMark/>
          </w:tcPr>
          <w:p w14:paraId="469069EE"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Lock-In</w:t>
            </w:r>
          </w:p>
        </w:tc>
        <w:tc>
          <w:tcPr>
            <w:tcW w:w="850" w:type="dxa"/>
            <w:tcBorders>
              <w:top w:val="nil"/>
              <w:left w:val="nil"/>
              <w:bottom w:val="nil"/>
              <w:right w:val="nil"/>
            </w:tcBorders>
            <w:shd w:val="clear" w:color="000000" w:fill="F98370"/>
            <w:noWrap/>
            <w:vAlign w:val="center"/>
            <w:hideMark/>
          </w:tcPr>
          <w:p w14:paraId="2D3CBCB5"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0.4%</w:t>
            </w:r>
          </w:p>
        </w:tc>
        <w:tc>
          <w:tcPr>
            <w:tcW w:w="78" w:type="dxa"/>
            <w:tcBorders>
              <w:top w:val="nil"/>
              <w:left w:val="nil"/>
              <w:bottom w:val="nil"/>
              <w:right w:val="nil"/>
            </w:tcBorders>
            <w:shd w:val="clear" w:color="auto" w:fill="auto"/>
            <w:noWrap/>
            <w:vAlign w:val="center"/>
            <w:hideMark/>
          </w:tcPr>
          <w:p w14:paraId="0E203F27"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97C6E"/>
            <w:noWrap/>
            <w:vAlign w:val="center"/>
            <w:hideMark/>
          </w:tcPr>
          <w:p w14:paraId="06237504"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0.3%</w:t>
            </w:r>
          </w:p>
        </w:tc>
        <w:tc>
          <w:tcPr>
            <w:tcW w:w="709" w:type="dxa"/>
            <w:tcBorders>
              <w:top w:val="nil"/>
              <w:left w:val="nil"/>
              <w:bottom w:val="nil"/>
              <w:right w:val="nil"/>
            </w:tcBorders>
            <w:shd w:val="clear" w:color="000000" w:fill="FBA977"/>
            <w:noWrap/>
            <w:vAlign w:val="center"/>
            <w:hideMark/>
          </w:tcPr>
          <w:p w14:paraId="194CD6A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1.0%</w:t>
            </w:r>
          </w:p>
        </w:tc>
        <w:tc>
          <w:tcPr>
            <w:tcW w:w="718" w:type="dxa"/>
            <w:tcBorders>
              <w:top w:val="nil"/>
              <w:left w:val="nil"/>
              <w:bottom w:val="nil"/>
              <w:right w:val="nil"/>
            </w:tcBorders>
            <w:shd w:val="clear" w:color="000000" w:fill="F8696B"/>
            <w:noWrap/>
            <w:vAlign w:val="center"/>
            <w:hideMark/>
          </w:tcPr>
          <w:p w14:paraId="33D26622"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r>
      <w:tr w:rsidR="00151DC1" w:rsidRPr="00FF4E93" w14:paraId="2C36D909" w14:textId="77777777" w:rsidTr="00C54569">
        <w:trPr>
          <w:trHeight w:val="360"/>
        </w:trPr>
        <w:tc>
          <w:tcPr>
            <w:tcW w:w="1553" w:type="dxa"/>
            <w:tcBorders>
              <w:top w:val="nil"/>
              <w:left w:val="nil"/>
              <w:bottom w:val="nil"/>
              <w:right w:val="nil"/>
            </w:tcBorders>
            <w:shd w:val="clear" w:color="auto" w:fill="auto"/>
            <w:noWrap/>
            <w:vAlign w:val="center"/>
            <w:hideMark/>
          </w:tcPr>
          <w:p w14:paraId="374D88C5"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Reverse Engineering</w:t>
            </w:r>
          </w:p>
        </w:tc>
        <w:tc>
          <w:tcPr>
            <w:tcW w:w="850" w:type="dxa"/>
            <w:tcBorders>
              <w:top w:val="nil"/>
              <w:left w:val="nil"/>
              <w:bottom w:val="nil"/>
              <w:right w:val="nil"/>
            </w:tcBorders>
            <w:shd w:val="clear" w:color="000000" w:fill="F98370"/>
            <w:noWrap/>
            <w:vAlign w:val="center"/>
            <w:hideMark/>
          </w:tcPr>
          <w:p w14:paraId="3484C6CF"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0.4%</w:t>
            </w:r>
          </w:p>
        </w:tc>
        <w:tc>
          <w:tcPr>
            <w:tcW w:w="78" w:type="dxa"/>
            <w:tcBorders>
              <w:top w:val="nil"/>
              <w:left w:val="nil"/>
              <w:bottom w:val="nil"/>
              <w:right w:val="nil"/>
            </w:tcBorders>
            <w:shd w:val="clear" w:color="auto" w:fill="auto"/>
            <w:noWrap/>
            <w:vAlign w:val="center"/>
            <w:hideMark/>
          </w:tcPr>
          <w:p w14:paraId="64CBB37C"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696B"/>
            <w:noWrap/>
            <w:vAlign w:val="center"/>
            <w:hideMark/>
          </w:tcPr>
          <w:p w14:paraId="75B1966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nil"/>
              <w:right w:val="nil"/>
            </w:tcBorders>
            <w:shd w:val="clear" w:color="000000" w:fill="F98971"/>
            <w:noWrap/>
            <w:vAlign w:val="center"/>
            <w:hideMark/>
          </w:tcPr>
          <w:p w14:paraId="38E3DF03"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0.5%</w:t>
            </w:r>
          </w:p>
        </w:tc>
        <w:tc>
          <w:tcPr>
            <w:tcW w:w="718" w:type="dxa"/>
            <w:tcBorders>
              <w:top w:val="nil"/>
              <w:left w:val="nil"/>
              <w:bottom w:val="nil"/>
              <w:right w:val="nil"/>
            </w:tcBorders>
            <w:shd w:val="clear" w:color="000000" w:fill="FBAA77"/>
            <w:noWrap/>
            <w:vAlign w:val="center"/>
            <w:hideMark/>
          </w:tcPr>
          <w:p w14:paraId="18EF37A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1.0%</w:t>
            </w:r>
          </w:p>
        </w:tc>
      </w:tr>
      <w:tr w:rsidR="00151DC1" w:rsidRPr="00FF4E93" w14:paraId="4E28029B" w14:textId="77777777" w:rsidTr="00C54569">
        <w:trPr>
          <w:trHeight w:val="360"/>
        </w:trPr>
        <w:tc>
          <w:tcPr>
            <w:tcW w:w="1553" w:type="dxa"/>
            <w:tcBorders>
              <w:top w:val="nil"/>
              <w:left w:val="nil"/>
              <w:bottom w:val="nil"/>
              <w:right w:val="nil"/>
            </w:tcBorders>
            <w:shd w:val="clear" w:color="auto" w:fill="auto"/>
            <w:noWrap/>
            <w:vAlign w:val="center"/>
            <w:hideMark/>
          </w:tcPr>
          <w:p w14:paraId="4F31002A"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Ultimate Luxury</w:t>
            </w:r>
          </w:p>
        </w:tc>
        <w:tc>
          <w:tcPr>
            <w:tcW w:w="850" w:type="dxa"/>
            <w:tcBorders>
              <w:top w:val="nil"/>
              <w:left w:val="nil"/>
              <w:bottom w:val="nil"/>
              <w:right w:val="nil"/>
            </w:tcBorders>
            <w:shd w:val="clear" w:color="000000" w:fill="F98370"/>
            <w:noWrap/>
            <w:vAlign w:val="center"/>
            <w:hideMark/>
          </w:tcPr>
          <w:p w14:paraId="25E0398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0.4%</w:t>
            </w:r>
          </w:p>
        </w:tc>
        <w:tc>
          <w:tcPr>
            <w:tcW w:w="78" w:type="dxa"/>
            <w:tcBorders>
              <w:top w:val="nil"/>
              <w:left w:val="nil"/>
              <w:bottom w:val="nil"/>
              <w:right w:val="nil"/>
            </w:tcBorders>
            <w:shd w:val="clear" w:color="auto" w:fill="auto"/>
            <w:noWrap/>
            <w:vAlign w:val="center"/>
            <w:hideMark/>
          </w:tcPr>
          <w:p w14:paraId="260CBE73"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696B"/>
            <w:noWrap/>
            <w:vAlign w:val="center"/>
            <w:hideMark/>
          </w:tcPr>
          <w:p w14:paraId="51F30EA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nil"/>
              <w:right w:val="nil"/>
            </w:tcBorders>
            <w:shd w:val="clear" w:color="000000" w:fill="FDC97D"/>
            <w:noWrap/>
            <w:vAlign w:val="center"/>
            <w:hideMark/>
          </w:tcPr>
          <w:p w14:paraId="74860471"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1.5%</w:t>
            </w:r>
          </w:p>
        </w:tc>
        <w:tc>
          <w:tcPr>
            <w:tcW w:w="718" w:type="dxa"/>
            <w:tcBorders>
              <w:top w:val="nil"/>
              <w:left w:val="nil"/>
              <w:bottom w:val="nil"/>
              <w:right w:val="nil"/>
            </w:tcBorders>
            <w:shd w:val="clear" w:color="000000" w:fill="F8696B"/>
            <w:noWrap/>
            <w:vAlign w:val="center"/>
            <w:hideMark/>
          </w:tcPr>
          <w:p w14:paraId="546552D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r>
      <w:tr w:rsidR="00151DC1" w:rsidRPr="00FF4E93" w14:paraId="1D5129D2" w14:textId="77777777" w:rsidTr="00C54569">
        <w:trPr>
          <w:trHeight w:val="360"/>
        </w:trPr>
        <w:tc>
          <w:tcPr>
            <w:tcW w:w="1553" w:type="dxa"/>
            <w:tcBorders>
              <w:top w:val="nil"/>
              <w:left w:val="nil"/>
              <w:bottom w:val="nil"/>
              <w:right w:val="nil"/>
            </w:tcBorders>
            <w:shd w:val="clear" w:color="auto" w:fill="auto"/>
            <w:noWrap/>
            <w:vAlign w:val="center"/>
            <w:hideMark/>
          </w:tcPr>
          <w:p w14:paraId="6FF8E1DA"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Reverse Innovation</w:t>
            </w:r>
          </w:p>
        </w:tc>
        <w:tc>
          <w:tcPr>
            <w:tcW w:w="850" w:type="dxa"/>
            <w:tcBorders>
              <w:top w:val="nil"/>
              <w:left w:val="nil"/>
              <w:bottom w:val="nil"/>
              <w:right w:val="nil"/>
            </w:tcBorders>
            <w:shd w:val="clear" w:color="000000" w:fill="F87A6E"/>
            <w:noWrap/>
            <w:vAlign w:val="center"/>
            <w:hideMark/>
          </w:tcPr>
          <w:p w14:paraId="39FD577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0.3%</w:t>
            </w:r>
          </w:p>
        </w:tc>
        <w:tc>
          <w:tcPr>
            <w:tcW w:w="78" w:type="dxa"/>
            <w:tcBorders>
              <w:top w:val="nil"/>
              <w:left w:val="nil"/>
              <w:bottom w:val="nil"/>
              <w:right w:val="nil"/>
            </w:tcBorders>
            <w:shd w:val="clear" w:color="auto" w:fill="auto"/>
            <w:noWrap/>
            <w:vAlign w:val="center"/>
            <w:hideMark/>
          </w:tcPr>
          <w:p w14:paraId="47114007"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A8F72"/>
            <w:noWrap/>
            <w:vAlign w:val="center"/>
            <w:hideMark/>
          </w:tcPr>
          <w:p w14:paraId="7BD2378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0.6%</w:t>
            </w:r>
          </w:p>
        </w:tc>
        <w:tc>
          <w:tcPr>
            <w:tcW w:w="709" w:type="dxa"/>
            <w:tcBorders>
              <w:top w:val="nil"/>
              <w:left w:val="nil"/>
              <w:bottom w:val="nil"/>
              <w:right w:val="nil"/>
            </w:tcBorders>
            <w:shd w:val="clear" w:color="000000" w:fill="F8696B"/>
            <w:noWrap/>
            <w:vAlign w:val="center"/>
            <w:hideMark/>
          </w:tcPr>
          <w:p w14:paraId="4AA991A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18" w:type="dxa"/>
            <w:tcBorders>
              <w:top w:val="nil"/>
              <w:left w:val="nil"/>
              <w:bottom w:val="nil"/>
              <w:right w:val="nil"/>
            </w:tcBorders>
            <w:shd w:val="clear" w:color="000000" w:fill="F8696B"/>
            <w:noWrap/>
            <w:vAlign w:val="center"/>
            <w:hideMark/>
          </w:tcPr>
          <w:p w14:paraId="6645C2DB"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r>
      <w:tr w:rsidR="00151DC1" w:rsidRPr="00FF4E93" w14:paraId="21BF933D" w14:textId="77777777" w:rsidTr="00C54569">
        <w:trPr>
          <w:trHeight w:val="360"/>
        </w:trPr>
        <w:tc>
          <w:tcPr>
            <w:tcW w:w="1553" w:type="dxa"/>
            <w:tcBorders>
              <w:top w:val="nil"/>
              <w:left w:val="nil"/>
              <w:bottom w:val="nil"/>
              <w:right w:val="nil"/>
            </w:tcBorders>
            <w:shd w:val="clear" w:color="auto" w:fill="auto"/>
            <w:noWrap/>
            <w:vAlign w:val="center"/>
            <w:hideMark/>
          </w:tcPr>
          <w:p w14:paraId="4DBE2419" w14:textId="77777777" w:rsidR="00151DC1" w:rsidRPr="00FF4E93" w:rsidRDefault="00151DC1" w:rsidP="00151DC1">
            <w:pPr>
              <w:spacing w:before="0" w:after="0" w:line="240" w:lineRule="auto"/>
              <w:jc w:val="left"/>
              <w:rPr>
                <w:rFonts w:eastAsia="Times New Roman"/>
                <w:color w:val="212121"/>
                <w:sz w:val="20"/>
                <w:szCs w:val="20"/>
              </w:rPr>
            </w:pPr>
            <w:r w:rsidRPr="00FF4E93">
              <w:rPr>
                <w:rFonts w:eastAsia="Times New Roman"/>
                <w:color w:val="212121"/>
                <w:sz w:val="20"/>
                <w:szCs w:val="20"/>
              </w:rPr>
              <w:t>Object as Point of Sales</w:t>
            </w:r>
          </w:p>
        </w:tc>
        <w:tc>
          <w:tcPr>
            <w:tcW w:w="850" w:type="dxa"/>
            <w:tcBorders>
              <w:top w:val="nil"/>
              <w:left w:val="nil"/>
              <w:bottom w:val="nil"/>
              <w:right w:val="nil"/>
            </w:tcBorders>
            <w:shd w:val="clear" w:color="000000" w:fill="F87A6E"/>
            <w:noWrap/>
            <w:vAlign w:val="center"/>
            <w:hideMark/>
          </w:tcPr>
          <w:p w14:paraId="127B9F83"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0.3%</w:t>
            </w:r>
          </w:p>
        </w:tc>
        <w:tc>
          <w:tcPr>
            <w:tcW w:w="78" w:type="dxa"/>
            <w:tcBorders>
              <w:top w:val="nil"/>
              <w:left w:val="nil"/>
              <w:bottom w:val="nil"/>
              <w:right w:val="nil"/>
            </w:tcBorders>
            <w:shd w:val="clear" w:color="auto" w:fill="auto"/>
            <w:noWrap/>
            <w:vAlign w:val="center"/>
            <w:hideMark/>
          </w:tcPr>
          <w:p w14:paraId="2BA3228F"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696B"/>
            <w:noWrap/>
            <w:vAlign w:val="center"/>
            <w:hideMark/>
          </w:tcPr>
          <w:p w14:paraId="2C7183B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nil"/>
              <w:right w:val="nil"/>
            </w:tcBorders>
            <w:shd w:val="clear" w:color="000000" w:fill="FBA977"/>
            <w:noWrap/>
            <w:vAlign w:val="center"/>
            <w:hideMark/>
          </w:tcPr>
          <w:p w14:paraId="19D7E7EB"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1.0%</w:t>
            </w:r>
          </w:p>
        </w:tc>
        <w:tc>
          <w:tcPr>
            <w:tcW w:w="718" w:type="dxa"/>
            <w:tcBorders>
              <w:top w:val="nil"/>
              <w:left w:val="nil"/>
              <w:bottom w:val="nil"/>
              <w:right w:val="nil"/>
            </w:tcBorders>
            <w:shd w:val="clear" w:color="000000" w:fill="F8696B"/>
            <w:noWrap/>
            <w:vAlign w:val="center"/>
            <w:hideMark/>
          </w:tcPr>
          <w:p w14:paraId="0AE8D853"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r>
      <w:tr w:rsidR="00151DC1" w:rsidRPr="00FF4E93" w14:paraId="0252F93B" w14:textId="77777777" w:rsidTr="00C54569">
        <w:trPr>
          <w:trHeight w:val="360"/>
        </w:trPr>
        <w:tc>
          <w:tcPr>
            <w:tcW w:w="1553" w:type="dxa"/>
            <w:tcBorders>
              <w:top w:val="nil"/>
              <w:left w:val="nil"/>
              <w:bottom w:val="nil"/>
              <w:right w:val="nil"/>
            </w:tcBorders>
            <w:shd w:val="clear" w:color="auto" w:fill="auto"/>
            <w:noWrap/>
            <w:vAlign w:val="center"/>
            <w:hideMark/>
          </w:tcPr>
          <w:p w14:paraId="4D804FA5"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Affiliation</w:t>
            </w:r>
          </w:p>
        </w:tc>
        <w:tc>
          <w:tcPr>
            <w:tcW w:w="850" w:type="dxa"/>
            <w:tcBorders>
              <w:top w:val="nil"/>
              <w:left w:val="nil"/>
              <w:bottom w:val="nil"/>
              <w:right w:val="nil"/>
            </w:tcBorders>
            <w:shd w:val="clear" w:color="000000" w:fill="F8726C"/>
            <w:noWrap/>
            <w:vAlign w:val="center"/>
            <w:hideMark/>
          </w:tcPr>
          <w:p w14:paraId="4E7C478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0.1%</w:t>
            </w:r>
          </w:p>
        </w:tc>
        <w:tc>
          <w:tcPr>
            <w:tcW w:w="78" w:type="dxa"/>
            <w:tcBorders>
              <w:top w:val="nil"/>
              <w:left w:val="nil"/>
              <w:bottom w:val="nil"/>
              <w:right w:val="nil"/>
            </w:tcBorders>
            <w:shd w:val="clear" w:color="auto" w:fill="auto"/>
            <w:noWrap/>
            <w:vAlign w:val="center"/>
            <w:hideMark/>
          </w:tcPr>
          <w:p w14:paraId="10D0F70A"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696B"/>
            <w:noWrap/>
            <w:vAlign w:val="center"/>
            <w:hideMark/>
          </w:tcPr>
          <w:p w14:paraId="3BA1EAD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nil"/>
              <w:right w:val="nil"/>
            </w:tcBorders>
            <w:shd w:val="clear" w:color="000000" w:fill="F98971"/>
            <w:noWrap/>
            <w:vAlign w:val="center"/>
            <w:hideMark/>
          </w:tcPr>
          <w:p w14:paraId="4DB9FF89"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0.5%</w:t>
            </w:r>
          </w:p>
        </w:tc>
        <w:tc>
          <w:tcPr>
            <w:tcW w:w="718" w:type="dxa"/>
            <w:tcBorders>
              <w:top w:val="nil"/>
              <w:left w:val="nil"/>
              <w:bottom w:val="nil"/>
              <w:right w:val="nil"/>
            </w:tcBorders>
            <w:shd w:val="clear" w:color="000000" w:fill="F8696B"/>
            <w:noWrap/>
            <w:vAlign w:val="center"/>
            <w:hideMark/>
          </w:tcPr>
          <w:p w14:paraId="738CF9AB"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r>
      <w:tr w:rsidR="00151DC1" w:rsidRPr="00FF4E93" w14:paraId="1007EC3A" w14:textId="77777777" w:rsidTr="00C54569">
        <w:trPr>
          <w:trHeight w:val="360"/>
        </w:trPr>
        <w:tc>
          <w:tcPr>
            <w:tcW w:w="1553" w:type="dxa"/>
            <w:tcBorders>
              <w:top w:val="nil"/>
              <w:left w:val="nil"/>
              <w:bottom w:val="nil"/>
              <w:right w:val="nil"/>
            </w:tcBorders>
            <w:shd w:val="clear" w:color="auto" w:fill="auto"/>
            <w:noWrap/>
            <w:vAlign w:val="center"/>
            <w:hideMark/>
          </w:tcPr>
          <w:p w14:paraId="442FF352"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Auction</w:t>
            </w:r>
          </w:p>
        </w:tc>
        <w:tc>
          <w:tcPr>
            <w:tcW w:w="850" w:type="dxa"/>
            <w:tcBorders>
              <w:top w:val="nil"/>
              <w:left w:val="nil"/>
              <w:bottom w:val="nil"/>
              <w:right w:val="nil"/>
            </w:tcBorders>
            <w:shd w:val="clear" w:color="000000" w:fill="F8726C"/>
            <w:noWrap/>
            <w:vAlign w:val="center"/>
            <w:hideMark/>
          </w:tcPr>
          <w:p w14:paraId="7E96750B"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0.1%</w:t>
            </w:r>
          </w:p>
        </w:tc>
        <w:tc>
          <w:tcPr>
            <w:tcW w:w="78" w:type="dxa"/>
            <w:tcBorders>
              <w:top w:val="nil"/>
              <w:left w:val="nil"/>
              <w:bottom w:val="nil"/>
              <w:right w:val="nil"/>
            </w:tcBorders>
            <w:shd w:val="clear" w:color="auto" w:fill="auto"/>
            <w:noWrap/>
            <w:vAlign w:val="center"/>
            <w:hideMark/>
          </w:tcPr>
          <w:p w14:paraId="6D15192F"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696B"/>
            <w:noWrap/>
            <w:vAlign w:val="center"/>
            <w:hideMark/>
          </w:tcPr>
          <w:p w14:paraId="5D741962"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nil"/>
              <w:right w:val="nil"/>
            </w:tcBorders>
            <w:shd w:val="clear" w:color="000000" w:fill="F98971"/>
            <w:noWrap/>
            <w:vAlign w:val="center"/>
            <w:hideMark/>
          </w:tcPr>
          <w:p w14:paraId="49FEA17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0.5%</w:t>
            </w:r>
          </w:p>
        </w:tc>
        <w:tc>
          <w:tcPr>
            <w:tcW w:w="718" w:type="dxa"/>
            <w:tcBorders>
              <w:top w:val="nil"/>
              <w:left w:val="nil"/>
              <w:bottom w:val="nil"/>
              <w:right w:val="nil"/>
            </w:tcBorders>
            <w:shd w:val="clear" w:color="000000" w:fill="F8696B"/>
            <w:noWrap/>
            <w:vAlign w:val="center"/>
            <w:hideMark/>
          </w:tcPr>
          <w:p w14:paraId="4884218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r>
      <w:tr w:rsidR="00151DC1" w:rsidRPr="00FF4E93" w14:paraId="6477BCDE" w14:textId="77777777" w:rsidTr="00C54569">
        <w:trPr>
          <w:trHeight w:val="360"/>
        </w:trPr>
        <w:tc>
          <w:tcPr>
            <w:tcW w:w="1553" w:type="dxa"/>
            <w:tcBorders>
              <w:top w:val="nil"/>
              <w:left w:val="nil"/>
              <w:bottom w:val="nil"/>
              <w:right w:val="nil"/>
            </w:tcBorders>
            <w:shd w:val="clear" w:color="auto" w:fill="auto"/>
            <w:noWrap/>
            <w:vAlign w:val="center"/>
            <w:hideMark/>
          </w:tcPr>
          <w:p w14:paraId="1AFE23EC"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Franchising</w:t>
            </w:r>
          </w:p>
        </w:tc>
        <w:tc>
          <w:tcPr>
            <w:tcW w:w="850" w:type="dxa"/>
            <w:tcBorders>
              <w:top w:val="nil"/>
              <w:left w:val="nil"/>
              <w:bottom w:val="nil"/>
              <w:right w:val="nil"/>
            </w:tcBorders>
            <w:shd w:val="clear" w:color="000000" w:fill="F8726C"/>
            <w:noWrap/>
            <w:vAlign w:val="center"/>
            <w:hideMark/>
          </w:tcPr>
          <w:p w14:paraId="22B4C6B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0.1%</w:t>
            </w:r>
          </w:p>
        </w:tc>
        <w:tc>
          <w:tcPr>
            <w:tcW w:w="78" w:type="dxa"/>
            <w:tcBorders>
              <w:top w:val="nil"/>
              <w:left w:val="nil"/>
              <w:bottom w:val="nil"/>
              <w:right w:val="nil"/>
            </w:tcBorders>
            <w:shd w:val="clear" w:color="auto" w:fill="auto"/>
            <w:noWrap/>
            <w:vAlign w:val="center"/>
            <w:hideMark/>
          </w:tcPr>
          <w:p w14:paraId="0C3813E1"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696B"/>
            <w:noWrap/>
            <w:vAlign w:val="center"/>
            <w:hideMark/>
          </w:tcPr>
          <w:p w14:paraId="5E5F5775"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nil"/>
              <w:right w:val="nil"/>
            </w:tcBorders>
            <w:shd w:val="clear" w:color="000000" w:fill="F98971"/>
            <w:noWrap/>
            <w:vAlign w:val="center"/>
            <w:hideMark/>
          </w:tcPr>
          <w:p w14:paraId="0AAB109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0.5%</w:t>
            </w:r>
          </w:p>
        </w:tc>
        <w:tc>
          <w:tcPr>
            <w:tcW w:w="718" w:type="dxa"/>
            <w:tcBorders>
              <w:top w:val="nil"/>
              <w:left w:val="nil"/>
              <w:bottom w:val="nil"/>
              <w:right w:val="nil"/>
            </w:tcBorders>
            <w:shd w:val="clear" w:color="000000" w:fill="F8696B"/>
            <w:noWrap/>
            <w:vAlign w:val="center"/>
            <w:hideMark/>
          </w:tcPr>
          <w:p w14:paraId="5FA8A96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r>
      <w:tr w:rsidR="00151DC1" w:rsidRPr="00FF4E93" w14:paraId="667B6EB2" w14:textId="77777777" w:rsidTr="00C54569">
        <w:trPr>
          <w:trHeight w:val="360"/>
        </w:trPr>
        <w:tc>
          <w:tcPr>
            <w:tcW w:w="1553" w:type="dxa"/>
            <w:tcBorders>
              <w:top w:val="nil"/>
              <w:left w:val="nil"/>
              <w:bottom w:val="nil"/>
              <w:right w:val="nil"/>
            </w:tcBorders>
            <w:shd w:val="clear" w:color="auto" w:fill="auto"/>
            <w:noWrap/>
            <w:vAlign w:val="center"/>
            <w:hideMark/>
          </w:tcPr>
          <w:p w14:paraId="6095726E"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bCs/>
                <w:color w:val="000000"/>
                <w:sz w:val="20"/>
                <w:szCs w:val="20"/>
              </w:rPr>
              <w:t>Pay What You Want</w:t>
            </w:r>
          </w:p>
        </w:tc>
        <w:tc>
          <w:tcPr>
            <w:tcW w:w="850" w:type="dxa"/>
            <w:tcBorders>
              <w:top w:val="nil"/>
              <w:left w:val="nil"/>
              <w:bottom w:val="nil"/>
              <w:right w:val="nil"/>
            </w:tcBorders>
            <w:shd w:val="clear" w:color="000000" w:fill="F8726C"/>
            <w:noWrap/>
            <w:vAlign w:val="center"/>
            <w:hideMark/>
          </w:tcPr>
          <w:p w14:paraId="6053C15F"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0.1%</w:t>
            </w:r>
          </w:p>
        </w:tc>
        <w:tc>
          <w:tcPr>
            <w:tcW w:w="78" w:type="dxa"/>
            <w:tcBorders>
              <w:top w:val="nil"/>
              <w:left w:val="nil"/>
              <w:bottom w:val="nil"/>
              <w:right w:val="nil"/>
            </w:tcBorders>
            <w:shd w:val="clear" w:color="auto" w:fill="auto"/>
            <w:noWrap/>
            <w:vAlign w:val="center"/>
            <w:hideMark/>
          </w:tcPr>
          <w:p w14:paraId="082E4A6F"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97C6E"/>
            <w:noWrap/>
            <w:vAlign w:val="center"/>
            <w:hideMark/>
          </w:tcPr>
          <w:p w14:paraId="72EA2D8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0.3%</w:t>
            </w:r>
          </w:p>
        </w:tc>
        <w:tc>
          <w:tcPr>
            <w:tcW w:w="709" w:type="dxa"/>
            <w:tcBorders>
              <w:top w:val="nil"/>
              <w:left w:val="nil"/>
              <w:bottom w:val="nil"/>
              <w:right w:val="nil"/>
            </w:tcBorders>
            <w:shd w:val="clear" w:color="000000" w:fill="F8696B"/>
            <w:noWrap/>
            <w:vAlign w:val="center"/>
            <w:hideMark/>
          </w:tcPr>
          <w:p w14:paraId="1CE1B6D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18" w:type="dxa"/>
            <w:tcBorders>
              <w:top w:val="nil"/>
              <w:left w:val="nil"/>
              <w:bottom w:val="nil"/>
              <w:right w:val="nil"/>
            </w:tcBorders>
            <w:shd w:val="clear" w:color="000000" w:fill="F8696B"/>
            <w:noWrap/>
            <w:vAlign w:val="center"/>
            <w:hideMark/>
          </w:tcPr>
          <w:p w14:paraId="1A310AE3"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r>
      <w:tr w:rsidR="00151DC1" w:rsidRPr="00FF4E93" w14:paraId="025550FB" w14:textId="77777777" w:rsidTr="00C54569">
        <w:trPr>
          <w:trHeight w:val="360"/>
        </w:trPr>
        <w:tc>
          <w:tcPr>
            <w:tcW w:w="1553" w:type="dxa"/>
            <w:tcBorders>
              <w:top w:val="nil"/>
              <w:left w:val="nil"/>
              <w:bottom w:val="nil"/>
              <w:right w:val="nil"/>
            </w:tcBorders>
            <w:shd w:val="clear" w:color="auto" w:fill="auto"/>
            <w:noWrap/>
            <w:vAlign w:val="center"/>
            <w:hideMark/>
          </w:tcPr>
          <w:p w14:paraId="28528067"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Fractional Ownership</w:t>
            </w:r>
          </w:p>
        </w:tc>
        <w:tc>
          <w:tcPr>
            <w:tcW w:w="850" w:type="dxa"/>
            <w:tcBorders>
              <w:top w:val="nil"/>
              <w:left w:val="nil"/>
              <w:bottom w:val="nil"/>
              <w:right w:val="nil"/>
            </w:tcBorders>
            <w:shd w:val="clear" w:color="000000" w:fill="F8696B"/>
            <w:noWrap/>
            <w:vAlign w:val="center"/>
            <w:hideMark/>
          </w:tcPr>
          <w:p w14:paraId="0014ABD0"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8" w:type="dxa"/>
            <w:tcBorders>
              <w:top w:val="nil"/>
              <w:left w:val="nil"/>
              <w:bottom w:val="nil"/>
              <w:right w:val="nil"/>
            </w:tcBorders>
            <w:shd w:val="clear" w:color="auto" w:fill="auto"/>
            <w:noWrap/>
            <w:vAlign w:val="center"/>
            <w:hideMark/>
          </w:tcPr>
          <w:p w14:paraId="34100D79"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696B"/>
            <w:noWrap/>
            <w:vAlign w:val="center"/>
            <w:hideMark/>
          </w:tcPr>
          <w:p w14:paraId="66E1BCA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nil"/>
              <w:right w:val="nil"/>
            </w:tcBorders>
            <w:shd w:val="clear" w:color="000000" w:fill="F8696B"/>
            <w:noWrap/>
            <w:vAlign w:val="center"/>
            <w:hideMark/>
          </w:tcPr>
          <w:p w14:paraId="7D0FA7D6"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18" w:type="dxa"/>
            <w:tcBorders>
              <w:top w:val="nil"/>
              <w:left w:val="nil"/>
              <w:bottom w:val="nil"/>
              <w:right w:val="nil"/>
            </w:tcBorders>
            <w:shd w:val="clear" w:color="000000" w:fill="F8696B"/>
            <w:noWrap/>
            <w:vAlign w:val="center"/>
            <w:hideMark/>
          </w:tcPr>
          <w:p w14:paraId="5CA6B40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r>
      <w:tr w:rsidR="00151DC1" w:rsidRPr="00FF4E93" w14:paraId="03758D2B" w14:textId="77777777" w:rsidTr="00C54569">
        <w:trPr>
          <w:trHeight w:val="360"/>
        </w:trPr>
        <w:tc>
          <w:tcPr>
            <w:tcW w:w="1553" w:type="dxa"/>
            <w:tcBorders>
              <w:top w:val="nil"/>
              <w:left w:val="nil"/>
              <w:bottom w:val="nil"/>
              <w:right w:val="nil"/>
            </w:tcBorders>
            <w:shd w:val="clear" w:color="auto" w:fill="auto"/>
            <w:noWrap/>
            <w:vAlign w:val="center"/>
            <w:hideMark/>
          </w:tcPr>
          <w:p w14:paraId="1E1057E5"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Razor and Blade</w:t>
            </w:r>
          </w:p>
        </w:tc>
        <w:tc>
          <w:tcPr>
            <w:tcW w:w="850" w:type="dxa"/>
            <w:tcBorders>
              <w:top w:val="nil"/>
              <w:left w:val="nil"/>
              <w:bottom w:val="nil"/>
              <w:right w:val="nil"/>
            </w:tcBorders>
            <w:shd w:val="clear" w:color="000000" w:fill="F8696B"/>
            <w:noWrap/>
            <w:vAlign w:val="center"/>
            <w:hideMark/>
          </w:tcPr>
          <w:p w14:paraId="7408B432"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8" w:type="dxa"/>
            <w:tcBorders>
              <w:top w:val="nil"/>
              <w:left w:val="nil"/>
              <w:bottom w:val="nil"/>
              <w:right w:val="nil"/>
            </w:tcBorders>
            <w:shd w:val="clear" w:color="auto" w:fill="auto"/>
            <w:noWrap/>
            <w:vAlign w:val="center"/>
            <w:hideMark/>
          </w:tcPr>
          <w:p w14:paraId="0CF5E85D"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696B"/>
            <w:noWrap/>
            <w:vAlign w:val="center"/>
            <w:hideMark/>
          </w:tcPr>
          <w:p w14:paraId="50DFF78C"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nil"/>
              <w:right w:val="nil"/>
            </w:tcBorders>
            <w:shd w:val="clear" w:color="000000" w:fill="F8696B"/>
            <w:noWrap/>
            <w:vAlign w:val="center"/>
            <w:hideMark/>
          </w:tcPr>
          <w:p w14:paraId="3B28A5C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18" w:type="dxa"/>
            <w:tcBorders>
              <w:top w:val="nil"/>
              <w:left w:val="nil"/>
              <w:bottom w:val="nil"/>
              <w:right w:val="nil"/>
            </w:tcBorders>
            <w:shd w:val="clear" w:color="000000" w:fill="F8696B"/>
            <w:noWrap/>
            <w:vAlign w:val="center"/>
            <w:hideMark/>
          </w:tcPr>
          <w:p w14:paraId="216D918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r>
      <w:tr w:rsidR="00151DC1" w:rsidRPr="00FF4E93" w14:paraId="380B216B" w14:textId="77777777" w:rsidTr="00C54569">
        <w:trPr>
          <w:trHeight w:val="360"/>
        </w:trPr>
        <w:tc>
          <w:tcPr>
            <w:tcW w:w="1553" w:type="dxa"/>
            <w:tcBorders>
              <w:top w:val="nil"/>
              <w:left w:val="nil"/>
              <w:bottom w:val="nil"/>
              <w:right w:val="nil"/>
            </w:tcBorders>
            <w:shd w:val="clear" w:color="auto" w:fill="auto"/>
            <w:noWrap/>
            <w:vAlign w:val="center"/>
            <w:hideMark/>
          </w:tcPr>
          <w:p w14:paraId="4FB54DE9"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Shop-in-Shop</w:t>
            </w:r>
          </w:p>
        </w:tc>
        <w:tc>
          <w:tcPr>
            <w:tcW w:w="850" w:type="dxa"/>
            <w:tcBorders>
              <w:top w:val="nil"/>
              <w:left w:val="nil"/>
              <w:bottom w:val="nil"/>
              <w:right w:val="nil"/>
            </w:tcBorders>
            <w:shd w:val="clear" w:color="000000" w:fill="F8696B"/>
            <w:noWrap/>
            <w:vAlign w:val="center"/>
            <w:hideMark/>
          </w:tcPr>
          <w:p w14:paraId="797AD2AF"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8" w:type="dxa"/>
            <w:tcBorders>
              <w:top w:val="nil"/>
              <w:left w:val="nil"/>
              <w:bottom w:val="nil"/>
              <w:right w:val="nil"/>
            </w:tcBorders>
            <w:shd w:val="clear" w:color="auto" w:fill="auto"/>
            <w:noWrap/>
            <w:vAlign w:val="center"/>
            <w:hideMark/>
          </w:tcPr>
          <w:p w14:paraId="77F18B1E"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696B"/>
            <w:noWrap/>
            <w:vAlign w:val="center"/>
            <w:hideMark/>
          </w:tcPr>
          <w:p w14:paraId="0872EE5F"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nil"/>
              <w:right w:val="nil"/>
            </w:tcBorders>
            <w:shd w:val="clear" w:color="000000" w:fill="F8696B"/>
            <w:noWrap/>
            <w:vAlign w:val="center"/>
            <w:hideMark/>
          </w:tcPr>
          <w:p w14:paraId="3C2F585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18" w:type="dxa"/>
            <w:tcBorders>
              <w:top w:val="nil"/>
              <w:left w:val="nil"/>
              <w:bottom w:val="nil"/>
              <w:right w:val="nil"/>
            </w:tcBorders>
            <w:shd w:val="clear" w:color="000000" w:fill="F8696B"/>
            <w:noWrap/>
            <w:vAlign w:val="center"/>
            <w:hideMark/>
          </w:tcPr>
          <w:p w14:paraId="7F5D441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r>
      <w:tr w:rsidR="00151DC1" w:rsidRPr="00FF4E93" w14:paraId="6741BAD7" w14:textId="77777777" w:rsidTr="00C54569">
        <w:trPr>
          <w:trHeight w:val="360"/>
        </w:trPr>
        <w:tc>
          <w:tcPr>
            <w:tcW w:w="1553" w:type="dxa"/>
            <w:tcBorders>
              <w:top w:val="nil"/>
              <w:left w:val="nil"/>
              <w:bottom w:val="nil"/>
              <w:right w:val="nil"/>
            </w:tcBorders>
            <w:shd w:val="clear" w:color="auto" w:fill="auto"/>
            <w:noWrap/>
            <w:vAlign w:val="center"/>
            <w:hideMark/>
          </w:tcPr>
          <w:p w14:paraId="1E0DDCB7" w14:textId="77777777" w:rsidR="00151DC1" w:rsidRPr="00FF4E93" w:rsidRDefault="00151DC1" w:rsidP="00151DC1">
            <w:pPr>
              <w:spacing w:before="0" w:after="0" w:line="240" w:lineRule="auto"/>
              <w:jc w:val="left"/>
              <w:rPr>
                <w:rFonts w:eastAsia="Times New Roman"/>
                <w:color w:val="000000"/>
                <w:sz w:val="20"/>
                <w:szCs w:val="20"/>
              </w:rPr>
            </w:pPr>
            <w:r w:rsidRPr="00FF4E93">
              <w:rPr>
                <w:rFonts w:eastAsia="Times New Roman"/>
                <w:color w:val="000000"/>
                <w:sz w:val="20"/>
                <w:szCs w:val="20"/>
              </w:rPr>
              <w:t>Trash-to-Cash</w:t>
            </w:r>
          </w:p>
        </w:tc>
        <w:tc>
          <w:tcPr>
            <w:tcW w:w="850" w:type="dxa"/>
            <w:tcBorders>
              <w:top w:val="nil"/>
              <w:left w:val="nil"/>
              <w:bottom w:val="nil"/>
              <w:right w:val="nil"/>
            </w:tcBorders>
            <w:shd w:val="clear" w:color="000000" w:fill="F8696B"/>
            <w:noWrap/>
            <w:vAlign w:val="center"/>
            <w:hideMark/>
          </w:tcPr>
          <w:p w14:paraId="14D91FF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8" w:type="dxa"/>
            <w:tcBorders>
              <w:top w:val="nil"/>
              <w:left w:val="nil"/>
              <w:bottom w:val="nil"/>
              <w:right w:val="nil"/>
            </w:tcBorders>
            <w:shd w:val="clear" w:color="auto" w:fill="auto"/>
            <w:noWrap/>
            <w:vAlign w:val="center"/>
            <w:hideMark/>
          </w:tcPr>
          <w:p w14:paraId="68AC0525"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nil"/>
              <w:right w:val="nil"/>
            </w:tcBorders>
            <w:shd w:val="clear" w:color="000000" w:fill="F8696B"/>
            <w:noWrap/>
            <w:vAlign w:val="center"/>
            <w:hideMark/>
          </w:tcPr>
          <w:p w14:paraId="2A4E420C"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nil"/>
              <w:right w:val="nil"/>
            </w:tcBorders>
            <w:shd w:val="clear" w:color="000000" w:fill="F8696B"/>
            <w:noWrap/>
            <w:vAlign w:val="center"/>
            <w:hideMark/>
          </w:tcPr>
          <w:p w14:paraId="17488587"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18" w:type="dxa"/>
            <w:tcBorders>
              <w:top w:val="nil"/>
              <w:left w:val="nil"/>
              <w:bottom w:val="nil"/>
              <w:right w:val="nil"/>
            </w:tcBorders>
            <w:shd w:val="clear" w:color="000000" w:fill="F8696B"/>
            <w:noWrap/>
            <w:vAlign w:val="center"/>
            <w:hideMark/>
          </w:tcPr>
          <w:p w14:paraId="5437443D"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r>
      <w:tr w:rsidR="00151DC1" w:rsidRPr="00FF4E93" w14:paraId="317B7C55" w14:textId="77777777" w:rsidTr="00C54569">
        <w:trPr>
          <w:trHeight w:val="380"/>
        </w:trPr>
        <w:tc>
          <w:tcPr>
            <w:tcW w:w="1553" w:type="dxa"/>
            <w:tcBorders>
              <w:top w:val="nil"/>
              <w:left w:val="nil"/>
              <w:bottom w:val="single" w:sz="4" w:space="0" w:color="auto"/>
              <w:right w:val="nil"/>
            </w:tcBorders>
            <w:shd w:val="clear" w:color="auto" w:fill="auto"/>
            <w:noWrap/>
            <w:vAlign w:val="center"/>
            <w:hideMark/>
          </w:tcPr>
          <w:p w14:paraId="5FA9AC69" w14:textId="77777777" w:rsidR="00151DC1" w:rsidRPr="00FF4E93" w:rsidRDefault="00151DC1" w:rsidP="00151DC1">
            <w:pPr>
              <w:spacing w:before="0" w:after="0" w:line="240" w:lineRule="auto"/>
              <w:jc w:val="left"/>
              <w:rPr>
                <w:rFonts w:eastAsia="Times New Roman"/>
                <w:color w:val="212121"/>
                <w:sz w:val="20"/>
                <w:szCs w:val="20"/>
              </w:rPr>
            </w:pPr>
            <w:r w:rsidRPr="00FF4E93">
              <w:rPr>
                <w:rFonts w:eastAsia="Times New Roman"/>
                <w:color w:val="212121"/>
                <w:sz w:val="20"/>
                <w:szCs w:val="20"/>
              </w:rPr>
              <w:t>Object Self-Service</w:t>
            </w:r>
          </w:p>
        </w:tc>
        <w:tc>
          <w:tcPr>
            <w:tcW w:w="850" w:type="dxa"/>
            <w:tcBorders>
              <w:top w:val="nil"/>
              <w:left w:val="nil"/>
              <w:bottom w:val="single" w:sz="4" w:space="0" w:color="auto"/>
              <w:right w:val="nil"/>
            </w:tcBorders>
            <w:shd w:val="clear" w:color="000000" w:fill="F8696B"/>
            <w:noWrap/>
            <w:vAlign w:val="center"/>
            <w:hideMark/>
          </w:tcPr>
          <w:p w14:paraId="0B481DFA"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8" w:type="dxa"/>
            <w:tcBorders>
              <w:top w:val="nil"/>
              <w:left w:val="nil"/>
              <w:bottom w:val="single" w:sz="4" w:space="0" w:color="auto"/>
              <w:right w:val="nil"/>
            </w:tcBorders>
            <w:shd w:val="clear" w:color="auto" w:fill="auto"/>
            <w:noWrap/>
            <w:vAlign w:val="center"/>
            <w:hideMark/>
          </w:tcPr>
          <w:p w14:paraId="68B2AD86" w14:textId="77777777" w:rsidR="00151DC1" w:rsidRPr="00FF4E93" w:rsidRDefault="00151DC1" w:rsidP="00151DC1">
            <w:pPr>
              <w:spacing w:before="0" w:after="0" w:line="240" w:lineRule="auto"/>
              <w:jc w:val="center"/>
              <w:rPr>
                <w:rFonts w:eastAsia="Times New Roman"/>
                <w:color w:val="212121"/>
                <w:sz w:val="20"/>
                <w:szCs w:val="20"/>
              </w:rPr>
            </w:pPr>
          </w:p>
        </w:tc>
        <w:tc>
          <w:tcPr>
            <w:tcW w:w="631" w:type="dxa"/>
            <w:tcBorders>
              <w:top w:val="nil"/>
              <w:left w:val="nil"/>
              <w:bottom w:val="single" w:sz="4" w:space="0" w:color="auto"/>
              <w:right w:val="nil"/>
            </w:tcBorders>
            <w:shd w:val="clear" w:color="000000" w:fill="F8696B"/>
            <w:noWrap/>
            <w:vAlign w:val="center"/>
            <w:hideMark/>
          </w:tcPr>
          <w:p w14:paraId="29B7E63E"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09" w:type="dxa"/>
            <w:tcBorders>
              <w:top w:val="nil"/>
              <w:left w:val="nil"/>
              <w:bottom w:val="single" w:sz="4" w:space="0" w:color="auto"/>
              <w:right w:val="nil"/>
            </w:tcBorders>
            <w:shd w:val="clear" w:color="000000" w:fill="F8696B"/>
            <w:noWrap/>
            <w:vAlign w:val="center"/>
            <w:hideMark/>
          </w:tcPr>
          <w:p w14:paraId="0F0895F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c>
          <w:tcPr>
            <w:tcW w:w="718" w:type="dxa"/>
            <w:tcBorders>
              <w:top w:val="nil"/>
              <w:left w:val="nil"/>
              <w:bottom w:val="single" w:sz="4" w:space="0" w:color="auto"/>
              <w:right w:val="nil"/>
            </w:tcBorders>
            <w:shd w:val="clear" w:color="000000" w:fill="F8696B"/>
            <w:noWrap/>
            <w:vAlign w:val="center"/>
            <w:hideMark/>
          </w:tcPr>
          <w:p w14:paraId="576DFC78" w14:textId="77777777" w:rsidR="00151DC1" w:rsidRPr="00FF4E93" w:rsidRDefault="00151DC1" w:rsidP="00151DC1">
            <w:pPr>
              <w:spacing w:before="0" w:after="0" w:line="240" w:lineRule="auto"/>
              <w:jc w:val="center"/>
              <w:rPr>
                <w:rFonts w:eastAsia="Times New Roman"/>
                <w:color w:val="212121"/>
                <w:sz w:val="20"/>
                <w:szCs w:val="20"/>
              </w:rPr>
            </w:pPr>
            <w:r w:rsidRPr="00FF4E93">
              <w:rPr>
                <w:rFonts w:eastAsia="Times New Roman"/>
                <w:color w:val="212121"/>
                <w:sz w:val="20"/>
                <w:szCs w:val="20"/>
              </w:rPr>
              <w:t>0.0%</w:t>
            </w:r>
          </w:p>
        </w:tc>
      </w:tr>
    </w:tbl>
    <w:p w14:paraId="695DA291" w14:textId="77777777" w:rsidR="00151DC1" w:rsidRPr="00FF4E93" w:rsidRDefault="00151DC1" w:rsidP="00151DC1">
      <w:pPr>
        <w:spacing w:after="0"/>
        <w:rPr>
          <w:rFonts w:eastAsia="Times New Roman"/>
          <w:sz w:val="26"/>
        </w:rPr>
        <w:sectPr w:rsidR="00151DC1" w:rsidRPr="00FF4E93" w:rsidSect="00C54569">
          <w:type w:val="continuous"/>
          <w:pgSz w:w="11906" w:h="16838"/>
          <w:pgMar w:top="1417" w:right="1417" w:bottom="1134" w:left="1417" w:header="708" w:footer="708" w:gutter="0"/>
          <w:cols w:num="2" w:space="708"/>
          <w:titlePg/>
          <w:docGrid w:linePitch="360"/>
        </w:sectPr>
      </w:pPr>
    </w:p>
    <w:p w14:paraId="48327EC6" w14:textId="5C4A29FE" w:rsidR="00151DC1" w:rsidRPr="00FF4E93" w:rsidRDefault="00151DC1" w:rsidP="00151DC1">
      <w:pPr>
        <w:spacing w:after="0"/>
        <w:rPr>
          <w:rFonts w:eastAsia="Times New Roman"/>
          <w:sz w:val="26"/>
        </w:rPr>
      </w:pPr>
      <w:r w:rsidRPr="00FF4E93">
        <w:rPr>
          <w:rFonts w:eastAsia="Times New Roman"/>
          <w:sz w:val="26"/>
        </w:rPr>
        <w:lastRenderedPageBreak/>
        <w:t xml:space="preserve">Our findings further add to the emerging stream of configurational research on business models. By examining configurations of business model patterns of high-performing ventures, we contribute to the analysis of fitness between business model elements, and hence the explanation of firm performance </w:t>
      </w:r>
      <w:r w:rsidRPr="00FF4E93">
        <w:rPr>
          <w:rFonts w:eastAsia="Times New Roman"/>
          <w:sz w:val="26"/>
        </w:rPr>
        <w:fldChar w:fldCharType="begin" w:fldLock="1"/>
      </w:r>
      <w:r w:rsidR="00C95F78" w:rsidRPr="00FF4E93">
        <w:rPr>
          <w:rFonts w:eastAsia="Times New Roman"/>
          <w:sz w:val="26"/>
        </w:rPr>
        <w:instrText>ADDIN CSL_CITATION {"citationItems":[{"id":"ITEM-1","itemData":{"abstract":"Organizational configurations are sets of firms that are similar in terms of important characteristics. This article is intended to help close three gaps in the literature on organizational configurations. First, the authors propose clear definitions that may facilitate progress in the literature. Second, they provide the first major review since 1993 of accomplishments and struggles within organizational configurations research. Third, they describe how the configurational approach to organizations can make greater contributions within its traditional domains of organization theory and strategic management and can be extended to inform areas such as human resource management, organizational behavior, ethics, entrepreneurship, and international business","author":[{"dropping-particle":"","family":"Short","given":"Jeremy C.","non-dropping-particle":"","parse-names":false,"suffix":""},{"dropping-particle":"","family":"Payne","given":"G. Tyge","non-dropping-particle":"","parse-names":false,"suffix":""},{"dropping-particle":"","family":"Ketchen","given":"David J.","non-dropping-particle":"","parse-names":false,"suffix":""}],"container-title":"Journal of Management","id":"ITEM-1","issue":"6","issued":{"date-parts":[["2008"]]},"page":"1053-1079","title":"Research on organizational configurations: Past accomplishments and future challenges","type":"article-journal","volume":"34"},"uris":["http://www.mendeley.com/documents/?uuid=a57d2aef-d6c6-493f-ab58-56af514f9ae0"]},{"id":"ITEM-2","itemData":{"abstract":"Mintzberg's and Miles and Snow's configurational theories have both received widespread attention. Most researchers, however, have interpreted these theories in terms of categories of organizations rather than organizational configurations based on ideal types. We explicated the logical structure of configurational theories and developed a set of configurational fit models that are congruent with alternative assumptions of equifinality, which is the premise that multiple organizational forms are equally effective. Then the two theories were formalized with these models and tested empirically. Contrary to our expectations, the results do not support Mintzberg's theory that organizations will be more effective to the extent that they resemble his five ideal types. In contrast with these null results, configurational fit based on Miles and Snow's theory predicted 24 percent of the variance in overall organizational effectiveness.","author":[{"dropping-particle":"","family":"Doty","given":"D H","non-dropping-particle":"","parse-names":false,"suffix":""},{"dropping-particle":"","family":"Glick","given":"W H","non-dropping-particle":"","parse-names":false,"suffix":""},{"dropping-particle":"","family":"Huber","given":"G P","non-dropping-particle":"","parse-names":false,"suffix":""}],"container-title":"Academy of Management Journal","id":"ITEM-2","issue":"6","issued":{"date-parts":[["1993"]]},"page":"1196-1250","title":"Fit, Equifinality, and Organizational Effectiveness: A Test of Two Configurational Theories","type":"article-journal","volume":"36"},"uris":["http://www.mendeley.com/documents/?uuid=4b77fbac-e9c8-4764-8379-79d69c8726c9"]}],"mendeley":{"formattedCitation":"(Doty et al., 1993; Short, Payne, &amp; Ketchen, 2008)","plainTextFormattedCitation":"(Doty et al., 1993; Short, Payne, &amp; Ketchen, 2008)","previouslyFormattedCitation":"(Doty et al., 1993; Short et al., 2008)"},"properties":{"noteIndex":0},"schema":"https://github.com/citation-style-language/schema/raw/master/csl-citation.json"}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(Doty et al., 1993; Short, Payne, &amp; Ketchen, 2008)</w:t>
      </w:r>
      <w:r w:rsidRPr="00FF4E93">
        <w:rPr>
          <w:rFonts w:eastAsia="Times New Roman"/>
          <w:sz w:val="26"/>
        </w:rPr>
        <w:fldChar w:fldCharType="end"/>
      </w:r>
      <w:r w:rsidRPr="00FF4E93">
        <w:rPr>
          <w:rFonts w:eastAsia="Times New Roman"/>
          <w:sz w:val="26"/>
        </w:rPr>
        <w:t xml:space="preserve">. Previous research has indicated the possibility to combine business model patterns for systematic business model innovation </w:t>
      </w:r>
      <w:r w:rsidRPr="00FF4E93">
        <w:rPr>
          <w:rFonts w:eastAsia="Times New Roman"/>
          <w:sz w:val="26"/>
        </w:rPr>
        <w:fldChar w:fldCharType="begin" w:fldLock="1"/>
      </w:r>
      <w:r w:rsidRPr="00FF4E93">
        <w:rPr>
          <w:rFonts w:eastAsia="Times New Roman"/>
          <w:sz w:val="26"/>
        </w:rPr>
        <w:instrText>ADDIN CSL_CITATION {"citationItems":[{"id":"ITEM-1","itemData":{"abstract":"The paper aims to generate systematically business model innovations in the field of electric mobility. It introduces a new framework, in which a business model denotes a value-focused concept with five value dimensions: value proposition, value communication, value creation, value delivery and value capture. The framework enables the classification of business model patterns, identified in the literature, according to five categories. The combination of patterns from different dimensions can lead to the systematic generation of business model innovations. But the number of business models that can result from pattern combinations can be overwhelming. Subsequently, the paper only evaluates the extent to which business model patterns that are not necessarily observed in the automotive sector can be useful for the field of electric mobility, and how they can be adapted to fit into the new context. We find that the transferability strongly depends on the actor's role in the system, if it is a manufacturer, supplier or service provider. More importantly, our analysis shows that some models such as product-to-service (e.g., car sharing service), already implemented in the automotive industry, will continue to be successful in the future because of their potential of increasing customer acceptance and technology diffusion. Many other business models -- so far used in other sectors, but not in the automotive industry -- may integrate the field of electric mobility. Razor and blades, own the undesirable concept, and leverage new influencers are all promising business models, if they can be fitted adequately to the new context induced by the new technology. [ABSTRACT FROM AUTHOR]","author":[{"dropping-particle":"","family":"Abdelkafi","given":"Nizar","non-dropping-particle":"","parse-names":false,"suffix":""},{"dropping-particle":"","family":"Makhotin","given":"Sergiy","non-dropping-particle":"","parse-names":false,"suffix":""},{"dropping-particle":"","family":"Posselt","given":"Thorsten","non-dropping-particle":"","parse-names":false,"suffix":""}],"container-title":"International Journal of Innovation Management","id":"ITEM-1","issue":"1","issued":{"date-parts":[["2013"]]},"page":"1-41","title":"Business Model Innovations for Electric Mobility — What Can Be Learned From Existing Business Model Patterns?","type":"article-journal","volume":"17"},"uris":["http://www.mendeley.com/documents/?uuid=3e3980f5-d7ed-43ee-ae22-0572b30233f4"]}],"mendeley":{"formattedCitation":"(Abdelkafi et al., 2013)","plainTextFormattedCitation":"(Abdelkafi et al., 2013)","previouslyFormattedCitation":"(Abdelkafi et al., 2013)"},"properties":{"noteIndex":0},"schema":"https://github.com/citation-style-language/schema/raw/master/csl-citation.json"}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(Abdelkafi et al., 2013)</w:t>
      </w:r>
      <w:r w:rsidRPr="00FF4E93">
        <w:rPr>
          <w:rFonts w:eastAsia="Times New Roman"/>
          <w:sz w:val="26"/>
        </w:rPr>
        <w:fldChar w:fldCharType="end"/>
      </w:r>
      <w:r w:rsidRPr="00FF4E93">
        <w:rPr>
          <w:rFonts w:eastAsia="Times New Roman"/>
          <w:sz w:val="26"/>
        </w:rPr>
        <w:t xml:space="preserve">. We identify three pattern configurations that are centred around the patterns </w:t>
      </w:r>
      <w:r w:rsidRPr="00FF4E93">
        <w:rPr>
          <w:rFonts w:eastAsia="Times New Roman"/>
          <w:i/>
          <w:sz w:val="26"/>
        </w:rPr>
        <w:t xml:space="preserve">Layer Player, Solution Provider, </w:t>
      </w:r>
      <w:r w:rsidRPr="00FF4E93">
        <w:rPr>
          <w:rFonts w:eastAsia="Times New Roman"/>
          <w:sz w:val="26"/>
        </w:rPr>
        <w:t xml:space="preserve">and </w:t>
      </w:r>
      <w:r w:rsidRPr="00FF4E93">
        <w:rPr>
          <w:rFonts w:eastAsia="Times New Roman"/>
          <w:i/>
          <w:sz w:val="26"/>
        </w:rPr>
        <w:t xml:space="preserve">Open Business Model. </w:t>
      </w:r>
      <w:r w:rsidRPr="00FF4E93">
        <w:rPr>
          <w:rFonts w:eastAsia="Times New Roman"/>
          <w:sz w:val="26"/>
        </w:rPr>
        <w:t xml:space="preserve">Combinations of these patterns match independently of the technology context. Notably, however, variants of these configurations are equally context-dependent as individual patterns. For instance, we frequently observed the pattern configuration </w:t>
      </w:r>
      <w:r w:rsidRPr="00FF4E93">
        <w:rPr>
          <w:rFonts w:eastAsia="Times New Roman"/>
          <w:i/>
          <w:sz w:val="26"/>
        </w:rPr>
        <w:t>{</w:t>
      </w:r>
      <w:r w:rsidRPr="00FF4E93">
        <w:rPr>
          <w:rFonts w:eastAsia="Times New Roman"/>
          <w:i/>
          <w:color w:val="000000"/>
          <w:sz w:val="26"/>
        </w:rPr>
        <w:t>OBM, Solution Provider, Leverage Customer Data}</w:t>
      </w:r>
      <w:r w:rsidRPr="00FF4E93">
        <w:rPr>
          <w:rFonts w:eastAsia="Times New Roman"/>
          <w:color w:val="000000"/>
          <w:sz w:val="26"/>
        </w:rPr>
        <w:t xml:space="preserve"> among entrepreneurial ventures in drone-technology. Although all three patterns are commonly used by ventures across technology domains, we barely observed this configuration in one of the two others. </w:t>
      </w:r>
    </w:p>
    <w:p w14:paraId="5436538F" w14:textId="77777777" w:rsidR="00151DC1" w:rsidRPr="00FF4E93" w:rsidRDefault="00151DC1" w:rsidP="00151DC1">
      <w:pPr>
        <w:spacing w:after="0"/>
        <w:rPr>
          <w:rFonts w:eastAsia="Times New Roman"/>
          <w:sz w:val="26"/>
        </w:rPr>
      </w:pPr>
      <w:r w:rsidRPr="00FF4E93">
        <w:rPr>
          <w:rFonts w:eastAsia="Times New Roman"/>
          <w:sz w:val="26"/>
        </w:rPr>
        <w:t xml:space="preserve">Additionally, our findings relate to theories on </w:t>
      </w:r>
      <w:r w:rsidRPr="00FF4E93">
        <w:rPr>
          <w:rFonts w:eastAsia="Times New Roman"/>
          <w:i/>
          <w:sz w:val="26"/>
        </w:rPr>
        <w:t>open innovation</w:t>
      </w:r>
      <w:r w:rsidRPr="00FF4E93">
        <w:rPr>
          <w:rFonts w:eastAsia="Times New Roman"/>
          <w:sz w:val="26"/>
        </w:rPr>
        <w:t xml:space="preserve">. Prior research has found that external knowledge sourcing facilitates the identification of distant market opportunities </w:t>
      </w:r>
      <w:r w:rsidRPr="00FF4E93">
        <w:rPr>
          <w:rFonts w:eastAsia="Times New Roman"/>
          <w:sz w:val="26"/>
        </w:rPr>
        <w:fldChar w:fldCharType="begin" w:fldLock="1"/>
      </w:r>
      <w:r w:rsidRPr="00FF4E93">
        <w:rPr>
          <w:rFonts w:eastAsia="Times New Roman"/>
          <w:sz w:val="26"/>
        </w:rPr>
        <w:instrText>ADDIN CSL_CITATION {"citationItems":[{"id":"ITEM-1","itemData":{"abstract":"The choice of the firm's market environment is one of the fundamental decisions of firm founders. We study the pre-entry generation of founders' market choice sets by investigating their search for market opportunities in which the firm's technological resources, as embodied in a product or service, can be commercialized. Analyzing data collected through personal interviews with founders of 496 technology ventures, we find that founding teams with more diverse industry experience and more diverse external knowledge sourcing relationships identify not only a larger number of but, in particular, more varied (distant) market opportunities. However, the extent to which strategic variety of such opportunities is identified depends on the founders' technological expertise, whereas technological expertise is less relevant in identification of the number of opportunities. Furthermore, by showing that the extent and nature of the firm's pre-entry opportunity set has a significant effect on the likelihood of subsequent firm diversification, we document how initial constraints in founders' choice sets can have a lasting impact on the growth potential that the new firm exploits over time. We discuss the implications of our findings for the literatures on organizational learning and innovation, entrepreneurship, as well as the strategy literature examining firm growth, diversification, and value creation. CR - Copyright &amp;#169; 2013 INFORMS","author":[{"dropping-particle":"","family":"Gruber","given":"Marc","non-dropping-particle":"","parse-names":false,"suffix":""},{"dropping-particle":"","family":"MacMillan","given":"Ian C.","non-dropping-particle":"","parse-names":false,"suffix":""},{"dropping-particle":"","family":"Thompson","given":"James D.","non-dropping-particle":"","parse-names":false,"suffix":""}],"container-title":"Organization Science","id":"ITEM-1","issue":"1","issued":{"date-parts":[["2013"]]},"page":"280-300","title":"Escaping the Prior Knowledge Corridor: What Shapes the Number and Variety of Market Opportunities Identified Before Market Entry of Technology Start-ups?","type":"article-journal","volume":"24"},"uris":["http://www.mendeley.com/documents/?uuid=e28c5bf5-127b-4356-89d0-107388ccf3ca"]},{"id":"ITEM-2","itemData":{"author":[{"dropping-particle":"","family":"Bogers","given":"Marcel","non-dropping-particle":"","parse-names":false,"suffix":""},{"dropping-particle":"","family":"Zobel","given":"Ann-Kristin","non-dropping-particle":"","parse-names":false,"suffix":""},{"dropping-particle":"","family":"Afuah","given":"Allan","non-dropping-particle":"","parse-names":false,"suffix":""},{"dropping-particle":"","family":"Almirall","given":"Esteve","non-dropping-particle":"","parse-names":false,"suffix":""},{"dropping-particle":"","family":"Brunswicker","given":"Sabine","non-dropping-particle":"","parse-names":false,"suffix":""},{"dropping-particle":"","family":"Dahlander","given":"Linus","non-dropping-particle":"","parse-names":false,"suffix":""},{"dropping-particle":"","family":"Frederiksen","given":"Lars","non-dropping-particle":"","parse-names":false,"suffix":""},{"dropping-particle":"","family":"Gawer","given":"Annabelle","non-dropping-particle":"","parse-names":false,"suffix":""},{"dropping-particle":"","family":"Gruber","given":"Marc","non-dropping-particle":"","parse-names":false,"suffix":""},{"dropping-particle":"","family":"Haefliger","given":"Stefan","non-dropping-particle":"","parse-names":false,"suffix":""},{"dropping-particle":"","family":"Hagedoorn","given":"John","non-dropping-particle":"","parse-names":false,"suffix":""},{"dropping-particle":"","family":"Hilgers","given":"Dennis","non-dropping-particle":"","parse-names":false,"suffix":""},{"dropping-particle":"","family":"Laursen","given":"Keld","non-dropping-particle":"","parse-names":false,"suffix":""},{"dropping-particle":"","family":"Magnusson","given":"Mats G.","non-dropping-particle":"","parse-names":false,"suffix":""},{"dropping-particle":"","family":"Majchrzak","given":"Ann","non-dropping-particle":"","parse-names":false,"suffix":""},{"dropping-particle":"","family":"McCarthy","given":"Ian P.","non-dropping-particle":"","parse-names":false,"suffix":""},{"dropping-particle":"","family":"Moeslein","given":"Kathrin M.","non-dropping-particle":"","parse-names":false,"suffix":""},{"dropping-particle":"","family":"Nambisan","given":"Satish","non-dropping-particle":"","parse-names":false,"suffix":""},{"dropping-particle":"","family":"Piller","given":"Frank T.","non-dropping-particle":"","parse-names":false,"suffix":""},{"dropping-particle":"","family":"Radziwon","given":"Agnieszka","non-dropping-particle":"","parse-names":false,"suffix":""},{"dropping-particle":"","family":"Rossi-Lamastra","given":"Cristina","non-dropping-particle":"","parse-names":false,"suffix":""},{"dropping-particle":"","family":"Sims","given":"Jonathan","non-dropping-particle":"","parse-names":false,"suffix":""},{"dropping-particle":"","family":"Wal","given":"Anne L. J.","non-dropping-particle":"Ter","parse-names":false,"suffix":""}],"container-title":"Industry and Innovation","id":"ITEM-2","issue":"1","issued":{"date-parts":[["2017"]]},"page":"8-40","title":"The open innovation research landscape: established perspectives and emerging themes across different levels of analysis","type":"article-journal","volume":"24"},"uris":["http://www.mendeley.com/documents/?uuid=9d1d9791-5efc-44e6-a26a-a8aa618a2408"]}],"mendeley":{"formattedCitation":"(Bogers et al., 2017; Gruber, MacMillan, &amp; Thompson, 2013)","plainTextFormattedCitation":"(Bogers et al., 2017; Gruber, MacMillan, &amp; Thompson, 2013)","previouslyFormattedCitation":"(Bogers et al., 2017; Gruber, MacMillan, &amp; Thompson, 2013)"},"properties":{"noteIndex":0},"schema":"https://github.com/citation-style-language/schema/raw/master/csl-citation.json"}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(Bogers et al., 2017; Gruber, MacMillan, &amp; Thompson, 2013)</w:t>
      </w:r>
      <w:r w:rsidRPr="00FF4E93">
        <w:rPr>
          <w:rFonts w:eastAsia="Times New Roman"/>
          <w:sz w:val="26"/>
        </w:rPr>
        <w:fldChar w:fldCharType="end"/>
      </w:r>
      <w:r w:rsidRPr="00FF4E93">
        <w:rPr>
          <w:rFonts w:eastAsia="Times New Roman"/>
          <w:sz w:val="26"/>
        </w:rPr>
        <w:t xml:space="preserve">. We find that this type of open innovation not only allows the identification but also pursuit of multiple opportunities when complementary capabilities exist. Complementary capabilities for the venture typically represent market access, which enables their positioning as </w:t>
      </w:r>
      <w:r w:rsidRPr="00FF4E93">
        <w:rPr>
          <w:rFonts w:eastAsia="Times New Roman"/>
          <w:i/>
          <w:sz w:val="26"/>
        </w:rPr>
        <w:t>Layer Players</w:t>
      </w:r>
      <w:r w:rsidRPr="00FF4E93">
        <w:rPr>
          <w:rFonts w:eastAsia="Times New Roman"/>
          <w:sz w:val="26"/>
        </w:rPr>
        <w:t xml:space="preserve"> for a specific technology. Technology partners prove crucial to complement a venture’s products and services for the creation of complete solutions </w:t>
      </w:r>
      <w:r w:rsidRPr="00FF4E93">
        <w:rPr>
          <w:rFonts w:eastAsia="Times New Roman"/>
          <w:i/>
          <w:sz w:val="26"/>
        </w:rPr>
        <w:t xml:space="preserve">(Solution Provider). </w:t>
      </w:r>
      <w:r w:rsidRPr="00FF4E93">
        <w:rPr>
          <w:rFonts w:eastAsia="Times New Roman"/>
          <w:sz w:val="26"/>
        </w:rPr>
        <w:t xml:space="preserve">These solutions are customized and commonly comprise both hard- and software components. Partners, in return, profit from deep technology-related knowledge, often proprietary technology components, and interestingly also access to software platforms. Prior research has focused on platforms developed by incumbents on which new ventures innovate </w:t>
      </w:r>
      <w:r w:rsidRPr="00FF4E93">
        <w:rPr>
          <w:rFonts w:eastAsia="Times New Roman"/>
          <w:sz w:val="26"/>
        </w:rPr>
        <w:fldChar w:fldCharType="begin" w:fldLock="1"/>
      </w:r>
      <w:r w:rsidRPr="00FF4E93">
        <w:rPr>
          <w:rFonts w:eastAsia="Times New Roman"/>
          <w:sz w:val="26"/>
        </w:rPr>
        <w:instrText>ADDIN CSL_CITATION {"citationItems":[{"id":"ITEM-1","itemData":{"abstract":"Established companies in countless industries have recognized the need to access globally dispersed knowledge networks to develop and acquire innovations necessary to better serve their customers. To maximize and coordinate their access to this diverse knowledge, some incumbents have developed innovation platforms whereby new ventures and smaller companies contribute their discoveries and innovations. These platforms allow incum- bents to shape and control their ecosystems. These ecosystems have been fertile grounds for the creation of new ventures of different types. In this article, we explore the role of innovation ecosystems in birthing and support- ing new ventures and inducing heterogeneity among them; discuss how these ventures’ entrepreneurial activities within these innovation ecosystems are likely to vary from those inother contexts; and consider the implications of such ecosystems for the strategic shifts that new ventures might experience in the course of their evolution. We pay special attention to the managerial challenges new ventures may encounter in developing, leveraging, and balancing their technological and marketing capabilities.","author":[{"dropping-particle":"","family":"Zahra","given":"Shaker A.","non-dropping-particle":"","parse-names":false,"suffix":""},{"dropping-particle":"","family":"Nambisan","given":"Satish","non-dropping-particle":"","parse-names":false,"suffix":""}],"container-title":"AMS Review","id":"ITEM-1","issue":"1","issued":{"date-parts":[["2011"]]},"page":"4-17","title":"Entrepreneurship in global innovation ecosystems","type":"article-journal","volume":"1"},"uris":["http://www.mendeley.com/documents/?uuid=88544bd8-009e-467f-8729-19d57c60a48a"]}],"mendeley":{"formattedCitation":"(Zahra &amp; Nambisan, 2011)","plainTextFormattedCitation":"(Zahra &amp; Nambisan, 2011)","previouslyFormattedCitation":"(Zahra &amp; Nambisan, 2011)"},"properties":{"noteIndex":0},"schema":"https://github.com/citation-style-language/schema/raw/master/csl-citation.json"}</w:instrText>
      </w:r>
      <w:r w:rsidRPr="00FF4E93">
        <w:rPr>
          <w:rFonts w:eastAsia="Times New Roman"/>
          <w:sz w:val="26"/>
        </w:rPr>
        <w:fldChar w:fldCharType="separate"/>
      </w:r>
      <w:r w:rsidRPr="00FF4E93">
        <w:rPr>
          <w:rFonts w:eastAsia="Times New Roman"/>
          <w:noProof/>
          <w:sz w:val="26"/>
        </w:rPr>
        <w:t>(Zahra &amp; Nambisan, 2011)</w:t>
      </w:r>
      <w:r w:rsidRPr="00FF4E93">
        <w:rPr>
          <w:rFonts w:eastAsia="Times New Roman"/>
          <w:sz w:val="26"/>
        </w:rPr>
        <w:fldChar w:fldCharType="end"/>
      </w:r>
      <w:r w:rsidRPr="00FF4E93">
        <w:rPr>
          <w:rFonts w:eastAsia="Times New Roman"/>
          <w:sz w:val="26"/>
        </w:rPr>
        <w:t>. In contrast, our cases demonstrate that the setting can often found also be found the other way around: Entrepreneurial ventures develop platforms, which innovators – including incumbents – can use to experiment with a new technologies because they possess the relevant technology expertise. This fundamentally enables them to develop meaningful APIs, SDKs or other tools that enhance innovation activities.</w:t>
      </w:r>
    </w:p>
    <w:p w14:paraId="433088CA" w14:textId="77777777" w:rsidR="00151DC1" w:rsidRPr="00FF4E93" w:rsidRDefault="00151DC1" w:rsidP="00151DC1">
      <w:pPr>
        <w:spacing w:before="0" w:after="0" w:line="240" w:lineRule="auto"/>
        <w:jc w:val="left"/>
        <w:rPr>
          <w:rFonts w:eastAsia="Times New Roman"/>
          <w:sz w:val="26"/>
        </w:rPr>
      </w:pPr>
      <w:r w:rsidRPr="00FF4E93">
        <w:rPr>
          <w:rFonts w:eastAsia="Times New Roman"/>
          <w:sz w:val="26"/>
        </w:rPr>
        <w:br w:type="page"/>
      </w:r>
    </w:p>
    <w:p w14:paraId="37FC802E" w14:textId="77777777" w:rsidR="00151DC1" w:rsidRPr="00FF4E93" w:rsidRDefault="00151DC1" w:rsidP="00151DC1">
      <w:pPr>
        <w:spacing w:after="0"/>
        <w:rPr>
          <w:rFonts w:eastAsia="Times New Roman"/>
          <w:i/>
          <w:sz w:val="26"/>
        </w:rPr>
      </w:pPr>
      <w:r w:rsidRPr="00FF4E93">
        <w:rPr>
          <w:rFonts w:eastAsia="Times New Roman"/>
          <w:i/>
          <w:sz w:val="26"/>
        </w:rPr>
        <w:lastRenderedPageBreak/>
        <w:t>Managerial Implications</w:t>
      </w:r>
    </w:p>
    <w:p w14:paraId="6CCE3388" w14:textId="7C632233" w:rsidR="00151DC1" w:rsidRPr="00FF4E93" w:rsidRDefault="00151DC1" w:rsidP="00151DC1">
      <w:pPr>
        <w:spacing w:after="0"/>
        <w:rPr>
          <w:rFonts w:eastAsia="Times New Roman"/>
          <w:sz w:val="26"/>
        </w:rPr>
      </w:pPr>
      <w:r w:rsidRPr="00FF4E93">
        <w:rPr>
          <w:rFonts w:eastAsia="Times New Roman"/>
          <w:sz w:val="26"/>
        </w:rPr>
        <w:t xml:space="preserve">In addition to our theoretical contributions, our findings on high-performing business model configurations offer insights for managerial practice. First, managers of technology ventures can assess their business models against the identified configurations and their domain-specific variants. This may reveal opportunities for the adoption of individual patterns to systematically combine mechanisms that have proven successful as variants in comparable technology settings. Second, the business model patterns are commonly used in workshop settings to enhance the ideation phase of business model innovation processes </w:t>
      </w:r>
      <w:r w:rsidRPr="00FF4E93">
        <w:rPr>
          <w:rFonts w:eastAsia="Times New Roman"/>
          <w:sz w:val="26"/>
        </w:rPr>
        <w:fldChar w:fldCharType="begin" w:fldLock="1"/>
      </w:r>
      <w:r w:rsidR="00C95F78" w:rsidRPr="00FF4E93">
        <w:rPr>
          <w:rFonts w:eastAsia="Times New Roman"/>
          <w:sz w:val="26"/>
        </w:rPr>
        <w:instrText>ADDIN CSL_CITATION {"citationItems":[{"id":"ITEM-1","itemData":{"author":[{"dropping-particle":"","family":"Gassmann","given":"Oliver","non-dropping-particle":"","parse-names":false,"suffix":""},{"dropping-particle":"","family":"Frankenberger","given":"Karolin","non-dropping-particle":"","parse-names":false,"suffix":""},{"dropping-particle":"","family":"Csik","given":"Michaela","non-dropping-particle":"","parse-names":false,"suffix":""}],"edition":"2nd","id":"ITEM-1","issued":{"date-parts":[["2017"]]},"number-of-pages":"416","publisher":"Carl Hanser Verlag","publisher-place":"Munich, Germany","title":"The Business Model Navigator","type":"book"},"uris":["http://www.mendeley.com/documents/?uuid=684e1517-e17a-4ba8-a565-5ce0cc4aa250"]},{"id":"ITEM-2","itemData":{"abstract":"Business model innovation has received rising attention as a means for firms to achieve superior performance. Yet, as we argue based on a review of related literature, the research field so far lacks a comprehensive framework that supports managers in their endeavour to innovative their firms' business models. Based on process models from innovation management literature and insights from 14 cases of past business model innovations, we develop the 4I-framework that structures the business model innovation process and highlights the specific challenges which managers face during the initiation, ideation, integration and implementation of new business models. Through our study, we also provide a conceptual framework to organise existing literature in the business model innovation field and identify promising areas for future research. [ABSTRACT FROM AUTHOR]","author":[{"dropping-particle":"","family":"Frankenberger","given":"Karolin","non-dropping-particle":"","parse-names":false,"suffix":""},{"dropping-particle":"","family":"Weiblen","given":"Tobias","non-dropping-particle":"","parse-names":false,"suffix":""},{"dropping-particle":"","family":"Csik","given":"Michaela","non-dropping-particle":"","parse-names":false,"suffix":""},{"dropping-particle":"","family":"Gassmann","given":"Oliver","non-dropping-particle":"","parse-names":false,"suffix":""}],"container-title":"International Journal of Product Development","id":"ITEM-2","issue":"3/4","issued":{"date-parts":[["2013"]]},"page":"249-273","title":"The 4I-framework of business model innovation: a structured view on process phases and challenges","type":"article-journal","volume":"18"},"uris":["http://www.mendeley.com/documents/?uuid=d468531d-9b75-4c22-91da-6a059c6b2427"]}],"mendeley":{"formattedCitation":"(Frankenberger, Weiblen, Csik, &amp; Gassmann, 2013; Gassmann et al., 2017)","plainTextFormattedCitation":"(Frankenberger, Weiblen, Csik, &amp; Gassmann, 2013; Gassmann et al., 2017)","previouslyFormattedCitation":"(Frankenberger et al., 2013; Gassmann et al., 2017)"},"properties":{"noteIndex":0},"schema":"https://github.com/citation-style-language/schema/raw/master/csl-citation.json"}</w:instrText>
      </w:r>
      <w:r w:rsidRPr="00FF4E93">
        <w:rPr>
          <w:rFonts w:eastAsia="Times New Roman"/>
          <w:sz w:val="26"/>
        </w:rPr>
        <w:fldChar w:fldCharType="separate"/>
      </w:r>
      <w:r w:rsidR="00C95F78" w:rsidRPr="00FF4E93">
        <w:rPr>
          <w:rFonts w:eastAsia="Times New Roman"/>
          <w:noProof/>
          <w:sz w:val="26"/>
        </w:rPr>
        <w:t>(Frankenberger, Weiblen, Csik, &amp; Gassmann, 2013; Gassmann et al., 2017)</w:t>
      </w:r>
      <w:r w:rsidRPr="00FF4E93">
        <w:rPr>
          <w:rFonts w:eastAsia="Times New Roman"/>
          <w:sz w:val="26"/>
        </w:rPr>
        <w:fldChar w:fldCharType="end"/>
      </w:r>
      <w:r w:rsidRPr="00FF4E93">
        <w:rPr>
          <w:rFonts w:eastAsia="Times New Roman"/>
          <w:sz w:val="26"/>
        </w:rPr>
        <w:t>. Workshop participants typically receive a small set out of the 60 available patterns based on which they develop ideas for new business models. Our insights about high-performing pattern configurations can be used for the compilation of these sets. This would not hinder the workshop participants’ brainstorming activities to translate each pattern into their organizational context . Yet, it would allow for subtle guidance towards more consistent and potentially higher-performing business model ideas. Third, venture capitalists and managers of incumbents can use the knowledge about high-performing configurations to identify facilitating roles for themselves. As facilitators they can support ventures in their environment in adopting one of the high-performing business model configurations while securing value capture opportunities for themselves.</w:t>
      </w:r>
    </w:p>
    <w:p w14:paraId="3D9BEBE8" w14:textId="77777777" w:rsidR="00151DC1" w:rsidRPr="00FF4E93" w:rsidRDefault="00151DC1" w:rsidP="00151DC1">
      <w:pPr>
        <w:spacing w:after="0"/>
        <w:rPr>
          <w:rFonts w:eastAsia="Times New Roman"/>
          <w:i/>
          <w:sz w:val="26"/>
        </w:rPr>
      </w:pPr>
      <w:r w:rsidRPr="00FF4E93">
        <w:rPr>
          <w:rFonts w:eastAsia="Times New Roman"/>
          <w:i/>
          <w:sz w:val="26"/>
        </w:rPr>
        <w:t>Limitations and future research</w:t>
      </w:r>
    </w:p>
    <w:p w14:paraId="21B5F4BB" w14:textId="77777777" w:rsidR="00151DC1" w:rsidRPr="00FF4E93" w:rsidRDefault="00151DC1" w:rsidP="00151DC1">
      <w:pPr>
        <w:spacing w:after="0"/>
        <w:rPr>
          <w:rFonts w:eastAsia="Times New Roman"/>
          <w:sz w:val="26"/>
        </w:rPr>
      </w:pPr>
      <w:r w:rsidRPr="00FF4E93">
        <w:rPr>
          <w:rFonts w:eastAsia="Times New Roman"/>
          <w:sz w:val="26"/>
        </w:rPr>
        <w:t xml:space="preserve">Despite the contributions of this study, we consider certain limitations to exist. These relate to both our methodological approach and the findings. Despite our focus to accommodate for limited observability and categorical fuzziness of certain patterns (e.g. data triangulation and regular discussions among researchers), we observed 20 out of 60 possible patterns in less than 1% of the sampled ventures. Different causes could have led to this outcome, including that </w:t>
      </w:r>
      <w:proofErr w:type="spellStart"/>
      <w:r w:rsidRPr="00FF4E93">
        <w:rPr>
          <w:rFonts w:eastAsia="Times New Roman"/>
          <w:sz w:val="26"/>
        </w:rPr>
        <w:t>i</w:t>
      </w:r>
      <w:proofErr w:type="spellEnd"/>
      <w:r w:rsidRPr="00FF4E93">
        <w:rPr>
          <w:rFonts w:eastAsia="Times New Roman"/>
          <w:sz w:val="26"/>
        </w:rPr>
        <w:t xml:space="preserve">) the sampled ventures indeed do not make use of these patterns, ii) our data collection approach is unsuitable to detect these patterns, iii) in the course of our pattern assignment certain pattern may have received relatively higher category stretching than others. Additionally, our data analysis is based on the fixed pattern set by Gassmann and colleagues (2017). Organizational attributes that we could not relate to any of the 60 patterns were left  unconsidered. </w:t>
      </w:r>
    </w:p>
    <w:p w14:paraId="5C7A6E6B" w14:textId="77777777" w:rsidR="00151DC1" w:rsidRPr="00FF4E93" w:rsidRDefault="00151DC1" w:rsidP="00151DC1">
      <w:pPr>
        <w:spacing w:after="0"/>
        <w:rPr>
          <w:rFonts w:eastAsia="Times New Roman"/>
          <w:sz w:val="26"/>
        </w:rPr>
      </w:pPr>
      <w:r w:rsidRPr="00FF4E93">
        <w:rPr>
          <w:rFonts w:eastAsia="Times New Roman"/>
          <w:sz w:val="26"/>
        </w:rPr>
        <w:t xml:space="preserve">In total, these considerations have important implications: First, in line with our research approach and objective, the findings foremost indicate fitness (not misfit) between </w:t>
      </w:r>
      <w:r w:rsidRPr="00FF4E93">
        <w:rPr>
          <w:rFonts w:eastAsia="Times New Roman"/>
          <w:sz w:val="26"/>
        </w:rPr>
        <w:lastRenderedPageBreak/>
        <w:t>business model patterns. That is, we anticipate ventures that apply one of the three identified configurations in their innovative business models to achieve high-performance. Pattern combinations that were uncommon in our sample, however, do not indicate low performance. Future research may focus on the analysis of configurations of one or multiple of these patterns based on smaller sample sizes. Such smaller sample sizes would allow for alternative data collection approaches, like in-depth interviews that are better suited for their detection and interpretation. Second, in regard to the 60 business model patterns we do not expect to have overseen major organizational attributes. Due to the high-variety in the original sample that lead to the identification of the 60 patterns (e.g., firm size, industry, founding year) by Gassmann and colleagues (2017) we consider the authors to have covered the most relevant proven solution types. However, we see great benefit in updating and extending their descriptions (i.e., definitions, iconic cases, and application contexts) to increase their usefulness and reflect new, successfully proven solutions that have been triggered by emerging technologies.</w:t>
      </w:r>
    </w:p>
    <w:p w14:paraId="5FEAD975" w14:textId="77777777" w:rsidR="00151DC1" w:rsidRPr="00FF4E93" w:rsidRDefault="00151DC1" w:rsidP="00151DC1">
      <w:pPr>
        <w:spacing w:after="0"/>
        <w:rPr>
          <w:rFonts w:eastAsia="Times New Roman"/>
          <w:sz w:val="26"/>
        </w:rPr>
      </w:pPr>
      <w:r w:rsidRPr="00FF4E93">
        <w:rPr>
          <w:rFonts w:eastAsia="Times New Roman"/>
          <w:sz w:val="26"/>
        </w:rPr>
        <w:t>Overall, this study contributes to the inquiry into business model patterns and highlights the potential of configurational approaches to business model innovation. It provides an analytical dimension to the creativity-centred ideation phase, in which business model patterns are primarily used.</w:t>
      </w:r>
    </w:p>
    <w:p w14:paraId="2462473D" w14:textId="3970ED25" w:rsidR="00857725" w:rsidRPr="00FF4E93" w:rsidRDefault="00857725" w:rsidP="00151DC1"/>
    <w:p w14:paraId="3C4670B8" w14:textId="225C6950" w:rsidR="00C95F78" w:rsidRPr="00FF4E93" w:rsidRDefault="00C95F78" w:rsidP="00C95F78">
      <w:pPr>
        <w:pStyle w:val="Heading1"/>
        <w:rPr>
          <w:rFonts w:cs="Times New Roman"/>
        </w:rPr>
      </w:pPr>
      <w:r w:rsidRPr="00FF4E93">
        <w:rPr>
          <w:rFonts w:cs="Times New Roman"/>
        </w:rPr>
        <w:t>References</w:t>
      </w:r>
    </w:p>
    <w:p w14:paraId="23641E3F" w14:textId="052FAFB8" w:rsidR="00C95F78" w:rsidRPr="00FF4E93" w:rsidRDefault="00C95F78" w:rsidP="00C95F78">
      <w:pPr>
        <w:widowControl w:val="0"/>
        <w:autoSpaceDE w:val="0"/>
        <w:autoSpaceDN w:val="0"/>
        <w:adjustRightInd w:val="0"/>
        <w:spacing w:line="240" w:lineRule="auto"/>
        <w:ind w:left="480" w:hanging="480"/>
        <w:rPr>
          <w:noProof/>
        </w:rPr>
      </w:pPr>
      <w:r w:rsidRPr="00FF4E93">
        <w:fldChar w:fldCharType="begin" w:fldLock="1"/>
      </w:r>
      <w:r w:rsidRPr="00FF4E93">
        <w:instrText xml:space="preserve">ADDIN Mendeley Bibliography CSL_BIBLIOGRAPHY </w:instrText>
      </w:r>
      <w:r w:rsidRPr="00FF4E93">
        <w:fldChar w:fldCharType="separate"/>
      </w:r>
      <w:r w:rsidRPr="00FF4E93">
        <w:rPr>
          <w:noProof/>
        </w:rPr>
        <w:t xml:space="preserve">Abdelkafi, N., Makhotin, S., &amp; Posselt, T. (2013). Business Model Innovations for Electric Mobility — What Can Be Learned From Existing Business Model Patterns? </w:t>
      </w:r>
      <w:r w:rsidRPr="00FF4E93">
        <w:rPr>
          <w:i/>
          <w:iCs/>
          <w:noProof/>
        </w:rPr>
        <w:t>International Journal of Innovation Management</w:t>
      </w:r>
      <w:r w:rsidRPr="00FF4E93">
        <w:rPr>
          <w:noProof/>
        </w:rPr>
        <w:t xml:space="preserve">, </w:t>
      </w:r>
      <w:r w:rsidRPr="00FF4E93">
        <w:rPr>
          <w:i/>
          <w:iCs/>
          <w:noProof/>
        </w:rPr>
        <w:t>17</w:t>
      </w:r>
      <w:r w:rsidRPr="00FF4E93">
        <w:rPr>
          <w:noProof/>
        </w:rPr>
        <w:t>(1), 1–41.</w:t>
      </w:r>
    </w:p>
    <w:p w14:paraId="52E92A0E"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Afuah, A., &amp; Tucci, C. L. (2003). </w:t>
      </w:r>
      <w:r w:rsidRPr="00FF4E93">
        <w:rPr>
          <w:i/>
          <w:iCs/>
          <w:noProof/>
        </w:rPr>
        <w:t>Internet Business Models &amp; Strategies: Text and Cases</w:t>
      </w:r>
      <w:r w:rsidRPr="00FF4E93">
        <w:rPr>
          <w:noProof/>
        </w:rPr>
        <w:t xml:space="preserve"> (2nd ed.). New York: McGraw-Hill.</w:t>
      </w:r>
    </w:p>
    <w:p w14:paraId="55FF4CC0"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Alexander, C. (1977). </w:t>
      </w:r>
      <w:r w:rsidRPr="00FF4E93">
        <w:rPr>
          <w:i/>
          <w:iCs/>
          <w:noProof/>
        </w:rPr>
        <w:t>A Pattern Language: Towns, Buildings, Construction</w:t>
      </w:r>
      <w:r w:rsidRPr="00FF4E93">
        <w:rPr>
          <w:noProof/>
        </w:rPr>
        <w:t>. Oxford, UK: Oxford University Press.</w:t>
      </w:r>
    </w:p>
    <w:p w14:paraId="3E3050A5"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Alexander, C. (1979). </w:t>
      </w:r>
      <w:r w:rsidRPr="00FF4E93">
        <w:rPr>
          <w:i/>
          <w:iCs/>
          <w:noProof/>
        </w:rPr>
        <w:t>A Timeless Way of Building</w:t>
      </w:r>
      <w:r w:rsidRPr="00FF4E93">
        <w:rPr>
          <w:noProof/>
        </w:rPr>
        <w:t>. Oxford, UK: Oxford University Press.</w:t>
      </w:r>
    </w:p>
    <w:p w14:paraId="5E929D2F"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Altshuller, G. (1984). </w:t>
      </w:r>
      <w:r w:rsidRPr="00FF4E93">
        <w:rPr>
          <w:i/>
          <w:iCs/>
          <w:noProof/>
        </w:rPr>
        <w:t>Creativity as an Exact Science: The Theory of the Solutions of Inventive Problems</w:t>
      </w:r>
      <w:r w:rsidRPr="00FF4E93">
        <w:rPr>
          <w:noProof/>
        </w:rPr>
        <w:t>. Philadelphia, PA: Gordon and Breach Publishers.</w:t>
      </w:r>
    </w:p>
    <w:p w14:paraId="39A50CB6"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Altshuller, G. (1996). </w:t>
      </w:r>
      <w:r w:rsidRPr="00FF4E93">
        <w:rPr>
          <w:i/>
          <w:iCs/>
          <w:noProof/>
        </w:rPr>
        <w:t>And Suddenly the Inventor Appeared: Triz, the Theory of Inventive Problem Solving</w:t>
      </w:r>
      <w:r w:rsidRPr="00FF4E93">
        <w:rPr>
          <w:noProof/>
        </w:rPr>
        <w:t xml:space="preserve"> (2nd ed.). Worcester, MA: Technical Innovation Center.</w:t>
      </w:r>
    </w:p>
    <w:p w14:paraId="0BE56688"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Amit, R., &amp; Zott, C. (2001). Value creation in e-business. </w:t>
      </w:r>
      <w:r w:rsidRPr="00FF4E93">
        <w:rPr>
          <w:i/>
          <w:iCs/>
          <w:noProof/>
        </w:rPr>
        <w:t>Strategic Management Journal</w:t>
      </w:r>
      <w:r w:rsidRPr="00FF4E93">
        <w:rPr>
          <w:noProof/>
        </w:rPr>
        <w:t xml:space="preserve">, </w:t>
      </w:r>
      <w:r w:rsidRPr="00FF4E93">
        <w:rPr>
          <w:i/>
          <w:iCs/>
          <w:noProof/>
        </w:rPr>
        <w:t>22</w:t>
      </w:r>
      <w:r w:rsidRPr="00FF4E93">
        <w:rPr>
          <w:noProof/>
        </w:rPr>
        <w:t>(6–7), 493–520.</w:t>
      </w:r>
    </w:p>
    <w:p w14:paraId="7A9B1CA9"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Amshoff, B., Dülme, C., Echterfeld, J., &amp; Gausemeier, J. (2015). Business Model Patterns for </w:t>
      </w:r>
      <w:r w:rsidRPr="00FF4E93">
        <w:rPr>
          <w:noProof/>
        </w:rPr>
        <w:lastRenderedPageBreak/>
        <w:t xml:space="preserve">Disruptive Technologies. </w:t>
      </w:r>
      <w:r w:rsidRPr="00FF4E93">
        <w:rPr>
          <w:i/>
          <w:iCs/>
          <w:noProof/>
        </w:rPr>
        <w:t>International Journal of Innovation Management</w:t>
      </w:r>
      <w:r w:rsidRPr="00FF4E93">
        <w:rPr>
          <w:noProof/>
        </w:rPr>
        <w:t xml:space="preserve">, </w:t>
      </w:r>
      <w:r w:rsidRPr="00FF4E93">
        <w:rPr>
          <w:i/>
          <w:iCs/>
          <w:noProof/>
        </w:rPr>
        <w:t>19</w:t>
      </w:r>
      <w:r w:rsidRPr="00FF4E93">
        <w:rPr>
          <w:noProof/>
        </w:rPr>
        <w:t>(3), 1–22.</w:t>
      </w:r>
    </w:p>
    <w:p w14:paraId="2BA77482"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Andrew, J. P., &amp; Sirkin, H. L. (2007). </w:t>
      </w:r>
      <w:r w:rsidRPr="00FF4E93">
        <w:rPr>
          <w:i/>
          <w:iCs/>
          <w:noProof/>
        </w:rPr>
        <w:t>Payback: Reaping the Rewards of Innovation</w:t>
      </w:r>
      <w:r w:rsidRPr="00FF4E93">
        <w:rPr>
          <w:noProof/>
        </w:rPr>
        <w:t>. Cambridge, MA: Harvard Business Review Press.</w:t>
      </w:r>
    </w:p>
    <w:p w14:paraId="522D7578"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Aspara, J., Lamber, J.-A., Laukia, A., &amp; Tikkanen, H. (2011). Strategic management of business model transformation: Lessons from Nokia. </w:t>
      </w:r>
      <w:r w:rsidRPr="00FF4E93">
        <w:rPr>
          <w:i/>
          <w:iCs/>
          <w:noProof/>
        </w:rPr>
        <w:t>Management Decision</w:t>
      </w:r>
      <w:r w:rsidRPr="00FF4E93">
        <w:rPr>
          <w:noProof/>
        </w:rPr>
        <w:t xml:space="preserve">, </w:t>
      </w:r>
      <w:r w:rsidRPr="00FF4E93">
        <w:rPr>
          <w:i/>
          <w:iCs/>
          <w:noProof/>
        </w:rPr>
        <w:t>49</w:t>
      </w:r>
      <w:r w:rsidRPr="00FF4E93">
        <w:rPr>
          <w:noProof/>
        </w:rPr>
        <w:t>(4), 622–647.</w:t>
      </w:r>
    </w:p>
    <w:p w14:paraId="3500590E"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Aversa, P., Furnari, S., &amp; Haefliger, S. (2015). Business model configurations and performance: A qualitative comparative analysis in Formula One racing, 2005-2013. </w:t>
      </w:r>
      <w:r w:rsidRPr="00FF4E93">
        <w:rPr>
          <w:i/>
          <w:iCs/>
          <w:noProof/>
        </w:rPr>
        <w:t>Industrial and Corporate Change</w:t>
      </w:r>
      <w:r w:rsidRPr="00FF4E93">
        <w:rPr>
          <w:noProof/>
        </w:rPr>
        <w:t xml:space="preserve">, </w:t>
      </w:r>
      <w:r w:rsidRPr="00FF4E93">
        <w:rPr>
          <w:i/>
          <w:iCs/>
          <w:noProof/>
        </w:rPr>
        <w:t>24</w:t>
      </w:r>
      <w:r w:rsidRPr="00FF4E93">
        <w:rPr>
          <w:noProof/>
        </w:rPr>
        <w:t>(3), 655–676.</w:t>
      </w:r>
    </w:p>
    <w:p w14:paraId="69654D78"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Baden-Fuller, C., &amp; Morgan, M. S. (2010). Business models as models. </w:t>
      </w:r>
      <w:r w:rsidRPr="00FF4E93">
        <w:rPr>
          <w:i/>
          <w:iCs/>
          <w:noProof/>
        </w:rPr>
        <w:t>Long Range Planning</w:t>
      </w:r>
      <w:r w:rsidRPr="00FF4E93">
        <w:rPr>
          <w:noProof/>
        </w:rPr>
        <w:t xml:space="preserve">, </w:t>
      </w:r>
      <w:r w:rsidRPr="00FF4E93">
        <w:rPr>
          <w:i/>
          <w:iCs/>
          <w:noProof/>
        </w:rPr>
        <w:t>43</w:t>
      </w:r>
      <w:r w:rsidRPr="00FF4E93">
        <w:rPr>
          <w:noProof/>
        </w:rPr>
        <w:t>(2–3), 156–171.</w:t>
      </w:r>
    </w:p>
    <w:p w14:paraId="6E59D732"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Bamford, C. E., Dean, T. J., &amp; McDougall, P. P. (2000). An examination of the impact of initial founding conditions and decisions upon the performance of new bank start-ups. </w:t>
      </w:r>
      <w:r w:rsidRPr="00FF4E93">
        <w:rPr>
          <w:i/>
          <w:iCs/>
          <w:noProof/>
        </w:rPr>
        <w:t>Journal of Business Venturing</w:t>
      </w:r>
      <w:r w:rsidRPr="00FF4E93">
        <w:rPr>
          <w:noProof/>
        </w:rPr>
        <w:t xml:space="preserve">, </w:t>
      </w:r>
      <w:r w:rsidRPr="00FF4E93">
        <w:rPr>
          <w:i/>
          <w:iCs/>
          <w:noProof/>
        </w:rPr>
        <w:t>15</w:t>
      </w:r>
      <w:r w:rsidRPr="00FF4E93">
        <w:rPr>
          <w:noProof/>
        </w:rPr>
        <w:t>(3), 253–277.</w:t>
      </w:r>
    </w:p>
    <w:p w14:paraId="07A19ADE"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Bellini, H., Chen, W., Sugiyama, M., Shin, M., Alam, S., &amp; Takayama, D. (2016). </w:t>
      </w:r>
      <w:r w:rsidRPr="00FF4E93">
        <w:rPr>
          <w:i/>
          <w:iCs/>
          <w:noProof/>
        </w:rPr>
        <w:t>Profiles in Innovation: Virtual &amp; Augmented Reality</w:t>
      </w:r>
      <w:r w:rsidRPr="00FF4E93">
        <w:rPr>
          <w:noProof/>
        </w:rPr>
        <w:t>.</w:t>
      </w:r>
    </w:p>
    <w:p w14:paraId="5DBEFA4F"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Bhide, A. (2000). </w:t>
      </w:r>
      <w:r w:rsidRPr="00FF4E93">
        <w:rPr>
          <w:i/>
          <w:iCs/>
          <w:noProof/>
        </w:rPr>
        <w:t>The Origin and Evolution of New Businesses</w:t>
      </w:r>
      <w:r w:rsidRPr="00FF4E93">
        <w:rPr>
          <w:noProof/>
        </w:rPr>
        <w:t>. New York: Oxford University Press.</w:t>
      </w:r>
    </w:p>
    <w:p w14:paraId="0295835E"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BMI Lab, T. (2017). </w:t>
      </w:r>
      <w:r w:rsidRPr="00FF4E93">
        <w:rPr>
          <w:i/>
          <w:iCs/>
          <w:noProof/>
        </w:rPr>
        <w:t>55+ Pattern Cards</w:t>
      </w:r>
      <w:r w:rsidRPr="00FF4E93">
        <w:rPr>
          <w:noProof/>
        </w:rPr>
        <w:t>.</w:t>
      </w:r>
    </w:p>
    <w:p w14:paraId="3CDD5862"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Bogers, M., Zobel, A.-K., Afuah, A., Almirall, E., Brunswicker, S., Dahlander, L., … Ter Wal, A. L. J. (2017). The open innovation research landscape: established perspectives and emerging themes across different levels of analysis. </w:t>
      </w:r>
      <w:r w:rsidRPr="00FF4E93">
        <w:rPr>
          <w:i/>
          <w:iCs/>
          <w:noProof/>
        </w:rPr>
        <w:t>Industry and Innovation</w:t>
      </w:r>
      <w:r w:rsidRPr="00FF4E93">
        <w:rPr>
          <w:noProof/>
        </w:rPr>
        <w:t xml:space="preserve">, </w:t>
      </w:r>
      <w:r w:rsidRPr="00FF4E93">
        <w:rPr>
          <w:i/>
          <w:iCs/>
          <w:noProof/>
        </w:rPr>
        <w:t>24</w:t>
      </w:r>
      <w:r w:rsidRPr="00FF4E93">
        <w:rPr>
          <w:noProof/>
        </w:rPr>
        <w:t>(1), 8–40.</w:t>
      </w:r>
    </w:p>
    <w:p w14:paraId="12947A07"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Boons, F., &amp; Lüdeke-Freund, F. (2013). Business models for sustainable innovation: State-of-the-art and steps towards a research agenda. </w:t>
      </w:r>
      <w:r w:rsidRPr="00FF4E93">
        <w:rPr>
          <w:i/>
          <w:iCs/>
          <w:noProof/>
        </w:rPr>
        <w:t>Journal of Cleaner Production</w:t>
      </w:r>
      <w:r w:rsidRPr="00FF4E93">
        <w:rPr>
          <w:noProof/>
        </w:rPr>
        <w:t xml:space="preserve">, </w:t>
      </w:r>
      <w:r w:rsidRPr="00FF4E93">
        <w:rPr>
          <w:i/>
          <w:iCs/>
          <w:noProof/>
        </w:rPr>
        <w:t>45</w:t>
      </w:r>
      <w:r w:rsidRPr="00FF4E93">
        <w:rPr>
          <w:noProof/>
        </w:rPr>
        <w:t>, 9–19.</w:t>
      </w:r>
    </w:p>
    <w:p w14:paraId="651A2187"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Casadesus-Masanell, R., &amp; Heilbron, J. (2015). The Business Model : Nature and Benefits. </w:t>
      </w:r>
      <w:r w:rsidRPr="00FF4E93">
        <w:rPr>
          <w:i/>
          <w:iCs/>
          <w:noProof/>
        </w:rPr>
        <w:t>Advances in Strategic Management</w:t>
      </w:r>
      <w:r w:rsidRPr="00FF4E93">
        <w:rPr>
          <w:noProof/>
        </w:rPr>
        <w:t xml:space="preserve">, </w:t>
      </w:r>
      <w:r w:rsidRPr="00FF4E93">
        <w:rPr>
          <w:i/>
          <w:iCs/>
          <w:noProof/>
        </w:rPr>
        <w:t>33</w:t>
      </w:r>
      <w:r w:rsidRPr="00FF4E93">
        <w:rPr>
          <w:noProof/>
        </w:rPr>
        <w:t>.</w:t>
      </w:r>
    </w:p>
    <w:p w14:paraId="368520B8"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Casadesus-Masanell, R., &amp; Ricart, J. E. (2010). From Strategy to Business Models and onto Tactics. </w:t>
      </w:r>
      <w:r w:rsidRPr="00FF4E93">
        <w:rPr>
          <w:i/>
          <w:iCs/>
          <w:noProof/>
        </w:rPr>
        <w:t>Long Range Planning</w:t>
      </w:r>
      <w:r w:rsidRPr="00FF4E93">
        <w:rPr>
          <w:noProof/>
        </w:rPr>
        <w:t xml:space="preserve">, </w:t>
      </w:r>
      <w:r w:rsidRPr="00FF4E93">
        <w:rPr>
          <w:i/>
          <w:iCs/>
          <w:noProof/>
        </w:rPr>
        <w:t>43</w:t>
      </w:r>
      <w:r w:rsidRPr="00FF4E93">
        <w:rPr>
          <w:noProof/>
        </w:rPr>
        <w:t>, 195–215.</w:t>
      </w:r>
    </w:p>
    <w:p w14:paraId="2C45032B"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Castro, F. G., Kellison, J. G., Boyd, S. J., &amp; Kopak, A. (2010). A methodology for conducting integrative mixed methods research and data analyses. </w:t>
      </w:r>
      <w:r w:rsidRPr="00FF4E93">
        <w:rPr>
          <w:i/>
          <w:iCs/>
          <w:noProof/>
        </w:rPr>
        <w:t>Journal of Mixed Methods Research</w:t>
      </w:r>
      <w:r w:rsidRPr="00FF4E93">
        <w:rPr>
          <w:noProof/>
        </w:rPr>
        <w:t xml:space="preserve">, </w:t>
      </w:r>
      <w:r w:rsidRPr="00FF4E93">
        <w:rPr>
          <w:i/>
          <w:iCs/>
          <w:noProof/>
        </w:rPr>
        <w:t>4</w:t>
      </w:r>
      <w:r w:rsidRPr="00FF4E93">
        <w:rPr>
          <w:noProof/>
        </w:rPr>
        <w:t>(4), 342–360.</w:t>
      </w:r>
    </w:p>
    <w:p w14:paraId="6E9757AB"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Chatterjee, S. (2013). Simple rules for designing business models. </w:t>
      </w:r>
      <w:r w:rsidRPr="00FF4E93">
        <w:rPr>
          <w:i/>
          <w:iCs/>
          <w:noProof/>
        </w:rPr>
        <w:t>California Management Review</w:t>
      </w:r>
      <w:r w:rsidRPr="00FF4E93">
        <w:rPr>
          <w:noProof/>
        </w:rPr>
        <w:t xml:space="preserve">, </w:t>
      </w:r>
      <w:r w:rsidRPr="00FF4E93">
        <w:rPr>
          <w:i/>
          <w:iCs/>
          <w:noProof/>
        </w:rPr>
        <w:t>55</w:t>
      </w:r>
      <w:r w:rsidRPr="00FF4E93">
        <w:rPr>
          <w:noProof/>
        </w:rPr>
        <w:t>(2), 97–124.</w:t>
      </w:r>
    </w:p>
    <w:p w14:paraId="3F0B2D2A"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Chesbrough, H. (2007). Business model innovation: it’s not just about technology anymore. </w:t>
      </w:r>
      <w:r w:rsidRPr="00FF4E93">
        <w:rPr>
          <w:i/>
          <w:iCs/>
          <w:noProof/>
        </w:rPr>
        <w:t>Strategy &amp; Leadership</w:t>
      </w:r>
      <w:r w:rsidRPr="00FF4E93">
        <w:rPr>
          <w:noProof/>
        </w:rPr>
        <w:t xml:space="preserve">, </w:t>
      </w:r>
      <w:r w:rsidRPr="00FF4E93">
        <w:rPr>
          <w:i/>
          <w:iCs/>
          <w:noProof/>
        </w:rPr>
        <w:t>35</w:t>
      </w:r>
      <w:r w:rsidRPr="00FF4E93">
        <w:rPr>
          <w:noProof/>
        </w:rPr>
        <w:t>(6), 12–17.</w:t>
      </w:r>
    </w:p>
    <w:p w14:paraId="2AD0696B"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Chesbrough, H. (2010). Business model innovation: Opportunities and barriers. </w:t>
      </w:r>
      <w:r w:rsidRPr="00FF4E93">
        <w:rPr>
          <w:i/>
          <w:iCs/>
          <w:noProof/>
        </w:rPr>
        <w:t>Long Range Planning</w:t>
      </w:r>
      <w:r w:rsidRPr="00FF4E93">
        <w:rPr>
          <w:noProof/>
        </w:rPr>
        <w:t xml:space="preserve">, </w:t>
      </w:r>
      <w:r w:rsidRPr="00FF4E93">
        <w:rPr>
          <w:i/>
          <w:iCs/>
          <w:noProof/>
        </w:rPr>
        <w:t>43</w:t>
      </w:r>
      <w:r w:rsidRPr="00FF4E93">
        <w:rPr>
          <w:noProof/>
        </w:rPr>
        <w:t>(2–3), 354–363.</w:t>
      </w:r>
    </w:p>
    <w:p w14:paraId="1868FA73"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Chesbrough, H., &amp; Rosenbloom, R. S. (2002). The role of the business model in capturing value from innovation: evidence from Xerox Corporation’s technology spin-off companies. </w:t>
      </w:r>
      <w:r w:rsidRPr="00FF4E93">
        <w:rPr>
          <w:i/>
          <w:iCs/>
          <w:noProof/>
        </w:rPr>
        <w:t>Industrial and Corporate Change</w:t>
      </w:r>
      <w:r w:rsidRPr="00FF4E93">
        <w:rPr>
          <w:noProof/>
        </w:rPr>
        <w:t xml:space="preserve">, </w:t>
      </w:r>
      <w:r w:rsidRPr="00FF4E93">
        <w:rPr>
          <w:i/>
          <w:iCs/>
          <w:noProof/>
        </w:rPr>
        <w:t>11</w:t>
      </w:r>
      <w:r w:rsidRPr="00FF4E93">
        <w:rPr>
          <w:noProof/>
        </w:rPr>
        <w:t>(3), 529–555.</w:t>
      </w:r>
    </w:p>
    <w:p w14:paraId="0E5CD9AF"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Cloutier, R. J., &amp; Verma, D. (2007). Applying the Concept of Patterns to Systems Architecture. </w:t>
      </w:r>
      <w:r w:rsidRPr="00FF4E93">
        <w:rPr>
          <w:i/>
          <w:iCs/>
          <w:noProof/>
        </w:rPr>
        <w:t>Systems Engineering</w:t>
      </w:r>
      <w:r w:rsidRPr="00FF4E93">
        <w:rPr>
          <w:noProof/>
        </w:rPr>
        <w:t xml:space="preserve">, </w:t>
      </w:r>
      <w:r w:rsidRPr="00FF4E93">
        <w:rPr>
          <w:i/>
          <w:iCs/>
          <w:noProof/>
        </w:rPr>
        <w:t>10</w:t>
      </w:r>
      <w:r w:rsidRPr="00FF4E93">
        <w:rPr>
          <w:noProof/>
        </w:rPr>
        <w:t>(2), 138–154.</w:t>
      </w:r>
    </w:p>
    <w:p w14:paraId="1B17C221"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lastRenderedPageBreak/>
        <w:t xml:space="preserve">Cohn, P., Green, A., Langstaff, M., &amp; Roller, M. (2017). Commercial Drone are Here: The Future of Unmanned Aerial Systems. </w:t>
      </w:r>
      <w:r w:rsidRPr="00FF4E93">
        <w:rPr>
          <w:i/>
          <w:iCs/>
          <w:noProof/>
        </w:rPr>
        <w:t>McKinsey&amp;Company</w:t>
      </w:r>
      <w:r w:rsidRPr="00FF4E93">
        <w:rPr>
          <w:noProof/>
        </w:rPr>
        <w:t>, (December), 1–11.</w:t>
      </w:r>
    </w:p>
    <w:p w14:paraId="797F1E43"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Cooper, A. C., Gimeno-Gascon, F. J., &amp; Woo, C. Y. (1994). Initial human and financial capital as predictors of new venture performance. </w:t>
      </w:r>
      <w:r w:rsidRPr="00FF4E93">
        <w:rPr>
          <w:i/>
          <w:iCs/>
          <w:noProof/>
        </w:rPr>
        <w:t>Journal of Business Venturing</w:t>
      </w:r>
      <w:r w:rsidRPr="00FF4E93">
        <w:rPr>
          <w:noProof/>
        </w:rPr>
        <w:t xml:space="preserve">, </w:t>
      </w:r>
      <w:r w:rsidRPr="00FF4E93">
        <w:rPr>
          <w:i/>
          <w:iCs/>
          <w:noProof/>
        </w:rPr>
        <w:t>9</w:t>
      </w:r>
      <w:r w:rsidRPr="00FF4E93">
        <w:rPr>
          <w:noProof/>
        </w:rPr>
        <w:t>(5), 371–395.</w:t>
      </w:r>
    </w:p>
    <w:p w14:paraId="1CB8EBF9"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Creswell, J. W., &amp; Clark, V. L. P. (2011). Choosing a mixed methods design. In J. W. Creswell &amp; V. L. P. Clark (Eds.), </w:t>
      </w:r>
      <w:r w:rsidRPr="00FF4E93">
        <w:rPr>
          <w:i/>
          <w:iCs/>
          <w:noProof/>
        </w:rPr>
        <w:t>Designing and conducting mixed methods research</w:t>
      </w:r>
      <w:r w:rsidRPr="00FF4E93">
        <w:rPr>
          <w:noProof/>
        </w:rPr>
        <w:t xml:space="preserve"> (2nd ed., pp. 53–106). Los Angeles, CA: Sage Publications.</w:t>
      </w:r>
    </w:p>
    <w:p w14:paraId="7D417E34"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Creswell, J. W., &amp; Plano Clark, V. L. (2017). </w:t>
      </w:r>
      <w:r w:rsidRPr="00FF4E93">
        <w:rPr>
          <w:i/>
          <w:iCs/>
          <w:noProof/>
        </w:rPr>
        <w:t>Designing and Conducting Mixed Methods Research</w:t>
      </w:r>
      <w:r w:rsidRPr="00FF4E93">
        <w:rPr>
          <w:noProof/>
        </w:rPr>
        <w:t xml:space="preserve"> (3rd ed.). Thousand Oaks, CA: Sage Publications.</w:t>
      </w:r>
    </w:p>
    <w:p w14:paraId="54938D6C"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Cusumano, M. A., Kahl, S. J., &amp; Suarez, F. F. (2015). Services, industry evolution, and the competitive strategies of product firms. </w:t>
      </w:r>
      <w:r w:rsidRPr="00FF4E93">
        <w:rPr>
          <w:i/>
          <w:iCs/>
          <w:noProof/>
        </w:rPr>
        <w:t>Strategic Management Journal</w:t>
      </w:r>
      <w:r w:rsidRPr="00FF4E93">
        <w:rPr>
          <w:noProof/>
        </w:rPr>
        <w:t xml:space="preserve">, </w:t>
      </w:r>
      <w:r w:rsidRPr="00FF4E93">
        <w:rPr>
          <w:i/>
          <w:iCs/>
          <w:noProof/>
        </w:rPr>
        <w:t>36</w:t>
      </w:r>
      <w:r w:rsidRPr="00FF4E93">
        <w:rPr>
          <w:noProof/>
        </w:rPr>
        <w:t>(4), 559–575.</w:t>
      </w:r>
    </w:p>
    <w:p w14:paraId="3BA53DE1"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Czepiel, J. A. (1974). Word-of-Mouth Processes in the Diffusion of a Major Technological Innovation Author(s): </w:t>
      </w:r>
      <w:r w:rsidRPr="00FF4E93">
        <w:rPr>
          <w:i/>
          <w:iCs/>
          <w:noProof/>
        </w:rPr>
        <w:t>Journal of Marketing Research</w:t>
      </w:r>
      <w:r w:rsidRPr="00FF4E93">
        <w:rPr>
          <w:noProof/>
        </w:rPr>
        <w:t xml:space="preserve">, </w:t>
      </w:r>
      <w:r w:rsidRPr="00FF4E93">
        <w:rPr>
          <w:i/>
          <w:iCs/>
          <w:noProof/>
        </w:rPr>
        <w:t>11</w:t>
      </w:r>
      <w:r w:rsidRPr="00FF4E93">
        <w:rPr>
          <w:noProof/>
        </w:rPr>
        <w:t>(2), 172–180.</w:t>
      </w:r>
    </w:p>
    <w:p w14:paraId="4D43ABD1"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Dahlqvist, J., Davidsson, P., &amp; Wiklund, J. (2000). Initial Conditions as Predictors of New Venture Performance: A Replication and Extension of the Cooper et al. study. </w:t>
      </w:r>
      <w:r w:rsidRPr="00FF4E93">
        <w:rPr>
          <w:i/>
          <w:iCs/>
          <w:noProof/>
        </w:rPr>
        <w:t>Enterprise and Innovation Management Studies</w:t>
      </w:r>
      <w:r w:rsidRPr="00FF4E93">
        <w:rPr>
          <w:noProof/>
        </w:rPr>
        <w:t xml:space="preserve">, </w:t>
      </w:r>
      <w:r w:rsidRPr="00FF4E93">
        <w:rPr>
          <w:i/>
          <w:iCs/>
          <w:noProof/>
        </w:rPr>
        <w:t>1</w:t>
      </w:r>
      <w:r w:rsidRPr="00FF4E93">
        <w:rPr>
          <w:noProof/>
        </w:rPr>
        <w:t>(1), 1–17.</w:t>
      </w:r>
    </w:p>
    <w:p w14:paraId="38234AEA"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Denzin, N. K., &amp; Lincoln, Y. S. (1994). </w:t>
      </w:r>
      <w:r w:rsidRPr="00FF4E93">
        <w:rPr>
          <w:i/>
          <w:iCs/>
          <w:noProof/>
        </w:rPr>
        <w:t>Handbook of Qualitative Research</w:t>
      </w:r>
      <w:r w:rsidRPr="00FF4E93">
        <w:rPr>
          <w:noProof/>
        </w:rPr>
        <w:t>. Thousand Oaks, CA, US: Sage Publications.</w:t>
      </w:r>
    </w:p>
    <w:p w14:paraId="3CFDD29E"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Dess, G., Newport, S., &amp; Rasheed, A. (1993). Configuration research in strategic management: Key issues and suggestions. </w:t>
      </w:r>
      <w:r w:rsidRPr="00FF4E93">
        <w:rPr>
          <w:i/>
          <w:iCs/>
          <w:noProof/>
        </w:rPr>
        <w:t>Journal of Management</w:t>
      </w:r>
      <w:r w:rsidRPr="00FF4E93">
        <w:rPr>
          <w:noProof/>
        </w:rPr>
        <w:t xml:space="preserve">, </w:t>
      </w:r>
      <w:r w:rsidRPr="00FF4E93">
        <w:rPr>
          <w:i/>
          <w:iCs/>
          <w:noProof/>
        </w:rPr>
        <w:t>19</w:t>
      </w:r>
      <w:r w:rsidRPr="00FF4E93">
        <w:rPr>
          <w:noProof/>
        </w:rPr>
        <w:t>(4), 775–795.</w:t>
      </w:r>
    </w:p>
    <w:p w14:paraId="7085C88B"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Doganova, L., &amp; Eyquem-Renault, M. (2009). What do business models do?. Innovation devices in technology entrepreneurship. </w:t>
      </w:r>
      <w:r w:rsidRPr="00FF4E93">
        <w:rPr>
          <w:i/>
          <w:iCs/>
          <w:noProof/>
        </w:rPr>
        <w:t>Research Policy</w:t>
      </w:r>
      <w:r w:rsidRPr="00FF4E93">
        <w:rPr>
          <w:noProof/>
        </w:rPr>
        <w:t xml:space="preserve">, </w:t>
      </w:r>
      <w:r w:rsidRPr="00FF4E93">
        <w:rPr>
          <w:i/>
          <w:iCs/>
          <w:noProof/>
        </w:rPr>
        <w:t>38</w:t>
      </w:r>
      <w:r w:rsidRPr="00FF4E93">
        <w:rPr>
          <w:noProof/>
        </w:rPr>
        <w:t>(10), 1559–1570.</w:t>
      </w:r>
    </w:p>
    <w:p w14:paraId="576B71D5"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Doty, D. H., Glick, W. H., &amp; Huber, G. P. (1993). Fit, Equifinality, and Organizational Effectiveness: A Test of Two Configurational Theories. </w:t>
      </w:r>
      <w:r w:rsidRPr="00FF4E93">
        <w:rPr>
          <w:i/>
          <w:iCs/>
          <w:noProof/>
        </w:rPr>
        <w:t>Academy of Management Journal</w:t>
      </w:r>
      <w:r w:rsidRPr="00FF4E93">
        <w:rPr>
          <w:noProof/>
        </w:rPr>
        <w:t xml:space="preserve">, </w:t>
      </w:r>
      <w:r w:rsidRPr="00FF4E93">
        <w:rPr>
          <w:i/>
          <w:iCs/>
          <w:noProof/>
        </w:rPr>
        <w:t>36</w:t>
      </w:r>
      <w:r w:rsidRPr="00FF4E93">
        <w:rPr>
          <w:noProof/>
        </w:rPr>
        <w:t>(6), 1196–1250.</w:t>
      </w:r>
    </w:p>
    <w:p w14:paraId="4FFAE39A"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Duchesneau, D. A., &amp; Gartner, W. B. (1990). A profile of new venture success and failure in an emerging industry. </w:t>
      </w:r>
      <w:r w:rsidRPr="00FF4E93">
        <w:rPr>
          <w:i/>
          <w:iCs/>
          <w:noProof/>
        </w:rPr>
        <w:t>Journal of Business Venturing</w:t>
      </w:r>
      <w:r w:rsidRPr="00FF4E93">
        <w:rPr>
          <w:noProof/>
        </w:rPr>
        <w:t xml:space="preserve">, </w:t>
      </w:r>
      <w:r w:rsidRPr="00FF4E93">
        <w:rPr>
          <w:i/>
          <w:iCs/>
          <w:noProof/>
        </w:rPr>
        <w:t>5</w:t>
      </w:r>
      <w:r w:rsidRPr="00FF4E93">
        <w:rPr>
          <w:noProof/>
        </w:rPr>
        <w:t>(5), 297–312.</w:t>
      </w:r>
    </w:p>
    <w:p w14:paraId="66FA6203"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Durand, R., &amp; Paolella, L. (2013). Category stretching: Reorienting research on categories in strategy, entrepreneurship, and organization theory. </w:t>
      </w:r>
      <w:r w:rsidRPr="00FF4E93">
        <w:rPr>
          <w:i/>
          <w:iCs/>
          <w:noProof/>
        </w:rPr>
        <w:t>Journal of Management Studies</w:t>
      </w:r>
      <w:r w:rsidRPr="00FF4E93">
        <w:rPr>
          <w:noProof/>
        </w:rPr>
        <w:t xml:space="preserve">, </w:t>
      </w:r>
      <w:r w:rsidRPr="00FF4E93">
        <w:rPr>
          <w:i/>
          <w:iCs/>
          <w:noProof/>
        </w:rPr>
        <w:t>50</w:t>
      </w:r>
      <w:r w:rsidRPr="00FF4E93">
        <w:rPr>
          <w:noProof/>
        </w:rPr>
        <w:t>(6), 1100–1123.</w:t>
      </w:r>
    </w:p>
    <w:p w14:paraId="2E8EE97A"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Eckhardt, J. T. (2013). Opportunities in business model research. </w:t>
      </w:r>
      <w:r w:rsidRPr="00FF4E93">
        <w:rPr>
          <w:i/>
          <w:iCs/>
          <w:noProof/>
        </w:rPr>
        <w:t>Strategic Organization</w:t>
      </w:r>
      <w:r w:rsidRPr="00FF4E93">
        <w:rPr>
          <w:noProof/>
        </w:rPr>
        <w:t xml:space="preserve">, </w:t>
      </w:r>
      <w:r w:rsidRPr="00FF4E93">
        <w:rPr>
          <w:i/>
          <w:iCs/>
          <w:noProof/>
        </w:rPr>
        <w:t>11</w:t>
      </w:r>
      <w:r w:rsidRPr="00FF4E93">
        <w:rPr>
          <w:noProof/>
        </w:rPr>
        <w:t>(4), 412–417.</w:t>
      </w:r>
    </w:p>
    <w:p w14:paraId="3B9FC5BC"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Eisenhardt, K. M. (1989). Building Theories from Case Study Research. </w:t>
      </w:r>
      <w:r w:rsidRPr="00FF4E93">
        <w:rPr>
          <w:i/>
          <w:iCs/>
          <w:noProof/>
        </w:rPr>
        <w:t>Academy of Management Review</w:t>
      </w:r>
      <w:r w:rsidRPr="00FF4E93">
        <w:rPr>
          <w:noProof/>
        </w:rPr>
        <w:t xml:space="preserve">, </w:t>
      </w:r>
      <w:r w:rsidRPr="00FF4E93">
        <w:rPr>
          <w:i/>
          <w:iCs/>
          <w:noProof/>
        </w:rPr>
        <w:t>14</w:t>
      </w:r>
      <w:r w:rsidRPr="00FF4E93">
        <w:rPr>
          <w:noProof/>
        </w:rPr>
        <w:t>(4), 532–550.</w:t>
      </w:r>
    </w:p>
    <w:p w14:paraId="7B71A405"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Eisenhardt, K. M., &amp; Graebner, M. E. (2007). Theory building from cases: Opportunities and challenges. </w:t>
      </w:r>
      <w:r w:rsidRPr="00FF4E93">
        <w:rPr>
          <w:i/>
          <w:iCs/>
          <w:noProof/>
        </w:rPr>
        <w:t>Academy of Management Journal</w:t>
      </w:r>
      <w:r w:rsidRPr="00FF4E93">
        <w:rPr>
          <w:noProof/>
        </w:rPr>
        <w:t>.</w:t>
      </w:r>
    </w:p>
    <w:p w14:paraId="51AE5524"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Fjeldstad, Ø. D., &amp; Snow, C. C. (2018). Business models and organization design. </w:t>
      </w:r>
      <w:r w:rsidRPr="00FF4E93">
        <w:rPr>
          <w:i/>
          <w:iCs/>
          <w:noProof/>
        </w:rPr>
        <w:t>Long Range Planning</w:t>
      </w:r>
      <w:r w:rsidRPr="00FF4E93">
        <w:rPr>
          <w:noProof/>
        </w:rPr>
        <w:t xml:space="preserve">, </w:t>
      </w:r>
      <w:r w:rsidRPr="00FF4E93">
        <w:rPr>
          <w:i/>
          <w:iCs/>
          <w:noProof/>
        </w:rPr>
        <w:t>51</w:t>
      </w:r>
      <w:r w:rsidRPr="00FF4E93">
        <w:rPr>
          <w:noProof/>
        </w:rPr>
        <w:t>(1), 32–39.</w:t>
      </w:r>
    </w:p>
    <w:p w14:paraId="280533B3"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Fleisch, E., Weinberger, M., &amp; Wortmann, F. (2014). </w:t>
      </w:r>
      <w:r w:rsidRPr="00FF4E93">
        <w:rPr>
          <w:i/>
          <w:iCs/>
          <w:noProof/>
        </w:rPr>
        <w:t>Business Models and the Internet of Things</w:t>
      </w:r>
      <w:r w:rsidRPr="00FF4E93">
        <w:rPr>
          <w:noProof/>
        </w:rPr>
        <w:t xml:space="preserve">. </w:t>
      </w:r>
      <w:r w:rsidRPr="00FF4E93">
        <w:rPr>
          <w:i/>
          <w:iCs/>
          <w:noProof/>
        </w:rPr>
        <w:t>Bosch IoT Lab White Paper</w:t>
      </w:r>
      <w:r w:rsidRPr="00FF4E93">
        <w:rPr>
          <w:noProof/>
        </w:rPr>
        <w:t>.</w:t>
      </w:r>
    </w:p>
    <w:p w14:paraId="6A9D29E6"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Foss, N. J., &amp; Saebi, T. (2017). Fifteen Years of Research on Business Model Innovation: How Far Have We Come, and Where Should We Go? </w:t>
      </w:r>
      <w:r w:rsidRPr="00FF4E93">
        <w:rPr>
          <w:i/>
          <w:iCs/>
          <w:noProof/>
        </w:rPr>
        <w:t>Journal of Management</w:t>
      </w:r>
      <w:r w:rsidRPr="00FF4E93">
        <w:rPr>
          <w:noProof/>
        </w:rPr>
        <w:t xml:space="preserve">, </w:t>
      </w:r>
      <w:r w:rsidRPr="00FF4E93">
        <w:rPr>
          <w:i/>
          <w:iCs/>
          <w:noProof/>
        </w:rPr>
        <w:t>43</w:t>
      </w:r>
      <w:r w:rsidRPr="00FF4E93">
        <w:rPr>
          <w:noProof/>
        </w:rPr>
        <w:t>(1), 200–227.</w:t>
      </w:r>
    </w:p>
    <w:p w14:paraId="2A5D4E86"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lastRenderedPageBreak/>
        <w:t xml:space="preserve">Foss, N. J., &amp; Saebi, T. (2018). Business models and business model innovation: Between wicked and paradigmatic problems. </w:t>
      </w:r>
      <w:r w:rsidRPr="00FF4E93">
        <w:rPr>
          <w:i/>
          <w:iCs/>
          <w:noProof/>
        </w:rPr>
        <w:t>Long Range Planning</w:t>
      </w:r>
      <w:r w:rsidRPr="00FF4E93">
        <w:rPr>
          <w:noProof/>
        </w:rPr>
        <w:t xml:space="preserve">, </w:t>
      </w:r>
      <w:r w:rsidRPr="00FF4E93">
        <w:rPr>
          <w:i/>
          <w:iCs/>
          <w:noProof/>
        </w:rPr>
        <w:t>51</w:t>
      </w:r>
      <w:r w:rsidRPr="00FF4E93">
        <w:rPr>
          <w:noProof/>
        </w:rPr>
        <w:t>(1), 9–21.</w:t>
      </w:r>
    </w:p>
    <w:p w14:paraId="589A28B8"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Frankenberger, K., Weiblen, T., Csik, M., &amp; Gassmann, O. (2013). The 4I-framework of business model innovation: a structured view on process phases and challenges. </w:t>
      </w:r>
      <w:r w:rsidRPr="00FF4E93">
        <w:rPr>
          <w:i/>
          <w:iCs/>
          <w:noProof/>
        </w:rPr>
        <w:t>International Journal of Product Development</w:t>
      </w:r>
      <w:r w:rsidRPr="00FF4E93">
        <w:rPr>
          <w:noProof/>
        </w:rPr>
        <w:t xml:space="preserve">, </w:t>
      </w:r>
      <w:r w:rsidRPr="00FF4E93">
        <w:rPr>
          <w:i/>
          <w:iCs/>
          <w:noProof/>
        </w:rPr>
        <w:t>18</w:t>
      </w:r>
      <w:r w:rsidRPr="00FF4E93">
        <w:rPr>
          <w:noProof/>
        </w:rPr>
        <w:t>(3/4), 249–273.</w:t>
      </w:r>
    </w:p>
    <w:p w14:paraId="2D1903F8"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Gamma, E., Helm, R., Johnson, R., &amp; Vlissides, J. (1994). </w:t>
      </w:r>
      <w:r w:rsidRPr="00FF4E93">
        <w:rPr>
          <w:i/>
          <w:iCs/>
          <w:noProof/>
        </w:rPr>
        <w:t>Design Patterns: Elements of Reusable Object-Oriented Software</w:t>
      </w:r>
      <w:r w:rsidRPr="00FF4E93">
        <w:rPr>
          <w:noProof/>
        </w:rPr>
        <w:t>. Boston, MA: Addison-Wesley.</w:t>
      </w:r>
    </w:p>
    <w:p w14:paraId="33BA14DD"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Gassmann, O., Frankenberger, K., &amp; Csik, M. (2014). </w:t>
      </w:r>
      <w:r w:rsidRPr="00FF4E93">
        <w:rPr>
          <w:i/>
          <w:iCs/>
          <w:noProof/>
        </w:rPr>
        <w:t>The Business Model Navigator: 55 Models that will revolutionize your Business</w:t>
      </w:r>
      <w:r w:rsidRPr="00FF4E93">
        <w:rPr>
          <w:noProof/>
        </w:rPr>
        <w:t>. Harlow Pearson, UK: FT Press.</w:t>
      </w:r>
    </w:p>
    <w:p w14:paraId="04BF3EFA"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Gassmann, O., Frankenberger, K., &amp; Csik, M. (2017). </w:t>
      </w:r>
      <w:r w:rsidRPr="00FF4E93">
        <w:rPr>
          <w:i/>
          <w:iCs/>
          <w:noProof/>
        </w:rPr>
        <w:t>The Business Model Navigator</w:t>
      </w:r>
      <w:r w:rsidRPr="00FF4E93">
        <w:rPr>
          <w:noProof/>
        </w:rPr>
        <w:t xml:space="preserve"> (2nd ed.). Munich, Germany: Carl Hanser Verlag.</w:t>
      </w:r>
    </w:p>
    <w:p w14:paraId="37DFA462"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Gassmann, O., Frankenberger, K., &amp; Sauer, R. (2016). </w:t>
      </w:r>
      <w:r w:rsidRPr="00FF4E93">
        <w:rPr>
          <w:i/>
          <w:iCs/>
          <w:noProof/>
        </w:rPr>
        <w:t>Exploring the field of Business Model Innovation: New Theoretical Perspectives</w:t>
      </w:r>
      <w:r w:rsidRPr="00FF4E93">
        <w:rPr>
          <w:noProof/>
        </w:rPr>
        <w:t>. Palgrave Macmillan.</w:t>
      </w:r>
    </w:p>
    <w:p w14:paraId="19B219D9"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Gebauer, H., &amp; Saul, C. J. (2014). Business model innovation in the water sector in developing countries. </w:t>
      </w:r>
      <w:r w:rsidRPr="00FF4E93">
        <w:rPr>
          <w:i/>
          <w:iCs/>
          <w:noProof/>
        </w:rPr>
        <w:t>Science of the Total Environment</w:t>
      </w:r>
      <w:r w:rsidRPr="00FF4E93">
        <w:rPr>
          <w:noProof/>
        </w:rPr>
        <w:t xml:space="preserve">, </w:t>
      </w:r>
      <w:r w:rsidRPr="00FF4E93">
        <w:rPr>
          <w:i/>
          <w:iCs/>
          <w:noProof/>
        </w:rPr>
        <w:t>488</w:t>
      </w:r>
      <w:r w:rsidRPr="00FF4E93">
        <w:rPr>
          <w:noProof/>
        </w:rPr>
        <w:t>–</w:t>
      </w:r>
      <w:r w:rsidRPr="00FF4E93">
        <w:rPr>
          <w:i/>
          <w:iCs/>
          <w:noProof/>
        </w:rPr>
        <w:t>489</w:t>
      </w:r>
      <w:r w:rsidRPr="00FF4E93">
        <w:rPr>
          <w:noProof/>
        </w:rPr>
        <w:t>(1), 512–520.</w:t>
      </w:r>
    </w:p>
    <w:p w14:paraId="60964FEE"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George, G., &amp; Bock, A. J. (2011). The Business Model in Practice and its Implications for Entrepreneurship Research. </w:t>
      </w:r>
      <w:r w:rsidRPr="00FF4E93">
        <w:rPr>
          <w:i/>
          <w:iCs/>
          <w:noProof/>
        </w:rPr>
        <w:t>Entrepreneurship: Theory and Practice</w:t>
      </w:r>
      <w:r w:rsidRPr="00FF4E93">
        <w:rPr>
          <w:noProof/>
        </w:rPr>
        <w:t xml:space="preserve">, </w:t>
      </w:r>
      <w:r w:rsidRPr="00FF4E93">
        <w:rPr>
          <w:i/>
          <w:iCs/>
          <w:noProof/>
        </w:rPr>
        <w:t>35</w:t>
      </w:r>
      <w:r w:rsidRPr="00FF4E93">
        <w:rPr>
          <w:noProof/>
        </w:rPr>
        <w:t>(1), 83–111.</w:t>
      </w:r>
    </w:p>
    <w:p w14:paraId="01853CD9"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Gibbert, M., &amp; Ruigrok, W. (2010). The “What” and “How” of Case Study Rigor: Three Strategies Based on Published Work. </w:t>
      </w:r>
      <w:r w:rsidRPr="00FF4E93">
        <w:rPr>
          <w:i/>
          <w:iCs/>
          <w:noProof/>
        </w:rPr>
        <w:t>Organizational Research Methods</w:t>
      </w:r>
      <w:r w:rsidRPr="00FF4E93">
        <w:rPr>
          <w:noProof/>
        </w:rPr>
        <w:t xml:space="preserve">, </w:t>
      </w:r>
      <w:r w:rsidRPr="00FF4E93">
        <w:rPr>
          <w:i/>
          <w:iCs/>
          <w:noProof/>
        </w:rPr>
        <w:t>13</w:t>
      </w:r>
      <w:r w:rsidRPr="00FF4E93">
        <w:rPr>
          <w:noProof/>
        </w:rPr>
        <w:t>(4), 710–737.</w:t>
      </w:r>
    </w:p>
    <w:p w14:paraId="6F7C0D12"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Gibbert, M., Ruigrok, W., &amp; Wicki, B. (2008). What passes as a rigorous case study? </w:t>
      </w:r>
      <w:r w:rsidRPr="00FF4E93">
        <w:rPr>
          <w:i/>
          <w:iCs/>
          <w:noProof/>
        </w:rPr>
        <w:t>Strategic Management Journal</w:t>
      </w:r>
      <w:r w:rsidRPr="00FF4E93">
        <w:rPr>
          <w:noProof/>
        </w:rPr>
        <w:t xml:space="preserve">, </w:t>
      </w:r>
      <w:r w:rsidRPr="00FF4E93">
        <w:rPr>
          <w:i/>
          <w:iCs/>
          <w:noProof/>
        </w:rPr>
        <w:t>29</w:t>
      </w:r>
      <w:r w:rsidRPr="00FF4E93">
        <w:rPr>
          <w:noProof/>
        </w:rPr>
        <w:t>(13), 1465–1474.</w:t>
      </w:r>
    </w:p>
    <w:p w14:paraId="050E6D3F"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Gioia, D. a., Corley, K. G., &amp; Hamilton, A. L. (2012). Seeking Qualitative Rigor in Inductive Research: Notes on the Gioia Methodology. </w:t>
      </w:r>
      <w:r w:rsidRPr="00FF4E93">
        <w:rPr>
          <w:i/>
          <w:iCs/>
          <w:noProof/>
        </w:rPr>
        <w:t>Organizational Research Methods</w:t>
      </w:r>
      <w:r w:rsidRPr="00FF4E93">
        <w:rPr>
          <w:noProof/>
        </w:rPr>
        <w:t xml:space="preserve">, </w:t>
      </w:r>
      <w:r w:rsidRPr="00FF4E93">
        <w:rPr>
          <w:i/>
          <w:iCs/>
          <w:noProof/>
        </w:rPr>
        <w:t>16</w:t>
      </w:r>
      <w:r w:rsidRPr="00FF4E93">
        <w:rPr>
          <w:noProof/>
        </w:rPr>
        <w:t>(1), 15–31.</w:t>
      </w:r>
    </w:p>
    <w:p w14:paraId="1581B2BA"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Glynn, M. A., &amp; Navis, C. (2013). Categories, identities, and cultural classification: Moving beyond a model of categorical constraint. </w:t>
      </w:r>
      <w:r w:rsidRPr="00FF4E93">
        <w:rPr>
          <w:i/>
          <w:iCs/>
          <w:noProof/>
        </w:rPr>
        <w:t>Journal of Management Studies</w:t>
      </w:r>
      <w:r w:rsidRPr="00FF4E93">
        <w:rPr>
          <w:noProof/>
        </w:rPr>
        <w:t xml:space="preserve">, </w:t>
      </w:r>
      <w:r w:rsidRPr="00FF4E93">
        <w:rPr>
          <w:i/>
          <w:iCs/>
          <w:noProof/>
        </w:rPr>
        <w:t>50</w:t>
      </w:r>
      <w:r w:rsidRPr="00FF4E93">
        <w:rPr>
          <w:noProof/>
        </w:rPr>
        <w:t>(6), 1124–1137.</w:t>
      </w:r>
    </w:p>
    <w:p w14:paraId="2BB23CD3"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Gresov, C., &amp; Drazin, R. (1997). Equifinality: Functional Equivalence in Organizational Design. </w:t>
      </w:r>
      <w:r w:rsidRPr="00FF4E93">
        <w:rPr>
          <w:i/>
          <w:iCs/>
          <w:noProof/>
        </w:rPr>
        <w:t>Academy of Management Journal</w:t>
      </w:r>
      <w:r w:rsidRPr="00FF4E93">
        <w:rPr>
          <w:noProof/>
        </w:rPr>
        <w:t xml:space="preserve">, </w:t>
      </w:r>
      <w:r w:rsidRPr="00FF4E93">
        <w:rPr>
          <w:i/>
          <w:iCs/>
          <w:noProof/>
        </w:rPr>
        <w:t>22</w:t>
      </w:r>
      <w:r w:rsidRPr="00FF4E93">
        <w:rPr>
          <w:noProof/>
        </w:rPr>
        <w:t>(2), 403–428.</w:t>
      </w:r>
    </w:p>
    <w:p w14:paraId="6FD4276B"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Gruber, M., MacMillan, I. C., &amp; Thompson, J. D. (2013). Escaping the Prior Knowledge Corridor: What Shapes the Number and Variety of Market Opportunities Identified Before Market Entry of Technology Start-ups? </w:t>
      </w:r>
      <w:r w:rsidRPr="00FF4E93">
        <w:rPr>
          <w:i/>
          <w:iCs/>
          <w:noProof/>
        </w:rPr>
        <w:t>Organization Science</w:t>
      </w:r>
      <w:r w:rsidRPr="00FF4E93">
        <w:rPr>
          <w:noProof/>
        </w:rPr>
        <w:t xml:space="preserve">, </w:t>
      </w:r>
      <w:r w:rsidRPr="00FF4E93">
        <w:rPr>
          <w:i/>
          <w:iCs/>
          <w:noProof/>
        </w:rPr>
        <w:t>24</w:t>
      </w:r>
      <w:r w:rsidRPr="00FF4E93">
        <w:rPr>
          <w:noProof/>
        </w:rPr>
        <w:t>(1), 280–300.</w:t>
      </w:r>
    </w:p>
    <w:p w14:paraId="38F919A0"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Hacklin, F., Björkdahl, J., &amp; Wallin, M. W. (2018). Strategies for business model innovation: How firms reel in migrating value. </w:t>
      </w:r>
      <w:r w:rsidRPr="00FF4E93">
        <w:rPr>
          <w:i/>
          <w:iCs/>
          <w:noProof/>
        </w:rPr>
        <w:t>Long Range Planning</w:t>
      </w:r>
      <w:r w:rsidRPr="00FF4E93">
        <w:rPr>
          <w:noProof/>
        </w:rPr>
        <w:t xml:space="preserve">, </w:t>
      </w:r>
      <w:r w:rsidRPr="00FF4E93">
        <w:rPr>
          <w:i/>
          <w:iCs/>
          <w:noProof/>
        </w:rPr>
        <w:t>51</w:t>
      </w:r>
      <w:r w:rsidRPr="00FF4E93">
        <w:rPr>
          <w:noProof/>
        </w:rPr>
        <w:t>(1), 82–110.</w:t>
      </w:r>
    </w:p>
    <w:p w14:paraId="4758DC60"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Hall, J. (2017). How Augmented Reality Is Changing The World Of Consumer Marketing. </w:t>
      </w:r>
      <w:r w:rsidRPr="00FF4E93">
        <w:rPr>
          <w:i/>
          <w:iCs/>
          <w:noProof/>
        </w:rPr>
        <w:t>Forbes</w:t>
      </w:r>
      <w:r w:rsidRPr="00FF4E93">
        <w:rPr>
          <w:noProof/>
        </w:rPr>
        <w:t>.</w:t>
      </w:r>
    </w:p>
    <w:p w14:paraId="370B3321"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Hall, S., &amp; Takahashi, R. (2017). Immersive technologies, namely virtual and augmented reality, will fundamentally alter how we interact with content. </w:t>
      </w:r>
      <w:r w:rsidRPr="00FF4E93">
        <w:rPr>
          <w:i/>
          <w:iCs/>
          <w:noProof/>
        </w:rPr>
        <w:t>McKinsey&amp;Company</w:t>
      </w:r>
      <w:r w:rsidRPr="00FF4E93">
        <w:rPr>
          <w:noProof/>
        </w:rPr>
        <w:t>, (October), 1–9.</w:t>
      </w:r>
    </w:p>
    <w:p w14:paraId="43B5542D"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Hanmer, R. S., &amp; Kocan, K. F. (2004). Documenting architectures with patterns. </w:t>
      </w:r>
      <w:r w:rsidRPr="00FF4E93">
        <w:rPr>
          <w:i/>
          <w:iCs/>
          <w:noProof/>
        </w:rPr>
        <w:t>Bell Labs Technical Journal</w:t>
      </w:r>
      <w:r w:rsidRPr="00FF4E93">
        <w:rPr>
          <w:noProof/>
        </w:rPr>
        <w:t xml:space="preserve">, </w:t>
      </w:r>
      <w:r w:rsidRPr="00FF4E93">
        <w:rPr>
          <w:i/>
          <w:iCs/>
          <w:noProof/>
        </w:rPr>
        <w:t>9</w:t>
      </w:r>
      <w:r w:rsidRPr="00FF4E93">
        <w:rPr>
          <w:noProof/>
        </w:rPr>
        <w:t>(1), 143–163.</w:t>
      </w:r>
    </w:p>
    <w:p w14:paraId="1E6B1E5D"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Hannan, M. (2010). Partiality of Memberships in Categories and Audiences. </w:t>
      </w:r>
      <w:r w:rsidRPr="00FF4E93">
        <w:rPr>
          <w:i/>
          <w:iCs/>
          <w:noProof/>
        </w:rPr>
        <w:t xml:space="preserve">Annual Review of </w:t>
      </w:r>
      <w:r w:rsidRPr="00FF4E93">
        <w:rPr>
          <w:i/>
          <w:iCs/>
          <w:noProof/>
        </w:rPr>
        <w:lastRenderedPageBreak/>
        <w:t>Sociology</w:t>
      </w:r>
      <w:r w:rsidRPr="00FF4E93">
        <w:rPr>
          <w:noProof/>
        </w:rPr>
        <w:t xml:space="preserve">, </w:t>
      </w:r>
      <w:r w:rsidRPr="00FF4E93">
        <w:rPr>
          <w:i/>
          <w:iCs/>
          <w:noProof/>
        </w:rPr>
        <w:t>36</w:t>
      </w:r>
      <w:r w:rsidRPr="00FF4E93">
        <w:rPr>
          <w:noProof/>
        </w:rPr>
        <w:t>, 159–184.</w:t>
      </w:r>
    </w:p>
    <w:p w14:paraId="0E788B5D"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Hannan, M. T., Polos, L., &amp; Carroll, G. R. (2007). </w:t>
      </w:r>
      <w:r w:rsidRPr="00FF4E93">
        <w:rPr>
          <w:i/>
          <w:iCs/>
          <w:noProof/>
        </w:rPr>
        <w:t>Logics of Organization Theory: Audiences, Codes, and Ecologies</w:t>
      </w:r>
      <w:r w:rsidRPr="00FF4E93">
        <w:rPr>
          <w:noProof/>
        </w:rPr>
        <w:t>. Princeton, NJ: Princeton University Press.</w:t>
      </w:r>
    </w:p>
    <w:p w14:paraId="41871D64"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Harlé, N., Soussan, P., &amp; de la Tour, A. (2017). What Deep-Tech Startups Want from Corporate Partners. </w:t>
      </w:r>
      <w:r w:rsidRPr="00FF4E93">
        <w:rPr>
          <w:i/>
          <w:iCs/>
          <w:noProof/>
        </w:rPr>
        <w:t>BCG Perspectives</w:t>
      </w:r>
      <w:r w:rsidRPr="00FF4E93">
        <w:rPr>
          <w:noProof/>
        </w:rPr>
        <w:t>. Retrieved from https://www.bcg.com/en-ch/publications/2017/technology-digital-joint-ventures-alliances-what-deep-tech-startups-corporate-partners.aspx</w:t>
      </w:r>
    </w:p>
    <w:p w14:paraId="777F5E6A"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Homann, F., Winterhalter, S., &amp; Gassmann, O. (2016). Capturing Value from Razor and Blade Business Models. In </w:t>
      </w:r>
      <w:r w:rsidRPr="00FF4E93">
        <w:rPr>
          <w:i/>
          <w:iCs/>
          <w:noProof/>
        </w:rPr>
        <w:t>International Society for Professional Innovation Management (ISPIM) Innovation Forum 2016</w:t>
      </w:r>
      <w:r w:rsidRPr="00FF4E93">
        <w:rPr>
          <w:noProof/>
        </w:rPr>
        <w:t>. Boston, MA.</w:t>
      </w:r>
    </w:p>
    <w:p w14:paraId="6C560795"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Hsu, G., &amp; Hannan, M. T. (2005). Identities, Genres, and Organizational Forms. </w:t>
      </w:r>
      <w:r w:rsidRPr="00FF4E93">
        <w:rPr>
          <w:i/>
          <w:iCs/>
          <w:noProof/>
        </w:rPr>
        <w:t>Organization Science</w:t>
      </w:r>
      <w:r w:rsidRPr="00FF4E93">
        <w:rPr>
          <w:noProof/>
        </w:rPr>
        <w:t xml:space="preserve">, </w:t>
      </w:r>
      <w:r w:rsidRPr="00FF4E93">
        <w:rPr>
          <w:i/>
          <w:iCs/>
          <w:noProof/>
        </w:rPr>
        <w:t>16</w:t>
      </w:r>
      <w:r w:rsidRPr="00FF4E93">
        <w:rPr>
          <w:noProof/>
        </w:rPr>
        <w:t>(5), 474–490.</w:t>
      </w:r>
    </w:p>
    <w:p w14:paraId="3B6DE1BB"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Jick, T. D. (1979). Mixing Qualitative and Quantitative Methods: Triangulation in Action. </w:t>
      </w:r>
      <w:r w:rsidRPr="00FF4E93">
        <w:rPr>
          <w:i/>
          <w:iCs/>
          <w:noProof/>
        </w:rPr>
        <w:t>Administrative Science Quarterly</w:t>
      </w:r>
      <w:r w:rsidRPr="00FF4E93">
        <w:rPr>
          <w:noProof/>
        </w:rPr>
        <w:t xml:space="preserve">, </w:t>
      </w:r>
      <w:r w:rsidRPr="00FF4E93">
        <w:rPr>
          <w:i/>
          <w:iCs/>
          <w:noProof/>
        </w:rPr>
        <w:t>24</w:t>
      </w:r>
      <w:r w:rsidRPr="00FF4E93">
        <w:rPr>
          <w:noProof/>
        </w:rPr>
        <w:t>(4), 602–611.</w:t>
      </w:r>
    </w:p>
    <w:p w14:paraId="01798D7E"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Johnson, M. W. (2010). </w:t>
      </w:r>
      <w:r w:rsidRPr="00FF4E93">
        <w:rPr>
          <w:i/>
          <w:iCs/>
          <w:noProof/>
        </w:rPr>
        <w:t>Seizing the white space: Business Model Innovation for Growth and Renewal</w:t>
      </w:r>
      <w:r w:rsidRPr="00FF4E93">
        <w:rPr>
          <w:noProof/>
        </w:rPr>
        <w:t>. Boston, MA: Harvard Business School Press.</w:t>
      </w:r>
    </w:p>
    <w:p w14:paraId="2F35C3FC"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Kim, S. K., &amp; Min, S. (2015). Business model innovation performance: When does adding a new business model benefit an incumbent? </w:t>
      </w:r>
      <w:r w:rsidRPr="00FF4E93">
        <w:rPr>
          <w:i/>
          <w:iCs/>
          <w:noProof/>
        </w:rPr>
        <w:t>Strategic Entrepreneurship Journal</w:t>
      </w:r>
      <w:r w:rsidRPr="00FF4E93">
        <w:rPr>
          <w:noProof/>
        </w:rPr>
        <w:t xml:space="preserve">, </w:t>
      </w:r>
      <w:r w:rsidRPr="00FF4E93">
        <w:rPr>
          <w:i/>
          <w:iCs/>
          <w:noProof/>
        </w:rPr>
        <w:t>9</w:t>
      </w:r>
      <w:r w:rsidRPr="00FF4E93">
        <w:rPr>
          <w:noProof/>
        </w:rPr>
        <w:t>, 34–57.</w:t>
      </w:r>
    </w:p>
    <w:p w14:paraId="3CAC70A4"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King, B. G., &amp; Whetten, D. A. (2008). Rethinking the Relationship Between Reputation and Legitimacy: A Social Actor Conceptualization. </w:t>
      </w:r>
      <w:r w:rsidRPr="00FF4E93">
        <w:rPr>
          <w:i/>
          <w:iCs/>
          <w:noProof/>
        </w:rPr>
        <w:t>Corporate Reputation Review</w:t>
      </w:r>
      <w:r w:rsidRPr="00FF4E93">
        <w:rPr>
          <w:noProof/>
        </w:rPr>
        <w:t xml:space="preserve">, </w:t>
      </w:r>
      <w:r w:rsidRPr="00FF4E93">
        <w:rPr>
          <w:i/>
          <w:iCs/>
          <w:noProof/>
        </w:rPr>
        <w:t>11</w:t>
      </w:r>
      <w:r w:rsidRPr="00FF4E93">
        <w:rPr>
          <w:noProof/>
        </w:rPr>
        <w:t>(3), 192–207.</w:t>
      </w:r>
    </w:p>
    <w:p w14:paraId="3E6A1D9B"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Kulins, C., Leonardy, H., &amp; Weber, C. (2016). A configurational approach in business model design. </w:t>
      </w:r>
      <w:r w:rsidRPr="00FF4E93">
        <w:rPr>
          <w:i/>
          <w:iCs/>
          <w:noProof/>
        </w:rPr>
        <w:t>Journal of Business Research</w:t>
      </w:r>
      <w:r w:rsidRPr="00FF4E93">
        <w:rPr>
          <w:noProof/>
        </w:rPr>
        <w:t xml:space="preserve">, </w:t>
      </w:r>
      <w:r w:rsidRPr="00FF4E93">
        <w:rPr>
          <w:i/>
          <w:iCs/>
          <w:noProof/>
        </w:rPr>
        <w:t>69</w:t>
      </w:r>
      <w:r w:rsidRPr="00FF4E93">
        <w:rPr>
          <w:noProof/>
        </w:rPr>
        <w:t>(4), 1437–1441.</w:t>
      </w:r>
    </w:p>
    <w:p w14:paraId="07FE9330"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Langley, A. (1999). Strategies for theorizing from process data. </w:t>
      </w:r>
      <w:r w:rsidRPr="00FF4E93">
        <w:rPr>
          <w:i/>
          <w:iCs/>
          <w:noProof/>
        </w:rPr>
        <w:t>Academy of Management Review</w:t>
      </w:r>
      <w:r w:rsidRPr="00FF4E93">
        <w:rPr>
          <w:noProof/>
        </w:rPr>
        <w:t xml:space="preserve">, </w:t>
      </w:r>
      <w:r w:rsidRPr="00FF4E93">
        <w:rPr>
          <w:i/>
          <w:iCs/>
          <w:noProof/>
        </w:rPr>
        <w:t>24</w:t>
      </w:r>
      <w:r w:rsidRPr="00FF4E93">
        <w:rPr>
          <w:noProof/>
        </w:rPr>
        <w:t>(4), 691–710.</w:t>
      </w:r>
    </w:p>
    <w:p w14:paraId="4C613DAD"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Lave, C. A., &amp; March, J. G. (1993). </w:t>
      </w:r>
      <w:r w:rsidRPr="00FF4E93">
        <w:rPr>
          <w:i/>
          <w:iCs/>
          <w:noProof/>
        </w:rPr>
        <w:t>An Introduction to Models in the Social Sciences</w:t>
      </w:r>
      <w:r w:rsidRPr="00FF4E93">
        <w:rPr>
          <w:noProof/>
        </w:rPr>
        <w:t>. Landham, MD: University Press of America.</w:t>
      </w:r>
    </w:p>
    <w:p w14:paraId="4987FA40"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Lavender, J., Hughes, B., &amp; Speier, A. (2018a). </w:t>
      </w:r>
      <w:r w:rsidRPr="00FF4E93">
        <w:rPr>
          <w:i/>
          <w:iCs/>
          <w:noProof/>
        </w:rPr>
        <w:t>Venture Pulse Q1 2018: Global analysis of venture funding</w:t>
      </w:r>
      <w:r w:rsidRPr="00FF4E93">
        <w:rPr>
          <w:noProof/>
        </w:rPr>
        <w:t xml:space="preserve">. </w:t>
      </w:r>
      <w:r w:rsidRPr="00FF4E93">
        <w:rPr>
          <w:i/>
          <w:iCs/>
          <w:noProof/>
        </w:rPr>
        <w:t>KPMG Enterprise</w:t>
      </w:r>
      <w:r w:rsidRPr="00FF4E93">
        <w:rPr>
          <w:noProof/>
        </w:rPr>
        <w:t>.</w:t>
      </w:r>
    </w:p>
    <w:p w14:paraId="00985261"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Lavender, J., Hughes, B., &amp; Speier, A. (2018b). Venture Pulse Q2 2018: Global analysis of venture funding. </w:t>
      </w:r>
      <w:r w:rsidRPr="00FF4E93">
        <w:rPr>
          <w:i/>
          <w:iCs/>
          <w:noProof/>
        </w:rPr>
        <w:t>KPMG Enterprise</w:t>
      </w:r>
      <w:r w:rsidRPr="00FF4E93">
        <w:rPr>
          <w:noProof/>
        </w:rPr>
        <w:t>, (July), 1–92. Retrieved from https://assets.kpmg.com/content/dam/kpmg/xx/pdf/2018/07/kpmg-venture-pulse-q2-2018.pdf</w:t>
      </w:r>
    </w:p>
    <w:p w14:paraId="6E9D00A4"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Lavender, J., Hughes, B., &amp; Speier, A. (2018c). Venture Pulse Q3 2018: Global analysis of venture funding. </w:t>
      </w:r>
      <w:r w:rsidRPr="00FF4E93">
        <w:rPr>
          <w:i/>
          <w:iCs/>
          <w:noProof/>
        </w:rPr>
        <w:t>KPMG Enterprise</w:t>
      </w:r>
      <w:r w:rsidRPr="00FF4E93">
        <w:rPr>
          <w:noProof/>
        </w:rPr>
        <w:t>, (October), 1–103.</w:t>
      </w:r>
    </w:p>
    <w:p w14:paraId="182E96A2"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Leppänen, P. (2017). A Fuzzy Set Approach to Business Model Design and Strategy. In </w:t>
      </w:r>
      <w:r w:rsidRPr="00FF4E93">
        <w:rPr>
          <w:i/>
          <w:iCs/>
          <w:noProof/>
        </w:rPr>
        <w:t>Proceedings of the DRUID17</w:t>
      </w:r>
      <w:r w:rsidRPr="00FF4E93">
        <w:rPr>
          <w:noProof/>
        </w:rPr>
        <w:t>.</w:t>
      </w:r>
    </w:p>
    <w:p w14:paraId="4E557807"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Lincoln, Y. S., &amp; Guba, E. G. (1985). </w:t>
      </w:r>
      <w:r w:rsidRPr="00FF4E93">
        <w:rPr>
          <w:i/>
          <w:iCs/>
          <w:noProof/>
        </w:rPr>
        <w:t>Naturalistic inquiry</w:t>
      </w:r>
      <w:r w:rsidRPr="00FF4E93">
        <w:rPr>
          <w:noProof/>
        </w:rPr>
        <w:t>. Sage Publications.</w:t>
      </w:r>
    </w:p>
    <w:p w14:paraId="3FEA80B5"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Linder, J., &amp; Cantrell, S. (2000). </w:t>
      </w:r>
      <w:r w:rsidRPr="00FF4E93">
        <w:rPr>
          <w:i/>
          <w:iCs/>
          <w:noProof/>
        </w:rPr>
        <w:t>Changing Business Models: Surveying the Landscape</w:t>
      </w:r>
      <w:r w:rsidRPr="00FF4E93">
        <w:rPr>
          <w:noProof/>
        </w:rPr>
        <w:t xml:space="preserve">. </w:t>
      </w:r>
      <w:r w:rsidRPr="00FF4E93">
        <w:rPr>
          <w:i/>
          <w:iCs/>
          <w:noProof/>
        </w:rPr>
        <w:t>Accenture Institute for Strategic Change</w:t>
      </w:r>
      <w:r w:rsidRPr="00FF4E93">
        <w:rPr>
          <w:noProof/>
        </w:rPr>
        <w:t>.</w:t>
      </w:r>
    </w:p>
    <w:p w14:paraId="22586344"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Locke, K., &amp; Golden-Biddle, K. (1997). Constructing opportunities for contribution: Structuring intertextual coherence and “Problematizing” in organizational studies. </w:t>
      </w:r>
      <w:r w:rsidRPr="00FF4E93">
        <w:rPr>
          <w:i/>
          <w:iCs/>
          <w:noProof/>
        </w:rPr>
        <w:lastRenderedPageBreak/>
        <w:t>Academy of Management Journal</w:t>
      </w:r>
      <w:r w:rsidRPr="00FF4E93">
        <w:rPr>
          <w:noProof/>
        </w:rPr>
        <w:t xml:space="preserve">, </w:t>
      </w:r>
      <w:r w:rsidRPr="00FF4E93">
        <w:rPr>
          <w:i/>
          <w:iCs/>
          <w:noProof/>
        </w:rPr>
        <w:t>40</w:t>
      </w:r>
      <w:r w:rsidRPr="00FF4E93">
        <w:rPr>
          <w:noProof/>
        </w:rPr>
        <w:t>(5), 1023–1062.</w:t>
      </w:r>
    </w:p>
    <w:p w14:paraId="33E4F46E"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Luber, A. (2016). What Virtual Reality Will Mean for Advertising. </w:t>
      </w:r>
      <w:r w:rsidRPr="00FF4E93">
        <w:rPr>
          <w:i/>
          <w:iCs/>
          <w:noProof/>
        </w:rPr>
        <w:t>Think with Google</w:t>
      </w:r>
      <w:r w:rsidRPr="00FF4E93">
        <w:rPr>
          <w:noProof/>
        </w:rPr>
        <w:t>. Retrieved from https://www.thinkwithgoogle.com/intl/en-apac/ad-channel/video/virtual-reality-advertising/</w:t>
      </w:r>
    </w:p>
    <w:p w14:paraId="7181F9CC"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Lüdeke-Freund, F., Carroux, S., Joyce, A., Massa, L., &amp; Breuer, H. (2018). The sustainable business model pattern taxonomy – 45 patterns to support sustainability-oriented business model innovation. </w:t>
      </w:r>
      <w:r w:rsidRPr="00FF4E93">
        <w:rPr>
          <w:i/>
          <w:iCs/>
          <w:noProof/>
        </w:rPr>
        <w:t>Sustainable Production and Consumption</w:t>
      </w:r>
      <w:r w:rsidRPr="00FF4E93">
        <w:rPr>
          <w:noProof/>
        </w:rPr>
        <w:t xml:space="preserve">, </w:t>
      </w:r>
      <w:r w:rsidRPr="00FF4E93">
        <w:rPr>
          <w:i/>
          <w:iCs/>
          <w:noProof/>
        </w:rPr>
        <w:t>15</w:t>
      </w:r>
      <w:r w:rsidRPr="00FF4E93">
        <w:rPr>
          <w:noProof/>
        </w:rPr>
        <w:t>, 145–162.</w:t>
      </w:r>
    </w:p>
    <w:p w14:paraId="2258FF26"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Manyika, J., Chui, M., Bisson, P., Dobbs, R., Bughin, J., &amp; Aharon, D. (2015). </w:t>
      </w:r>
      <w:r w:rsidRPr="00FF4E93">
        <w:rPr>
          <w:i/>
          <w:iCs/>
          <w:noProof/>
        </w:rPr>
        <w:t>The Internet of Things: mapping the value beyond the hype</w:t>
      </w:r>
      <w:r w:rsidRPr="00FF4E93">
        <w:rPr>
          <w:noProof/>
        </w:rPr>
        <w:t>.</w:t>
      </w:r>
    </w:p>
    <w:p w14:paraId="4B4107FB"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Markides, C., &amp; Charitou, C. D. (2004). Competing with dual business models: A contingency approach. </w:t>
      </w:r>
      <w:r w:rsidRPr="00FF4E93">
        <w:rPr>
          <w:i/>
          <w:iCs/>
          <w:noProof/>
        </w:rPr>
        <w:t>Academy of Management Executive</w:t>
      </w:r>
      <w:r w:rsidRPr="00FF4E93">
        <w:rPr>
          <w:noProof/>
        </w:rPr>
        <w:t xml:space="preserve">, </w:t>
      </w:r>
      <w:r w:rsidRPr="00FF4E93">
        <w:rPr>
          <w:i/>
          <w:iCs/>
          <w:noProof/>
        </w:rPr>
        <w:t>18</w:t>
      </w:r>
      <w:r w:rsidRPr="00FF4E93">
        <w:rPr>
          <w:noProof/>
        </w:rPr>
        <w:t>(3), 22–36.</w:t>
      </w:r>
    </w:p>
    <w:p w14:paraId="18DC0459"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Massa, L., Tucci, C., &amp; Afuah, A. (2017). A critical assessment of business model research. </w:t>
      </w:r>
      <w:r w:rsidRPr="00FF4E93">
        <w:rPr>
          <w:i/>
          <w:iCs/>
          <w:noProof/>
        </w:rPr>
        <w:t>Academy of Management Annals</w:t>
      </w:r>
      <w:r w:rsidRPr="00FF4E93">
        <w:rPr>
          <w:noProof/>
        </w:rPr>
        <w:t xml:space="preserve">, </w:t>
      </w:r>
      <w:r w:rsidRPr="00FF4E93">
        <w:rPr>
          <w:i/>
          <w:iCs/>
          <w:noProof/>
        </w:rPr>
        <w:t>11</w:t>
      </w:r>
      <w:r w:rsidRPr="00FF4E93">
        <w:rPr>
          <w:noProof/>
        </w:rPr>
        <w:t>(1).</w:t>
      </w:r>
    </w:p>
    <w:p w14:paraId="4B9F8DD8"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Massa, L., &amp; Tucci, C. L. (2014). Business Model Innovation. In M. Dodgson, D. M. Gann, &amp; N. Phillips (Eds.), </w:t>
      </w:r>
      <w:r w:rsidRPr="00FF4E93">
        <w:rPr>
          <w:i/>
          <w:iCs/>
          <w:noProof/>
        </w:rPr>
        <w:t>The Oxford Handbook of Innovation Management</w:t>
      </w:r>
      <w:r w:rsidRPr="00FF4E93">
        <w:rPr>
          <w:noProof/>
        </w:rPr>
        <w:t xml:space="preserve"> (pp. 420–441). Oxford, UK: Oxford University Press.</w:t>
      </w:r>
    </w:p>
    <w:p w14:paraId="43116432"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Matzler, K., Bailom, F., von den Eichen, S. F., &amp; Kohler, T. (2013). Business model innovation: coffee triumphs for Nespresso. </w:t>
      </w:r>
      <w:r w:rsidRPr="00FF4E93">
        <w:rPr>
          <w:i/>
          <w:iCs/>
          <w:noProof/>
        </w:rPr>
        <w:t>Journal of Business Strategy</w:t>
      </w:r>
      <w:r w:rsidRPr="00FF4E93">
        <w:rPr>
          <w:noProof/>
        </w:rPr>
        <w:t xml:space="preserve">, </w:t>
      </w:r>
      <w:r w:rsidRPr="00FF4E93">
        <w:rPr>
          <w:i/>
          <w:iCs/>
          <w:noProof/>
        </w:rPr>
        <w:t>34</w:t>
      </w:r>
      <w:r w:rsidRPr="00FF4E93">
        <w:rPr>
          <w:noProof/>
        </w:rPr>
        <w:t>(2), 30–37.</w:t>
      </w:r>
    </w:p>
    <w:p w14:paraId="0D3DAC02"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McGrath, R. G. (2010). Business models: A discovery driven approach. </w:t>
      </w:r>
      <w:r w:rsidRPr="00FF4E93">
        <w:rPr>
          <w:i/>
          <w:iCs/>
          <w:noProof/>
        </w:rPr>
        <w:t>Long Range Planning</w:t>
      </w:r>
      <w:r w:rsidRPr="00FF4E93">
        <w:rPr>
          <w:noProof/>
        </w:rPr>
        <w:t xml:space="preserve">, </w:t>
      </w:r>
      <w:r w:rsidRPr="00FF4E93">
        <w:rPr>
          <w:i/>
          <w:iCs/>
          <w:noProof/>
        </w:rPr>
        <w:t>43</w:t>
      </w:r>
      <w:r w:rsidRPr="00FF4E93">
        <w:rPr>
          <w:noProof/>
        </w:rPr>
        <w:t>(2–3), 247–261.</w:t>
      </w:r>
    </w:p>
    <w:p w14:paraId="11FC740A"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Mervis, C., &amp; Rosch, E. (1981). Categorization of Natural Objects. </w:t>
      </w:r>
      <w:r w:rsidRPr="00FF4E93">
        <w:rPr>
          <w:i/>
          <w:iCs/>
          <w:noProof/>
        </w:rPr>
        <w:t>Annual Review of Psychology</w:t>
      </w:r>
      <w:r w:rsidRPr="00FF4E93">
        <w:rPr>
          <w:noProof/>
        </w:rPr>
        <w:t xml:space="preserve">, </w:t>
      </w:r>
      <w:r w:rsidRPr="00FF4E93">
        <w:rPr>
          <w:i/>
          <w:iCs/>
          <w:noProof/>
        </w:rPr>
        <w:t>32</w:t>
      </w:r>
      <w:r w:rsidRPr="00FF4E93">
        <w:rPr>
          <w:noProof/>
        </w:rPr>
        <w:t>(1), 89–115.</w:t>
      </w:r>
    </w:p>
    <w:p w14:paraId="1CFC56A9"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Meyer, A. D., Tsui, A. S., &amp; Hinings, C. R. (1993). Configurational Approaches to Organizational Analysis. </w:t>
      </w:r>
      <w:r w:rsidRPr="00FF4E93">
        <w:rPr>
          <w:i/>
          <w:iCs/>
          <w:noProof/>
        </w:rPr>
        <w:t>Academy of Management Journal</w:t>
      </w:r>
      <w:r w:rsidRPr="00FF4E93">
        <w:rPr>
          <w:noProof/>
        </w:rPr>
        <w:t xml:space="preserve">, </w:t>
      </w:r>
      <w:r w:rsidRPr="00FF4E93">
        <w:rPr>
          <w:i/>
          <w:iCs/>
          <w:noProof/>
        </w:rPr>
        <w:t>36</w:t>
      </w:r>
      <w:r w:rsidRPr="00FF4E93">
        <w:rPr>
          <w:noProof/>
        </w:rPr>
        <w:t>(6), 1175–1195.</w:t>
      </w:r>
    </w:p>
    <w:p w14:paraId="17955F9F"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Mikhalkina, T., &amp; Cabantous, L. (2015). Business model innovation: How iconic business models emerge. </w:t>
      </w:r>
      <w:r w:rsidRPr="00FF4E93">
        <w:rPr>
          <w:i/>
          <w:iCs/>
          <w:noProof/>
        </w:rPr>
        <w:t>Advances in Strategic Management</w:t>
      </w:r>
      <w:r w:rsidRPr="00FF4E93">
        <w:rPr>
          <w:noProof/>
        </w:rPr>
        <w:t xml:space="preserve">, </w:t>
      </w:r>
      <w:r w:rsidRPr="00FF4E93">
        <w:rPr>
          <w:i/>
          <w:iCs/>
          <w:noProof/>
        </w:rPr>
        <w:t>33</w:t>
      </w:r>
      <w:r w:rsidRPr="00FF4E93">
        <w:rPr>
          <w:noProof/>
        </w:rPr>
        <w:t>, 59–95.</w:t>
      </w:r>
    </w:p>
    <w:p w14:paraId="58822283"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Milgrom, P., &amp; Roberts, J. (1990). The Economics of Modern Manufacturing: Technology, Strategy, and Organization. </w:t>
      </w:r>
      <w:r w:rsidRPr="00FF4E93">
        <w:rPr>
          <w:i/>
          <w:iCs/>
          <w:noProof/>
        </w:rPr>
        <w:t>The American Economic Review</w:t>
      </w:r>
      <w:r w:rsidRPr="00FF4E93">
        <w:rPr>
          <w:noProof/>
        </w:rPr>
        <w:t xml:space="preserve">, </w:t>
      </w:r>
      <w:r w:rsidRPr="00FF4E93">
        <w:rPr>
          <w:i/>
          <w:iCs/>
          <w:noProof/>
        </w:rPr>
        <w:t>80</w:t>
      </w:r>
      <w:r w:rsidRPr="00FF4E93">
        <w:rPr>
          <w:noProof/>
        </w:rPr>
        <w:t>(3), 511–528.</w:t>
      </w:r>
    </w:p>
    <w:p w14:paraId="1372EDEF"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Milgrom, P., &amp; Roberts, J. (1995). Complementarities and fit strategy, structure, and organizational change in manufacturing. </w:t>
      </w:r>
      <w:r w:rsidRPr="00FF4E93">
        <w:rPr>
          <w:i/>
          <w:iCs/>
          <w:noProof/>
        </w:rPr>
        <w:t>Journal of Accounting and Economics</w:t>
      </w:r>
      <w:r w:rsidRPr="00FF4E93">
        <w:rPr>
          <w:noProof/>
        </w:rPr>
        <w:t xml:space="preserve">, </w:t>
      </w:r>
      <w:r w:rsidRPr="00FF4E93">
        <w:rPr>
          <w:i/>
          <w:iCs/>
          <w:noProof/>
        </w:rPr>
        <w:t>19</w:t>
      </w:r>
      <w:r w:rsidRPr="00FF4E93">
        <w:rPr>
          <w:noProof/>
        </w:rPr>
        <w:t>(2–3), 179–208.</w:t>
      </w:r>
    </w:p>
    <w:p w14:paraId="3B1EA458"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Miller, D. (1983). The Correlates of Entrepreneurship in Three Types of Firms. </w:t>
      </w:r>
      <w:r w:rsidRPr="00FF4E93">
        <w:rPr>
          <w:i/>
          <w:iCs/>
          <w:noProof/>
        </w:rPr>
        <w:t>Management Science</w:t>
      </w:r>
      <w:r w:rsidRPr="00FF4E93">
        <w:rPr>
          <w:noProof/>
        </w:rPr>
        <w:t xml:space="preserve">, </w:t>
      </w:r>
      <w:r w:rsidRPr="00FF4E93">
        <w:rPr>
          <w:i/>
          <w:iCs/>
          <w:noProof/>
        </w:rPr>
        <w:t>29</w:t>
      </w:r>
      <w:r w:rsidRPr="00FF4E93">
        <w:rPr>
          <w:noProof/>
        </w:rPr>
        <w:t>(7), 770–791.</w:t>
      </w:r>
    </w:p>
    <w:p w14:paraId="2193987D"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Miller, D. (2017). Challenging trends in configuration research: Where are the configurations? </w:t>
      </w:r>
      <w:r w:rsidRPr="00FF4E93">
        <w:rPr>
          <w:i/>
          <w:iCs/>
          <w:noProof/>
        </w:rPr>
        <w:t>Strategic Organization</w:t>
      </w:r>
      <w:r w:rsidRPr="00FF4E93">
        <w:rPr>
          <w:noProof/>
        </w:rPr>
        <w:t>, 1–17.</w:t>
      </w:r>
    </w:p>
    <w:p w14:paraId="364DC90E"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Miller, D., &amp; Friesen, P. H. (1984). </w:t>
      </w:r>
      <w:r w:rsidRPr="00FF4E93">
        <w:rPr>
          <w:i/>
          <w:iCs/>
          <w:noProof/>
        </w:rPr>
        <w:t>Organizations: A quantum view</w:t>
      </w:r>
      <w:r w:rsidRPr="00FF4E93">
        <w:rPr>
          <w:noProof/>
        </w:rPr>
        <w:t>. Englewood Cliffs, NJ: Prentice-Hall.</w:t>
      </w:r>
    </w:p>
    <w:p w14:paraId="6126E92A"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Morris, M., Schindehutte, M., &amp; Allen, J. (2005). The entrepreneur’s business model: Toward a unified perspective. </w:t>
      </w:r>
      <w:r w:rsidRPr="00FF4E93">
        <w:rPr>
          <w:i/>
          <w:iCs/>
          <w:noProof/>
        </w:rPr>
        <w:t>Journal of Business Research</w:t>
      </w:r>
      <w:r w:rsidRPr="00FF4E93">
        <w:rPr>
          <w:noProof/>
        </w:rPr>
        <w:t xml:space="preserve">, </w:t>
      </w:r>
      <w:r w:rsidRPr="00FF4E93">
        <w:rPr>
          <w:i/>
          <w:iCs/>
          <w:noProof/>
        </w:rPr>
        <w:t>58</w:t>
      </w:r>
      <w:r w:rsidRPr="00FF4E93">
        <w:rPr>
          <w:noProof/>
        </w:rPr>
        <w:t>(6), 726–735.</w:t>
      </w:r>
    </w:p>
    <w:p w14:paraId="2CCBCA40"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Negro, G., Koçak, Ö., &amp; Hsu, G. (2010). Research on categories in the sociology of organizations,. In G. Hsu, G. Negro, &amp; Ö. Koçak (Eds.), </w:t>
      </w:r>
      <w:r w:rsidRPr="00FF4E93">
        <w:rPr>
          <w:i/>
          <w:iCs/>
          <w:noProof/>
        </w:rPr>
        <w:t>Categories in Markets: Origins and Evolution</w:t>
      </w:r>
      <w:r w:rsidRPr="00FF4E93">
        <w:rPr>
          <w:noProof/>
        </w:rPr>
        <w:t xml:space="preserve"> (pp. 3–35). Emerald Group Publishing Limited.</w:t>
      </w:r>
    </w:p>
    <w:p w14:paraId="211AB27F"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lastRenderedPageBreak/>
        <w:t xml:space="preserve">Negro, G., &amp; Leung, M. D. (2013). “Actual” and Perceptual Effects of Category Spanning. </w:t>
      </w:r>
      <w:r w:rsidRPr="00FF4E93">
        <w:rPr>
          <w:i/>
          <w:iCs/>
          <w:noProof/>
        </w:rPr>
        <w:t>Organization Science</w:t>
      </w:r>
      <w:r w:rsidRPr="00FF4E93">
        <w:rPr>
          <w:noProof/>
        </w:rPr>
        <w:t xml:space="preserve">, </w:t>
      </w:r>
      <w:r w:rsidRPr="00FF4E93">
        <w:rPr>
          <w:i/>
          <w:iCs/>
          <w:noProof/>
        </w:rPr>
        <w:t>24</w:t>
      </w:r>
      <w:r w:rsidRPr="00FF4E93">
        <w:rPr>
          <w:noProof/>
        </w:rPr>
        <w:t>(3), 684–696.</w:t>
      </w:r>
    </w:p>
    <w:p w14:paraId="183E8349"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Osterwalder, A., &amp; Pigneur, Y. (2010). </w:t>
      </w:r>
      <w:r w:rsidRPr="00FF4E93">
        <w:rPr>
          <w:i/>
          <w:iCs/>
          <w:noProof/>
        </w:rPr>
        <w:t>Business Model Generation: A Handbook for Visionaries, Game Changers, and Challengers</w:t>
      </w:r>
      <w:r w:rsidRPr="00FF4E93">
        <w:rPr>
          <w:noProof/>
        </w:rPr>
        <w:t>. Hoboken, NJ: John Wiley &amp; Sons.</w:t>
      </w:r>
    </w:p>
    <w:p w14:paraId="313F567F"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Paolella, L., &amp; Durand, R. (2016). Category Spanning, Evaluation, and Performance: Revised Theory and Test on the Corporate Law Market. </w:t>
      </w:r>
      <w:r w:rsidRPr="00FF4E93">
        <w:rPr>
          <w:i/>
          <w:iCs/>
          <w:noProof/>
        </w:rPr>
        <w:t>Academy of Management Journal</w:t>
      </w:r>
      <w:r w:rsidRPr="00FF4E93">
        <w:rPr>
          <w:noProof/>
        </w:rPr>
        <w:t xml:space="preserve">, </w:t>
      </w:r>
      <w:r w:rsidRPr="00FF4E93">
        <w:rPr>
          <w:i/>
          <w:iCs/>
          <w:noProof/>
        </w:rPr>
        <w:t>59</w:t>
      </w:r>
      <w:r w:rsidRPr="00FF4E93">
        <w:rPr>
          <w:noProof/>
        </w:rPr>
        <w:t>(1), 330–351.</w:t>
      </w:r>
    </w:p>
    <w:p w14:paraId="65E60AD8"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Remane, G., Hanelt, A., Tesch, J. F., &amp; Kolbe, L. M. (2017). The Business model pattern database – a tool for systematic business model innovation. </w:t>
      </w:r>
      <w:r w:rsidRPr="00FF4E93">
        <w:rPr>
          <w:i/>
          <w:iCs/>
          <w:noProof/>
        </w:rPr>
        <w:t>International Journal of Innovation Management</w:t>
      </w:r>
      <w:r w:rsidRPr="00FF4E93">
        <w:rPr>
          <w:noProof/>
        </w:rPr>
        <w:t xml:space="preserve">, </w:t>
      </w:r>
      <w:r w:rsidRPr="00FF4E93">
        <w:rPr>
          <w:i/>
          <w:iCs/>
          <w:noProof/>
        </w:rPr>
        <w:t>21</w:t>
      </w:r>
      <w:r w:rsidRPr="00FF4E93">
        <w:rPr>
          <w:noProof/>
        </w:rPr>
        <w:t>(1).</w:t>
      </w:r>
    </w:p>
    <w:p w14:paraId="453AEFF6"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Rudtsch, V., Gausemeier, J., Gesing, J., Mittag, T., &amp; Peter, S. (2014). Pattern-based business model development for cyber-physical production systems. </w:t>
      </w:r>
      <w:r w:rsidRPr="00FF4E93">
        <w:rPr>
          <w:i/>
          <w:iCs/>
          <w:noProof/>
        </w:rPr>
        <w:t>Procedia CIRP</w:t>
      </w:r>
      <w:r w:rsidRPr="00FF4E93">
        <w:rPr>
          <w:noProof/>
        </w:rPr>
        <w:t xml:space="preserve">, </w:t>
      </w:r>
      <w:r w:rsidRPr="00FF4E93">
        <w:rPr>
          <w:i/>
          <w:iCs/>
          <w:noProof/>
        </w:rPr>
        <w:t>25</w:t>
      </w:r>
      <w:r w:rsidRPr="00FF4E93">
        <w:rPr>
          <w:noProof/>
        </w:rPr>
        <w:t>(C), 313–319.</w:t>
      </w:r>
    </w:p>
    <w:p w14:paraId="01149500"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Sabatier, V., Mangematin, V., &amp; Rousselle, T. (2010). From recipe to dinner: Business model portfolios in the european biopharmaceutical industry. </w:t>
      </w:r>
      <w:r w:rsidRPr="00FF4E93">
        <w:rPr>
          <w:i/>
          <w:iCs/>
          <w:noProof/>
        </w:rPr>
        <w:t>Long Range Planning</w:t>
      </w:r>
      <w:r w:rsidRPr="00FF4E93">
        <w:rPr>
          <w:noProof/>
        </w:rPr>
        <w:t xml:space="preserve">, </w:t>
      </w:r>
      <w:r w:rsidRPr="00FF4E93">
        <w:rPr>
          <w:i/>
          <w:iCs/>
          <w:noProof/>
        </w:rPr>
        <w:t>43</w:t>
      </w:r>
      <w:r w:rsidRPr="00FF4E93">
        <w:rPr>
          <w:noProof/>
        </w:rPr>
        <w:t>(2–3), 431–447.</w:t>
      </w:r>
    </w:p>
    <w:p w14:paraId="0DA4D24E"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Short, J. C., Mckelvie, A., Ketchen, D. J., &amp; Chandler, G. N. (2009). Firm and industry effects on firm performance: A generalization and extension for new ventures. </w:t>
      </w:r>
      <w:r w:rsidRPr="00FF4E93">
        <w:rPr>
          <w:i/>
          <w:iCs/>
          <w:noProof/>
        </w:rPr>
        <w:t>Strategic Entrepreneurship Journal</w:t>
      </w:r>
      <w:r w:rsidRPr="00FF4E93">
        <w:rPr>
          <w:noProof/>
        </w:rPr>
        <w:t xml:space="preserve">, </w:t>
      </w:r>
      <w:r w:rsidRPr="00FF4E93">
        <w:rPr>
          <w:i/>
          <w:iCs/>
          <w:noProof/>
        </w:rPr>
        <w:t>3</w:t>
      </w:r>
      <w:r w:rsidRPr="00FF4E93">
        <w:rPr>
          <w:noProof/>
        </w:rPr>
        <w:t>, 47–65.</w:t>
      </w:r>
    </w:p>
    <w:p w14:paraId="0724C1BF"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Short, J. C., Payne, G. T., &amp; Ketchen, D. J. (2008). Research on organizational configurations: Past accomplishments and future challenges. </w:t>
      </w:r>
      <w:r w:rsidRPr="00FF4E93">
        <w:rPr>
          <w:i/>
          <w:iCs/>
          <w:noProof/>
        </w:rPr>
        <w:t>Journal of Management</w:t>
      </w:r>
      <w:r w:rsidRPr="00FF4E93">
        <w:rPr>
          <w:noProof/>
        </w:rPr>
        <w:t xml:space="preserve">, </w:t>
      </w:r>
      <w:r w:rsidRPr="00FF4E93">
        <w:rPr>
          <w:i/>
          <w:iCs/>
          <w:noProof/>
        </w:rPr>
        <w:t>34</w:t>
      </w:r>
      <w:r w:rsidRPr="00FF4E93">
        <w:rPr>
          <w:noProof/>
        </w:rPr>
        <w:t>(6), 1053–1079.</w:t>
      </w:r>
    </w:p>
    <w:p w14:paraId="28297F56"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Strauss, A., &amp; Corbin, J. (2008). </w:t>
      </w:r>
      <w:r w:rsidRPr="00FF4E93">
        <w:rPr>
          <w:i/>
          <w:iCs/>
          <w:noProof/>
        </w:rPr>
        <w:t>Basics of Qualitative Research: Techniques and Procedures for Developing Grounded Theory</w:t>
      </w:r>
      <w:r w:rsidRPr="00FF4E93">
        <w:rPr>
          <w:noProof/>
        </w:rPr>
        <w:t xml:space="preserve">. </w:t>
      </w:r>
      <w:r w:rsidRPr="00FF4E93">
        <w:rPr>
          <w:i/>
          <w:iCs/>
          <w:noProof/>
        </w:rPr>
        <w:t>Basics of Qualitative Research Grounded Theory Procedures and Techniques</w:t>
      </w:r>
      <w:r w:rsidRPr="00FF4E93">
        <w:rPr>
          <w:noProof/>
        </w:rPr>
        <w:t xml:space="preserve"> (3rd ed.). Thousand Oaks, CA: Sage Publications.</w:t>
      </w:r>
    </w:p>
    <w:p w14:paraId="5B06D840"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Teece, D. J. (2018). Business models and dynamic capabilities. </w:t>
      </w:r>
      <w:r w:rsidRPr="00FF4E93">
        <w:rPr>
          <w:i/>
          <w:iCs/>
          <w:noProof/>
        </w:rPr>
        <w:t>Long Range Planning</w:t>
      </w:r>
      <w:r w:rsidRPr="00FF4E93">
        <w:rPr>
          <w:noProof/>
        </w:rPr>
        <w:t xml:space="preserve">, </w:t>
      </w:r>
      <w:r w:rsidRPr="00FF4E93">
        <w:rPr>
          <w:i/>
          <w:iCs/>
          <w:noProof/>
        </w:rPr>
        <w:t>51</w:t>
      </w:r>
      <w:r w:rsidRPr="00FF4E93">
        <w:rPr>
          <w:noProof/>
        </w:rPr>
        <w:t>(1), 40–49.</w:t>
      </w:r>
    </w:p>
    <w:p w14:paraId="30A2F4D1"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Terdiman, D., &amp; Sullivan, M. (2018). The Most Important Tech Trends of 2018, According to Top VCs. Retrieved April 28, 2018, from https://www.fastcompany.com/40503654/the-most-important-tech-trends-of-2018-according-to-top-vcs</w:t>
      </w:r>
    </w:p>
    <w:p w14:paraId="7696C4BF"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Timmers, P. (1998). Business Models for Electronic Markets. </w:t>
      </w:r>
      <w:r w:rsidRPr="00FF4E93">
        <w:rPr>
          <w:i/>
          <w:iCs/>
          <w:noProof/>
        </w:rPr>
        <w:t>Electronic Markets</w:t>
      </w:r>
      <w:r w:rsidRPr="00FF4E93">
        <w:rPr>
          <w:noProof/>
        </w:rPr>
        <w:t xml:space="preserve">, </w:t>
      </w:r>
      <w:r w:rsidRPr="00FF4E93">
        <w:rPr>
          <w:i/>
          <w:iCs/>
          <w:noProof/>
        </w:rPr>
        <w:t>8</w:t>
      </w:r>
      <w:r w:rsidRPr="00FF4E93">
        <w:rPr>
          <w:noProof/>
        </w:rPr>
        <w:t>(2), 3–8.</w:t>
      </w:r>
    </w:p>
    <w:p w14:paraId="1106D6E4"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Tuff, G., &amp; Wunker, S. (2014). </w:t>
      </w:r>
      <w:r w:rsidRPr="00FF4E93">
        <w:rPr>
          <w:i/>
          <w:iCs/>
          <w:noProof/>
        </w:rPr>
        <w:t>Beacons for Business Model Innovation</w:t>
      </w:r>
      <w:r w:rsidRPr="00FF4E93">
        <w:rPr>
          <w:noProof/>
        </w:rPr>
        <w:t xml:space="preserve">. </w:t>
      </w:r>
      <w:r w:rsidRPr="00FF4E93">
        <w:rPr>
          <w:i/>
          <w:iCs/>
          <w:noProof/>
        </w:rPr>
        <w:t>Doblin</w:t>
      </w:r>
      <w:r w:rsidRPr="00FF4E93">
        <w:rPr>
          <w:noProof/>
        </w:rPr>
        <w:t>. Retrieved from https://www2.deloitte.com/content/dam/Deloitte/us/Documents/process-and-operations/us-cons-beacons-for-business-model-innovation-10072014.pdf</w:t>
      </w:r>
    </w:p>
    <w:p w14:paraId="4E6E93E9"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Weick, K. E. (1979). </w:t>
      </w:r>
      <w:r w:rsidRPr="00FF4E93">
        <w:rPr>
          <w:i/>
          <w:iCs/>
          <w:noProof/>
        </w:rPr>
        <w:t>The Social Psychology of Organizing</w:t>
      </w:r>
      <w:r w:rsidRPr="00FF4E93">
        <w:rPr>
          <w:noProof/>
        </w:rPr>
        <w:t xml:space="preserve"> (2nd ed.). Reading, MA: Addison-Wesley.</w:t>
      </w:r>
    </w:p>
    <w:p w14:paraId="032D3C7F"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Weill, P., Malone, T. W., D’urso, V. T., Herman, G., &amp; Woerner, S. (2005). </w:t>
      </w:r>
      <w:r w:rsidRPr="00FF4E93">
        <w:rPr>
          <w:i/>
          <w:iCs/>
          <w:noProof/>
        </w:rPr>
        <w:t>Do Some Business Models Perform Better than Others? A Study of the 1000 Largest US Firms</w:t>
      </w:r>
      <w:r w:rsidRPr="00FF4E93">
        <w:rPr>
          <w:noProof/>
        </w:rPr>
        <w:t>.</w:t>
      </w:r>
    </w:p>
    <w:p w14:paraId="7976885C"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Werani, T., Freiseisen, B., Martinek-Kuchinka, P., &amp; Schauberger, A. (2016). How should successful business models be configured? Results from an empirical study in business-to-business markets and implications for the change of business models. </w:t>
      </w:r>
      <w:r w:rsidRPr="00FF4E93">
        <w:rPr>
          <w:i/>
          <w:iCs/>
          <w:noProof/>
        </w:rPr>
        <w:t>Journal of Business Economics</w:t>
      </w:r>
      <w:r w:rsidRPr="00FF4E93">
        <w:rPr>
          <w:noProof/>
        </w:rPr>
        <w:t xml:space="preserve">, </w:t>
      </w:r>
      <w:r w:rsidRPr="00FF4E93">
        <w:rPr>
          <w:i/>
          <w:iCs/>
          <w:noProof/>
        </w:rPr>
        <w:t>86</w:t>
      </w:r>
      <w:r w:rsidRPr="00FF4E93">
        <w:rPr>
          <w:noProof/>
        </w:rPr>
        <w:t>(6), 579–609.</w:t>
      </w:r>
    </w:p>
    <w:p w14:paraId="535A226A"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Wirtz, B. W., Pistoia, A., Ullrich, S., &amp; Göttel, V. (2016). Business Models: Origin, Development and Future Research Perspectives. </w:t>
      </w:r>
      <w:r w:rsidRPr="00FF4E93">
        <w:rPr>
          <w:i/>
          <w:iCs/>
          <w:noProof/>
        </w:rPr>
        <w:t>Long Range Planning</w:t>
      </w:r>
      <w:r w:rsidRPr="00FF4E93">
        <w:rPr>
          <w:noProof/>
        </w:rPr>
        <w:t xml:space="preserve">, </w:t>
      </w:r>
      <w:r w:rsidRPr="00FF4E93">
        <w:rPr>
          <w:i/>
          <w:iCs/>
          <w:noProof/>
        </w:rPr>
        <w:t>49</w:t>
      </w:r>
      <w:r w:rsidRPr="00FF4E93">
        <w:rPr>
          <w:noProof/>
        </w:rPr>
        <w:t>(1), 36–54.</w:t>
      </w:r>
    </w:p>
    <w:p w14:paraId="43E72A21"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lastRenderedPageBreak/>
        <w:t xml:space="preserve">Yin, R. K. (2014). </w:t>
      </w:r>
      <w:r w:rsidRPr="00FF4E93">
        <w:rPr>
          <w:i/>
          <w:iCs/>
          <w:noProof/>
        </w:rPr>
        <w:t>Case Study Research: Design and Methods</w:t>
      </w:r>
      <w:r w:rsidRPr="00FF4E93">
        <w:rPr>
          <w:noProof/>
        </w:rPr>
        <w:t xml:space="preserve"> (5th ed.). Thousand Oaks, CA: Sage.</w:t>
      </w:r>
    </w:p>
    <w:p w14:paraId="164803DD"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Zahra, S. A., &amp; Nambisan, S. (2011). Entrepreneurship in global innovation ecosystems. </w:t>
      </w:r>
      <w:r w:rsidRPr="00FF4E93">
        <w:rPr>
          <w:i/>
          <w:iCs/>
          <w:noProof/>
        </w:rPr>
        <w:t>AMS Review</w:t>
      </w:r>
      <w:r w:rsidRPr="00FF4E93">
        <w:rPr>
          <w:noProof/>
        </w:rPr>
        <w:t xml:space="preserve">, </w:t>
      </w:r>
      <w:r w:rsidRPr="00FF4E93">
        <w:rPr>
          <w:i/>
          <w:iCs/>
          <w:noProof/>
        </w:rPr>
        <w:t>1</w:t>
      </w:r>
      <w:r w:rsidRPr="00FF4E93">
        <w:rPr>
          <w:noProof/>
        </w:rPr>
        <w:t>(1), 4–17.</w:t>
      </w:r>
    </w:p>
    <w:p w14:paraId="63C900E3"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Zott, C., &amp; Amit, R. (2007). Business Model Design and the Performance of Entrepreneurial Firms. </w:t>
      </w:r>
      <w:r w:rsidRPr="00FF4E93">
        <w:rPr>
          <w:i/>
          <w:iCs/>
          <w:noProof/>
        </w:rPr>
        <w:t>Organization Science</w:t>
      </w:r>
      <w:r w:rsidRPr="00FF4E93">
        <w:rPr>
          <w:noProof/>
        </w:rPr>
        <w:t xml:space="preserve">, </w:t>
      </w:r>
      <w:r w:rsidRPr="00FF4E93">
        <w:rPr>
          <w:i/>
          <w:iCs/>
          <w:noProof/>
        </w:rPr>
        <w:t>18</w:t>
      </w:r>
      <w:r w:rsidRPr="00FF4E93">
        <w:rPr>
          <w:noProof/>
        </w:rPr>
        <w:t>(2), 181–199.</w:t>
      </w:r>
    </w:p>
    <w:p w14:paraId="3133E8DF"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Zott, C., &amp; Amit, R. (2008). The Fit between Product Market Strategy and Business Model: Implications for Firm Performance. </w:t>
      </w:r>
      <w:r w:rsidRPr="00FF4E93">
        <w:rPr>
          <w:i/>
          <w:iCs/>
          <w:noProof/>
        </w:rPr>
        <w:t>Strategic Management Journal</w:t>
      </w:r>
      <w:r w:rsidRPr="00FF4E93">
        <w:rPr>
          <w:noProof/>
        </w:rPr>
        <w:t xml:space="preserve">, </w:t>
      </w:r>
      <w:r w:rsidRPr="00FF4E93">
        <w:rPr>
          <w:i/>
          <w:iCs/>
          <w:noProof/>
        </w:rPr>
        <w:t>29</w:t>
      </w:r>
      <w:r w:rsidRPr="00FF4E93">
        <w:rPr>
          <w:noProof/>
        </w:rPr>
        <w:t>(1), 1–26.</w:t>
      </w:r>
    </w:p>
    <w:p w14:paraId="2F7975C6" w14:textId="77777777" w:rsidR="00C95F78" w:rsidRPr="00FF4E93" w:rsidRDefault="00C95F78" w:rsidP="00C95F78">
      <w:pPr>
        <w:widowControl w:val="0"/>
        <w:autoSpaceDE w:val="0"/>
        <w:autoSpaceDN w:val="0"/>
        <w:adjustRightInd w:val="0"/>
        <w:spacing w:line="240" w:lineRule="auto"/>
        <w:ind w:left="480" w:hanging="480"/>
        <w:rPr>
          <w:noProof/>
        </w:rPr>
      </w:pPr>
      <w:r w:rsidRPr="00FF4E93">
        <w:rPr>
          <w:noProof/>
        </w:rPr>
        <w:t xml:space="preserve">Zott, C., &amp; Amit, R. (2010). Business model design: An activity system perspective. </w:t>
      </w:r>
      <w:r w:rsidRPr="00FF4E93">
        <w:rPr>
          <w:i/>
          <w:iCs/>
          <w:noProof/>
        </w:rPr>
        <w:t>Long Range Planning</w:t>
      </w:r>
      <w:r w:rsidRPr="00FF4E93">
        <w:rPr>
          <w:noProof/>
        </w:rPr>
        <w:t xml:space="preserve">, </w:t>
      </w:r>
      <w:r w:rsidRPr="00FF4E93">
        <w:rPr>
          <w:i/>
          <w:iCs/>
          <w:noProof/>
        </w:rPr>
        <w:t>43</w:t>
      </w:r>
      <w:r w:rsidRPr="00FF4E93">
        <w:rPr>
          <w:noProof/>
        </w:rPr>
        <w:t>(2–3), 216–226.</w:t>
      </w:r>
    </w:p>
    <w:p w14:paraId="4E40D995" w14:textId="0224003B" w:rsidR="00C95F78" w:rsidRPr="00FF4E93" w:rsidRDefault="00C95F78" w:rsidP="00C95F78">
      <w:r w:rsidRPr="00FF4E93">
        <w:fldChar w:fldCharType="end"/>
      </w:r>
    </w:p>
    <w:sectPr w:rsidR="00C95F78" w:rsidRPr="00FF4E93" w:rsidSect="00A5610C">
      <w:footerReference w:type="even" r:id="rId18"/>
      <w:footerReference w:type="default" r:id="rId19"/>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9A4F83" w14:textId="77777777" w:rsidR="006A0129" w:rsidRDefault="006A0129" w:rsidP="00FD53FE">
      <w:pPr>
        <w:spacing w:before="0" w:after="0" w:line="240" w:lineRule="auto"/>
      </w:pPr>
      <w:r>
        <w:separator/>
      </w:r>
    </w:p>
  </w:endnote>
  <w:endnote w:type="continuationSeparator" w:id="0">
    <w:p w14:paraId="60DAECD0" w14:textId="77777777" w:rsidR="006A0129" w:rsidRDefault="006A0129" w:rsidP="00FD53F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00500000000000000"/>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99852" w14:textId="77777777" w:rsidR="00C54569" w:rsidRDefault="00C54569" w:rsidP="00C5456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B53AE3" w14:textId="77777777" w:rsidR="00C54569" w:rsidRDefault="00C54569" w:rsidP="00C545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B9911" w14:textId="77777777" w:rsidR="00C54569" w:rsidRPr="000E4CA5" w:rsidRDefault="00C54569" w:rsidP="00C54569">
    <w:pPr>
      <w:pStyle w:val="Footer"/>
      <w:framePr w:wrap="none" w:vAnchor="text" w:hAnchor="margin" w:xAlign="right" w:y="1"/>
      <w:rPr>
        <w:rStyle w:val="PageNumber"/>
        <w:sz w:val="22"/>
        <w:szCs w:val="22"/>
      </w:rPr>
    </w:pPr>
    <w:r w:rsidRPr="000E4CA5">
      <w:rPr>
        <w:rStyle w:val="PageNumber"/>
        <w:sz w:val="22"/>
        <w:szCs w:val="22"/>
      </w:rPr>
      <w:fldChar w:fldCharType="begin"/>
    </w:r>
    <w:r w:rsidRPr="000E4CA5">
      <w:rPr>
        <w:rStyle w:val="PageNumber"/>
        <w:sz w:val="22"/>
        <w:szCs w:val="22"/>
      </w:rPr>
      <w:instrText xml:space="preserve">PAGE  </w:instrText>
    </w:r>
    <w:r w:rsidRPr="000E4CA5">
      <w:rPr>
        <w:rStyle w:val="PageNumber"/>
        <w:sz w:val="22"/>
        <w:szCs w:val="22"/>
      </w:rPr>
      <w:fldChar w:fldCharType="separate"/>
    </w:r>
    <w:r>
      <w:rPr>
        <w:rStyle w:val="PageNumber"/>
        <w:noProof/>
        <w:sz w:val="22"/>
        <w:szCs w:val="22"/>
      </w:rPr>
      <w:t>82</w:t>
    </w:r>
    <w:r w:rsidRPr="000E4CA5">
      <w:rPr>
        <w:rStyle w:val="PageNumber"/>
        <w:sz w:val="22"/>
        <w:szCs w:val="22"/>
      </w:rPr>
      <w:fldChar w:fldCharType="end"/>
    </w:r>
  </w:p>
  <w:p w14:paraId="1CBBE523" w14:textId="77777777" w:rsidR="00C54569" w:rsidRPr="000E4CA5" w:rsidRDefault="00C54569" w:rsidP="00C54569">
    <w:pPr>
      <w:pStyle w:val="Footer"/>
      <w:ind w:right="360"/>
      <w:rPr>
        <w:sz w:val="22"/>
        <w:szCs w:val="22"/>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13A4FA" w14:textId="77777777" w:rsidR="00C54569" w:rsidRDefault="00C54569" w:rsidP="00C5456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0DDE3D" w14:textId="77777777" w:rsidR="00C54569" w:rsidRDefault="00C54569" w:rsidP="00273548">
    <w:pPr>
      <w:pStyle w:val="Footer"/>
      <w:ind w:right="360"/>
    </w:pPr>
  </w:p>
  <w:p w14:paraId="70ACBA76" w14:textId="77777777" w:rsidR="00C54569" w:rsidRDefault="00C5456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C2ECA" w14:textId="77777777" w:rsidR="00C54569" w:rsidRDefault="00C54569" w:rsidP="00C5456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2842280" w14:textId="77777777" w:rsidR="00C54569" w:rsidRDefault="00C54569" w:rsidP="00273548">
    <w:pPr>
      <w:pStyle w:val="Footer"/>
      <w:ind w:right="360"/>
    </w:pPr>
  </w:p>
  <w:p w14:paraId="7889F558" w14:textId="77777777" w:rsidR="00C54569" w:rsidRDefault="00C5456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DD8454" w14:textId="77777777" w:rsidR="006A0129" w:rsidRDefault="006A0129" w:rsidP="00FD53FE">
      <w:pPr>
        <w:spacing w:before="0" w:after="0" w:line="240" w:lineRule="auto"/>
      </w:pPr>
      <w:r>
        <w:separator/>
      </w:r>
    </w:p>
  </w:footnote>
  <w:footnote w:type="continuationSeparator" w:id="0">
    <w:p w14:paraId="541FADD6" w14:textId="77777777" w:rsidR="006A0129" w:rsidRDefault="006A0129" w:rsidP="00FD53FE">
      <w:pPr>
        <w:spacing w:before="0" w:after="0" w:line="240" w:lineRule="auto"/>
      </w:pPr>
      <w:r>
        <w:continuationSeparator/>
      </w:r>
    </w:p>
  </w:footnote>
  <w:footnote w:id="1">
    <w:p w14:paraId="769EDAA2" w14:textId="59B3E723" w:rsidR="00C54569" w:rsidRPr="00162090" w:rsidRDefault="00C54569" w:rsidP="00151DC1">
      <w:pPr>
        <w:pStyle w:val="FootnoteText"/>
        <w:rPr>
          <w:sz w:val="22"/>
          <w:szCs w:val="22"/>
        </w:rPr>
      </w:pPr>
      <w:r w:rsidRPr="00162090">
        <w:rPr>
          <w:rStyle w:val="FootnoteReference"/>
          <w:sz w:val="22"/>
          <w:szCs w:val="22"/>
        </w:rPr>
        <w:footnoteRef/>
      </w:r>
      <w:r w:rsidRPr="00162090">
        <w:rPr>
          <w:sz w:val="22"/>
          <w:szCs w:val="22"/>
        </w:rPr>
        <w:t xml:space="preserve"> An immediate example represents the set of business model patterns provided by Gassmann and colleagues that has been extended from 55 to 60 patterns between the first and second edition </w:t>
      </w:r>
      <w:r w:rsidRPr="00162090">
        <w:rPr>
          <w:sz w:val="22"/>
          <w:szCs w:val="22"/>
        </w:rPr>
        <w:fldChar w:fldCharType="begin" w:fldLock="1"/>
      </w:r>
      <w:r>
        <w:rPr>
          <w:sz w:val="22"/>
          <w:szCs w:val="22"/>
        </w:rPr>
        <w:instrText>ADDIN CSL_CITATION {"citationItems":[{"id":"ITEM-1","itemData":{"author":[{"dropping-particle":"","family":"Gassmann","given":"Oliver","non-dropping-particle":"","parse-names":false,"suffix":""},{"dropping-particle":"","family":"Frankenberger","given":"Karolin","non-dropping-particle":"","parse-names":false,"suffix":""},{"dropping-particle":"","family":"Csik","given":"Michaela","non-dropping-particle":"","parse-names":false,"suffix":""}],"id":"ITEM-1","issued":{"date-parts":[["2014"]]},"number-of-pages":"400","publisher":"FT Press","publisher-place":"Harlow Pearson, UK","title":"The Business Model Navigator: 55 Models that will revolutionize your Business","type":"book"},"uris":["http://www.mendeley.com/documents/?uuid=c2796f84-9ecd-45e1-9f23-0de694abceee"]},{"id":"ITEM-2","itemData":{"author":[{"dropping-particle":"","family":"Gassmann","given":"Oliver","non-dropping-particle":"","parse-names":false,"suffix":""},{"dropping-particle":"","family":"Frankenberger","given":"Karolin","non-dropping-particle":"","parse-names":false,"suffix":""},{"dropping-particle":"","family":"Csik","given":"Michaela","non-dropping-particle":"","parse-names":false,"suffix":""}],"edition":"2nd","id":"ITEM-2","issued":{"date-parts":[["2017"]]},"number-of-pages":"416","publisher":"Carl Hanser Verlag","publisher-place":"Munich, Germany","title":"The Business Model Navigator","type":"book"},"uris":["http://www.mendeley.com/documents/?uuid=684e1517-e17a-4ba8-a565-5ce0cc4aa250"]}],"mendeley":{"formattedCitation":"(Gassmann, Frankenberger, &amp; Csik, 2014; Gassmann et al., 2017)","manualFormatting":"(cfr. Gassmann, Frankenberger, &amp; Csik, 2014, 2017)","plainTextFormattedCitation":"(Gassmann, Frankenberger, &amp; Csik, 2014; Gassmann et al., 2017)","previouslyFormattedCitation":"(Gassmann et al., 2014, 2017)"},"properties":{"noteIndex":0},"schema":"https://github.com/citation-style-language/schema/raw/master/csl-citation.json"}</w:instrText>
      </w:r>
      <w:r w:rsidRPr="00162090">
        <w:rPr>
          <w:sz w:val="22"/>
          <w:szCs w:val="22"/>
        </w:rPr>
        <w:fldChar w:fldCharType="separate"/>
      </w:r>
      <w:r w:rsidRPr="00162090">
        <w:rPr>
          <w:noProof/>
          <w:sz w:val="22"/>
          <w:szCs w:val="22"/>
        </w:rPr>
        <w:t>(</w:t>
      </w:r>
      <w:r>
        <w:rPr>
          <w:noProof/>
          <w:sz w:val="22"/>
          <w:szCs w:val="22"/>
        </w:rPr>
        <w:t xml:space="preserve">cfr. </w:t>
      </w:r>
      <w:r w:rsidRPr="00162090">
        <w:rPr>
          <w:noProof/>
          <w:sz w:val="22"/>
          <w:szCs w:val="22"/>
        </w:rPr>
        <w:t>Gassmann, Frankenberger, &amp; Csik, 2014, 2017)</w:t>
      </w:r>
      <w:r w:rsidRPr="00162090">
        <w:rPr>
          <w:sz w:val="22"/>
          <w:szCs w:val="22"/>
        </w:rPr>
        <w:fldChar w:fldCharType="end"/>
      </w:r>
      <w:r w:rsidRPr="00162090">
        <w:rPr>
          <w:sz w:val="22"/>
          <w:szCs w:val="22"/>
        </w:rPr>
        <w:t>.</w:t>
      </w:r>
    </w:p>
  </w:footnote>
  <w:footnote w:id="2">
    <w:p w14:paraId="4736736F" w14:textId="77777777" w:rsidR="00C54569" w:rsidRPr="00162090" w:rsidRDefault="00C54569" w:rsidP="00151DC1">
      <w:pPr>
        <w:pStyle w:val="FootnoteText"/>
        <w:rPr>
          <w:i/>
          <w:sz w:val="22"/>
          <w:szCs w:val="22"/>
        </w:rPr>
      </w:pPr>
      <w:r w:rsidRPr="00162090">
        <w:rPr>
          <w:rStyle w:val="FootnoteReference"/>
          <w:sz w:val="22"/>
          <w:szCs w:val="22"/>
        </w:rPr>
        <w:footnoteRef/>
      </w:r>
      <w:r w:rsidRPr="00162090">
        <w:rPr>
          <w:sz w:val="22"/>
          <w:szCs w:val="22"/>
        </w:rPr>
        <w:t xml:space="preserve"> The BMI Lab, which maintains the business model pattern set, defines the </w:t>
      </w:r>
      <w:r w:rsidRPr="00162090">
        <w:rPr>
          <w:i/>
          <w:sz w:val="22"/>
          <w:szCs w:val="22"/>
        </w:rPr>
        <w:t>Crowdfunding</w:t>
      </w:r>
      <w:r w:rsidRPr="00162090">
        <w:rPr>
          <w:sz w:val="22"/>
          <w:szCs w:val="22"/>
        </w:rPr>
        <w:t xml:space="preserve"> pattern as</w:t>
      </w:r>
      <w:r w:rsidRPr="00162090">
        <w:rPr>
          <w:i/>
          <w:sz w:val="22"/>
          <w:szCs w:val="22"/>
        </w:rPr>
        <w:t xml:space="preserve"> </w:t>
      </w:r>
      <w:r w:rsidRPr="00162090">
        <w:rPr>
          <w:sz w:val="22"/>
          <w:szCs w:val="22"/>
        </w:rPr>
        <w:t xml:space="preserve">follows </w:t>
      </w:r>
      <w:r w:rsidRPr="00162090">
        <w:rPr>
          <w:sz w:val="22"/>
          <w:szCs w:val="22"/>
        </w:rPr>
        <w:fldChar w:fldCharType="begin" w:fldLock="1"/>
      </w:r>
      <w:r w:rsidRPr="00162090">
        <w:rPr>
          <w:sz w:val="22"/>
          <w:szCs w:val="22"/>
        </w:rPr>
        <w:instrText>ADDIN CSL_CITATION {"citationItems":[{"id":"ITEM-1","itemData":{"author":[{"dropping-particle":"","family":"BMI Lab","given":"The","non-dropping-particle":"","parse-names":false,"suffix":""}],"id":"ITEM-1","issued":{"date-parts":[["2017"]]},"number-of-pages":"1-18","title":"55+ Pattern Cards","type":"report"},"uris":["http://www.mendeley.com/documents/?uuid=50ec33ea-a879-4d1b-8b9e-4b70a8c188e5"]}],"mendeley":{"formattedCitation":"(BMI Lab, 2017)","manualFormatting":"(BMI Lab, 2017, p.4)","plainTextFormattedCitation":"(BMI Lab, 2017)","previouslyFormattedCitation":"(BMI Lab, 2017)"},"properties":{"noteIndex":0},"schema":"https://github.com/citation-style-language/schema/raw/master/csl-citation.json"}</w:instrText>
      </w:r>
      <w:r w:rsidRPr="00162090">
        <w:rPr>
          <w:sz w:val="22"/>
          <w:szCs w:val="22"/>
        </w:rPr>
        <w:fldChar w:fldCharType="separate"/>
      </w:r>
      <w:r w:rsidRPr="00162090">
        <w:rPr>
          <w:noProof/>
          <w:sz w:val="22"/>
          <w:szCs w:val="22"/>
        </w:rPr>
        <w:t>(BMI Lab, 2017, p.4)</w:t>
      </w:r>
      <w:r w:rsidRPr="00162090">
        <w:rPr>
          <w:sz w:val="22"/>
          <w:szCs w:val="22"/>
        </w:rPr>
        <w:fldChar w:fldCharType="end"/>
      </w:r>
      <w:r w:rsidRPr="00162090">
        <w:rPr>
          <w:sz w:val="22"/>
          <w:szCs w:val="22"/>
        </w:rPr>
        <w:t xml:space="preserve">: </w:t>
      </w:r>
      <w:r w:rsidRPr="00162090">
        <w:rPr>
          <w:i/>
          <w:sz w:val="22"/>
          <w:szCs w:val="22"/>
        </w:rPr>
        <w:t>“A product, project or entire start-up is financed by a crowd of investors who wish to support the underlying idea, typically via the Internet. If the critical mass is achieved, the idea will be realized and investors receive special benefits, usually proportionate to the amount of money they provided.”</w:t>
      </w:r>
    </w:p>
  </w:footnote>
  <w:footnote w:id="3">
    <w:p w14:paraId="0EF74976" w14:textId="77777777" w:rsidR="00C54569" w:rsidRPr="00162090" w:rsidRDefault="00C54569" w:rsidP="00151DC1">
      <w:pPr>
        <w:pStyle w:val="FootnoteText"/>
        <w:rPr>
          <w:sz w:val="22"/>
          <w:szCs w:val="22"/>
        </w:rPr>
      </w:pPr>
      <w:r w:rsidRPr="00162090">
        <w:rPr>
          <w:rStyle w:val="FootnoteReference"/>
          <w:sz w:val="22"/>
          <w:szCs w:val="22"/>
        </w:rPr>
        <w:footnoteRef/>
      </w:r>
      <w:r w:rsidRPr="00162090">
        <w:rPr>
          <w:sz w:val="22"/>
          <w:szCs w:val="22"/>
        </w:rPr>
        <w:t xml:space="preserve"> The BMI Lab defines the </w:t>
      </w:r>
      <w:r w:rsidRPr="00162090">
        <w:rPr>
          <w:i/>
          <w:sz w:val="22"/>
          <w:szCs w:val="22"/>
        </w:rPr>
        <w:t>Aikido</w:t>
      </w:r>
      <w:r w:rsidRPr="00162090">
        <w:rPr>
          <w:sz w:val="22"/>
          <w:szCs w:val="22"/>
        </w:rPr>
        <w:t xml:space="preserve"> pattern as</w:t>
      </w:r>
      <w:r w:rsidRPr="00162090">
        <w:rPr>
          <w:i/>
          <w:sz w:val="22"/>
          <w:szCs w:val="22"/>
        </w:rPr>
        <w:t xml:space="preserve"> </w:t>
      </w:r>
      <w:r w:rsidRPr="00162090">
        <w:rPr>
          <w:sz w:val="22"/>
          <w:szCs w:val="22"/>
        </w:rPr>
        <w:t xml:space="preserve">follows </w:t>
      </w:r>
      <w:r w:rsidRPr="00162090">
        <w:rPr>
          <w:sz w:val="22"/>
          <w:szCs w:val="22"/>
        </w:rPr>
        <w:fldChar w:fldCharType="begin" w:fldLock="1"/>
      </w:r>
      <w:r w:rsidRPr="00162090">
        <w:rPr>
          <w:sz w:val="22"/>
          <w:szCs w:val="22"/>
        </w:rPr>
        <w:instrText>ADDIN CSL_CITATION {"citationItems":[{"id":"ITEM-1","itemData":{"author":[{"dropping-particle":"","family":"BMI Lab","given":"The","non-dropping-particle":"","parse-names":false,"suffix":""}],"id":"ITEM-1","issued":{"date-parts":[["2017"]]},"number-of-pages":"1-18","title":"55+ Pattern Cards","type":"report"},"uris":["http://www.mendeley.com/documents/?uuid=50ec33ea-a879-4d1b-8b9e-4b70a8c188e5"]}],"mendeley":{"formattedCitation":"(BMI Lab, 2017)","manualFormatting":"(BMI Lab, 2017, p.3)","plainTextFormattedCitation":"(BMI Lab, 2017)","previouslyFormattedCitation":"(BMI Lab, 2017)"},"properties":{"noteIndex":0},"schema":"https://github.com/citation-style-language/schema/raw/master/csl-citation.json"}</w:instrText>
      </w:r>
      <w:r w:rsidRPr="00162090">
        <w:rPr>
          <w:sz w:val="22"/>
          <w:szCs w:val="22"/>
        </w:rPr>
        <w:fldChar w:fldCharType="separate"/>
      </w:r>
      <w:r w:rsidRPr="00162090">
        <w:rPr>
          <w:noProof/>
          <w:sz w:val="22"/>
          <w:szCs w:val="22"/>
        </w:rPr>
        <w:t>(BMI Lab, 2017, p.3)</w:t>
      </w:r>
      <w:r w:rsidRPr="00162090">
        <w:rPr>
          <w:sz w:val="22"/>
          <w:szCs w:val="22"/>
        </w:rPr>
        <w:fldChar w:fldCharType="end"/>
      </w:r>
      <w:r w:rsidRPr="00162090">
        <w:rPr>
          <w:sz w:val="22"/>
          <w:szCs w:val="22"/>
        </w:rPr>
        <w:t xml:space="preserve">: </w:t>
      </w:r>
      <w:r w:rsidRPr="00162090">
        <w:rPr>
          <w:i/>
          <w:sz w:val="22"/>
          <w:szCs w:val="22"/>
        </w:rPr>
        <w:t>“Aikido is a Japanese martial art in which the strength of an attacker is used against him or her. As a business model, Aikido allows a company to offer something diametrically opposed to the image and mindset of the competition. This new value proposition attracts customers who prefer ideas or concepts opposed to the mainstream.”</w:t>
      </w:r>
    </w:p>
  </w:footnote>
  <w:footnote w:id="4">
    <w:p w14:paraId="3FC9E911" w14:textId="77777777" w:rsidR="00C54569" w:rsidRPr="00162090" w:rsidRDefault="00C54569" w:rsidP="00151DC1">
      <w:pPr>
        <w:widowControl w:val="0"/>
        <w:autoSpaceDE w:val="0"/>
        <w:autoSpaceDN w:val="0"/>
        <w:adjustRightInd w:val="0"/>
        <w:spacing w:before="0" w:line="200" w:lineRule="atLeast"/>
        <w:rPr>
          <w:color w:val="000000"/>
          <w:sz w:val="22"/>
          <w:szCs w:val="22"/>
          <w:lang w:eastAsia="en-US"/>
        </w:rPr>
      </w:pPr>
      <w:r w:rsidRPr="00162090">
        <w:rPr>
          <w:rStyle w:val="FootnoteReference"/>
          <w:sz w:val="22"/>
          <w:szCs w:val="22"/>
        </w:rPr>
        <w:footnoteRef/>
      </w:r>
      <w:r w:rsidRPr="00162090">
        <w:rPr>
          <w:sz w:val="22"/>
          <w:szCs w:val="22"/>
        </w:rPr>
        <w:t xml:space="preserve"> About MindMaze: </w:t>
      </w:r>
      <w:r w:rsidRPr="00162090">
        <w:rPr>
          <w:i/>
          <w:color w:val="000000"/>
          <w:sz w:val="22"/>
          <w:szCs w:val="22"/>
          <w:lang w:eastAsia="en-US"/>
        </w:rPr>
        <w:t xml:space="preserve">MindMaze develops medical grade virtual reality products to stimulate neural recovery. It develops a platform to build intuitive human machine interfaces combining VR, computer graphics, brain imaging, and neuroscience. […] MindMaze’s technology includes user interfaces, including a lightweight wearable head mounted display and 3D motion capture cameras that offer VR, gesture, and multiple object/user recognition and augmented reality capabilities, and medical grade technology enables new applications in gaming, brain machine control, and healthcare. […] Its headquarters is in Lausanne in Switzerland with additional locations in Zürich and Ecublens in the same country and San Francisco in California in the United States. </w:t>
      </w:r>
      <w:r w:rsidRPr="00162090">
        <w:rPr>
          <w:color w:val="000000"/>
          <w:sz w:val="22"/>
          <w:szCs w:val="22"/>
          <w:lang w:eastAsia="en-US"/>
        </w:rPr>
        <w:t>Sources: https://www.crunchbase.com/organization/mindmaze, https://vendordb.com/mindmaze/</w:t>
      </w:r>
    </w:p>
  </w:footnote>
  <w:footnote w:id="5">
    <w:p w14:paraId="3FFF09AB" w14:textId="77777777" w:rsidR="00C54569" w:rsidRPr="00162090" w:rsidRDefault="00C54569" w:rsidP="00151DC1">
      <w:pPr>
        <w:spacing w:line="240" w:lineRule="auto"/>
        <w:rPr>
          <w:sz w:val="22"/>
          <w:szCs w:val="22"/>
        </w:rPr>
      </w:pPr>
      <w:r w:rsidRPr="00162090">
        <w:rPr>
          <w:rStyle w:val="FootnoteReference"/>
          <w:sz w:val="22"/>
          <w:szCs w:val="22"/>
        </w:rPr>
        <w:footnoteRef/>
      </w:r>
      <w:r w:rsidRPr="00162090">
        <w:rPr>
          <w:sz w:val="22"/>
          <w:szCs w:val="22"/>
        </w:rPr>
        <w:t xml:space="preserve"> A small number of firms relied solely on the foundations for their business model design: 23 firms </w:t>
      </w:r>
      <w:r w:rsidRPr="00162090">
        <w:rPr>
          <w:i/>
          <w:sz w:val="22"/>
          <w:szCs w:val="22"/>
        </w:rPr>
        <w:t xml:space="preserve">{Layer Player, Solution Provider}, </w:t>
      </w:r>
      <w:r w:rsidRPr="00162090">
        <w:rPr>
          <w:sz w:val="22"/>
          <w:szCs w:val="22"/>
        </w:rPr>
        <w:t xml:space="preserve">6 firms </w:t>
      </w:r>
      <w:r w:rsidRPr="00162090">
        <w:rPr>
          <w:i/>
          <w:sz w:val="22"/>
          <w:szCs w:val="22"/>
        </w:rPr>
        <w:t xml:space="preserve">{Open Business Model, Solution Provider}, </w:t>
      </w:r>
      <w:r w:rsidRPr="00162090">
        <w:rPr>
          <w:sz w:val="22"/>
          <w:szCs w:val="22"/>
        </w:rPr>
        <w:t xml:space="preserve">10 firms </w:t>
      </w:r>
      <w:r w:rsidRPr="00162090">
        <w:rPr>
          <w:i/>
          <w:sz w:val="22"/>
          <w:szCs w:val="22"/>
        </w:rPr>
        <w:t>{Layer Player, Open Business Model}.</w:t>
      </w:r>
    </w:p>
  </w:footnote>
  <w:footnote w:id="6">
    <w:p w14:paraId="3622AC74" w14:textId="77777777" w:rsidR="00C54569" w:rsidRPr="00162090" w:rsidRDefault="00C54569" w:rsidP="00151DC1">
      <w:pPr>
        <w:pStyle w:val="FootnoteText"/>
        <w:rPr>
          <w:sz w:val="22"/>
          <w:szCs w:val="22"/>
        </w:rPr>
      </w:pPr>
      <w:r w:rsidRPr="00162090">
        <w:rPr>
          <w:rStyle w:val="FootnoteReference"/>
          <w:sz w:val="22"/>
          <w:szCs w:val="22"/>
        </w:rPr>
        <w:footnoteRef/>
      </w:r>
      <w:r>
        <w:rPr>
          <w:sz w:val="22"/>
          <w:szCs w:val="22"/>
        </w:rPr>
        <w:t xml:space="preserve"> </w:t>
      </w:r>
      <w:r w:rsidRPr="00162090">
        <w:rPr>
          <w:sz w:val="22"/>
          <w:szCs w:val="22"/>
        </w:rPr>
        <w:t>From the nature of the three identified configurations follows that multi-configuration memberships implies memberships in all three configurations.</w:t>
      </w:r>
    </w:p>
  </w:footnote>
  <w:footnote w:id="7">
    <w:p w14:paraId="6B3EB4FB" w14:textId="77777777" w:rsidR="00C54569" w:rsidRPr="00162090" w:rsidRDefault="00C54569" w:rsidP="00151DC1">
      <w:pPr>
        <w:pStyle w:val="FootnoteText"/>
        <w:rPr>
          <w:sz w:val="22"/>
          <w:szCs w:val="22"/>
        </w:rPr>
      </w:pPr>
      <w:r w:rsidRPr="00162090">
        <w:rPr>
          <w:rStyle w:val="FootnoteReference"/>
          <w:sz w:val="22"/>
          <w:szCs w:val="22"/>
        </w:rPr>
        <w:footnoteRef/>
      </w:r>
      <w:r w:rsidRPr="00162090">
        <w:rPr>
          <w:sz w:val="22"/>
          <w:szCs w:val="22"/>
        </w:rPr>
        <w:t xml:space="preserve"> The threshold of 3% is arbitrarily chosen, but seeks to reflect that configurations are considered as such only if they can be observed frequently.</w:t>
      </w:r>
    </w:p>
  </w:footnote>
  <w:footnote w:id="8">
    <w:p w14:paraId="5FB1EF07" w14:textId="77777777" w:rsidR="00C54569" w:rsidRPr="00162090" w:rsidRDefault="00C54569" w:rsidP="00151DC1">
      <w:pPr>
        <w:spacing w:line="240" w:lineRule="auto"/>
        <w:rPr>
          <w:strike/>
          <w:sz w:val="22"/>
          <w:szCs w:val="22"/>
        </w:rPr>
      </w:pPr>
      <w:r w:rsidRPr="00162090">
        <w:rPr>
          <w:rStyle w:val="FootnoteReference"/>
          <w:sz w:val="22"/>
          <w:szCs w:val="22"/>
        </w:rPr>
        <w:footnoteRef/>
      </w:r>
      <w:r w:rsidRPr="00162090">
        <w:rPr>
          <w:sz w:val="22"/>
          <w:szCs w:val="22"/>
        </w:rPr>
        <w:t xml:space="preserve"> The example of </w:t>
      </w:r>
      <w:r w:rsidRPr="00162090">
        <w:rPr>
          <w:i/>
          <w:sz w:val="22"/>
          <w:szCs w:val="22"/>
        </w:rPr>
        <w:t xml:space="preserve">Kespry </w:t>
      </w:r>
      <w:r w:rsidRPr="00162090">
        <w:rPr>
          <w:sz w:val="22"/>
          <w:szCs w:val="22"/>
        </w:rPr>
        <w:t xml:space="preserve">highlights a circumstance, which was frequently found for drone-tech companies: the pattern </w:t>
      </w:r>
      <w:r w:rsidRPr="00162090">
        <w:rPr>
          <w:i/>
          <w:sz w:val="22"/>
          <w:szCs w:val="22"/>
        </w:rPr>
        <w:t xml:space="preserve">Sensor as a Service </w:t>
      </w:r>
      <w:r w:rsidRPr="00162090">
        <w:rPr>
          <w:sz w:val="22"/>
          <w:szCs w:val="22"/>
        </w:rPr>
        <w:t xml:space="preserve">functions served as an enabler to build a successful business model around the </w:t>
      </w:r>
      <w:r w:rsidRPr="00162090">
        <w:rPr>
          <w:i/>
          <w:sz w:val="22"/>
          <w:szCs w:val="22"/>
        </w:rPr>
        <w:t xml:space="preserve">Leverage Customer Data </w:t>
      </w:r>
      <w:r w:rsidRPr="00162090">
        <w:rPr>
          <w:sz w:val="22"/>
          <w:szCs w:val="22"/>
        </w:rPr>
        <w:t>pattern.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81116" w14:textId="77777777" w:rsidR="00C54569" w:rsidRPr="00680C70" w:rsidRDefault="00C54569" w:rsidP="00C54569">
    <w:pPr>
      <w:pStyle w:val="Header"/>
      <w:tabs>
        <w:tab w:val="left" w:pos="6705"/>
      </w:tabs>
      <w:jc w:val="left"/>
      <w:rPr>
        <w:i/>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6EECF" w14:textId="77777777" w:rsidR="00C54569" w:rsidRPr="00151DC1" w:rsidRDefault="00C54569" w:rsidP="00C54569">
    <w:pPr>
      <w:pStyle w:val="Head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3C413" w14:textId="77777777" w:rsidR="00C54569" w:rsidRPr="00680C70" w:rsidRDefault="00C54569" w:rsidP="00C54569">
    <w:pPr>
      <w:pStyle w:val="Header"/>
      <w:tabs>
        <w:tab w:val="left" w:pos="6705"/>
      </w:tabs>
      <w:jc w:val="left"/>
      <w:rPr>
        <w:i/>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98BDA" w14:textId="77777777" w:rsidR="00C54569" w:rsidRPr="00151DC1" w:rsidRDefault="00C54569" w:rsidP="00C54569">
    <w:pPr>
      <w:pStyle w:val="Header"/>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E9ACE" w14:textId="77777777" w:rsidR="00C54569" w:rsidRPr="00680C70" w:rsidRDefault="00C54569" w:rsidP="00C54569">
    <w:pPr>
      <w:pStyle w:val="Header"/>
      <w:tabs>
        <w:tab w:val="left" w:pos="6705"/>
      </w:tabs>
      <w:jc w:val="left"/>
      <w:rPr>
        <w:i/>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37AA57" w14:textId="77777777" w:rsidR="00C54569" w:rsidRPr="00680C70" w:rsidRDefault="00C54569" w:rsidP="00C54569">
    <w:pPr>
      <w:pStyle w:val="Header"/>
      <w:tabs>
        <w:tab w:val="left" w:pos="6705"/>
      </w:tabs>
      <w:jc w:val="left"/>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DE24F9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A803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C010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BE0226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71AD6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CE60E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9EA3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BE27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CA0F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6282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80633"/>
    <w:multiLevelType w:val="hybridMultilevel"/>
    <w:tmpl w:val="E68AE356"/>
    <w:lvl w:ilvl="0" w:tplc="4672DE7E">
      <w:start w:val="1"/>
      <w:numFmt w:val="bullet"/>
      <w:lvlText w:val="-"/>
      <w:lvlJc w:val="left"/>
      <w:pPr>
        <w:ind w:left="284" w:hanging="284"/>
      </w:pPr>
      <w:rPr>
        <w:rFonts w:ascii="Times" w:hAnsi="Times" w:cs="Times" w:hint="default"/>
        <w:kern w:val="0"/>
        <w:sz w:val="32"/>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476760"/>
    <w:multiLevelType w:val="hybridMultilevel"/>
    <w:tmpl w:val="48B0043C"/>
    <w:lvl w:ilvl="0" w:tplc="4672DE7E">
      <w:start w:val="1"/>
      <w:numFmt w:val="bullet"/>
      <w:lvlText w:val="-"/>
      <w:lvlJc w:val="left"/>
      <w:pPr>
        <w:ind w:left="644" w:hanging="284"/>
      </w:pPr>
      <w:rPr>
        <w:rFonts w:ascii="Times" w:hAnsi="Times" w:cs="Times" w:hint="default"/>
        <w:kern w:val="0"/>
        <w:sz w:val="32"/>
        <w:u w:val="no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BC6672D"/>
    <w:multiLevelType w:val="multilevel"/>
    <w:tmpl w:val="DC625228"/>
    <w:styleLink w:val="BulletedList"/>
    <w:lvl w:ilvl="0">
      <w:start w:val="1"/>
      <w:numFmt w:val="bullet"/>
      <w:lvlText w:val=""/>
      <w:lvlJc w:val="left"/>
      <w:pPr>
        <w:tabs>
          <w:tab w:val="num" w:pos="714"/>
        </w:tabs>
        <w:ind w:left="714" w:hanging="357"/>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97591E"/>
    <w:multiLevelType w:val="hybridMultilevel"/>
    <w:tmpl w:val="3C60AA02"/>
    <w:lvl w:ilvl="0" w:tplc="FD1CD5B6">
      <w:start w:val="1"/>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5B1644"/>
    <w:multiLevelType w:val="hybridMultilevel"/>
    <w:tmpl w:val="5DBE989E"/>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5" w15:restartNumberingAfterBreak="0">
    <w:nsid w:val="15627585"/>
    <w:multiLevelType w:val="hybridMultilevel"/>
    <w:tmpl w:val="929AA3F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16382280"/>
    <w:multiLevelType w:val="multilevel"/>
    <w:tmpl w:val="99A4D3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8" w15:restartNumberingAfterBreak="0">
    <w:nsid w:val="22FF4DFD"/>
    <w:multiLevelType w:val="multilevel"/>
    <w:tmpl w:val="38FA4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364A56"/>
    <w:multiLevelType w:val="hybridMultilevel"/>
    <w:tmpl w:val="A1084A3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6251EC1"/>
    <w:multiLevelType w:val="multilevel"/>
    <w:tmpl w:val="0809001F"/>
    <w:numStyleLink w:val="111111"/>
  </w:abstractNum>
  <w:abstractNum w:abstractNumId="21" w15:restartNumberingAfterBreak="0">
    <w:nsid w:val="2E9D05AC"/>
    <w:multiLevelType w:val="hybridMultilevel"/>
    <w:tmpl w:val="AA96E3C6"/>
    <w:lvl w:ilvl="0" w:tplc="02A6133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8A4FED"/>
    <w:multiLevelType w:val="hybridMultilevel"/>
    <w:tmpl w:val="F8E2AF34"/>
    <w:styleLink w:val="Style12import"/>
    <w:lvl w:ilvl="0" w:tplc="DC1234B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6D2425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A7827C8">
      <w:start w:val="1"/>
      <w:numFmt w:val="lowerRoman"/>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83025AF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048A6E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192D96A">
      <w:start w:val="1"/>
      <w:numFmt w:val="lowerRoman"/>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612C6A0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F16626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064D432">
      <w:start w:val="1"/>
      <w:numFmt w:val="lowerRoman"/>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8D32996"/>
    <w:multiLevelType w:val="multilevel"/>
    <w:tmpl w:val="37529D6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4" w15:restartNumberingAfterBreak="0">
    <w:nsid w:val="3FB302A0"/>
    <w:multiLevelType w:val="hybridMultilevel"/>
    <w:tmpl w:val="0C9E4DC8"/>
    <w:lvl w:ilvl="0" w:tplc="FB349CFC">
      <w:start w:val="14"/>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5441E2"/>
    <w:multiLevelType w:val="hybridMultilevel"/>
    <w:tmpl w:val="881AAEA0"/>
    <w:lvl w:ilvl="0" w:tplc="0809000F">
      <w:start w:val="1"/>
      <w:numFmt w:val="decimal"/>
      <w:lvlText w:val="%1."/>
      <w:lvlJc w:val="left"/>
      <w:pPr>
        <w:ind w:left="1584" w:hanging="360"/>
      </w:pPr>
    </w:lvl>
    <w:lvl w:ilvl="1" w:tplc="08090019" w:tentative="1">
      <w:start w:val="1"/>
      <w:numFmt w:val="lowerLetter"/>
      <w:lvlText w:val="%2."/>
      <w:lvlJc w:val="left"/>
      <w:pPr>
        <w:ind w:left="2304" w:hanging="360"/>
      </w:pPr>
    </w:lvl>
    <w:lvl w:ilvl="2" w:tplc="0809001B" w:tentative="1">
      <w:start w:val="1"/>
      <w:numFmt w:val="lowerRoman"/>
      <w:lvlText w:val="%3."/>
      <w:lvlJc w:val="right"/>
      <w:pPr>
        <w:ind w:left="3024" w:hanging="180"/>
      </w:pPr>
    </w:lvl>
    <w:lvl w:ilvl="3" w:tplc="0809000F" w:tentative="1">
      <w:start w:val="1"/>
      <w:numFmt w:val="decimal"/>
      <w:lvlText w:val="%4."/>
      <w:lvlJc w:val="left"/>
      <w:pPr>
        <w:ind w:left="3744" w:hanging="360"/>
      </w:pPr>
    </w:lvl>
    <w:lvl w:ilvl="4" w:tplc="08090019" w:tentative="1">
      <w:start w:val="1"/>
      <w:numFmt w:val="lowerLetter"/>
      <w:lvlText w:val="%5."/>
      <w:lvlJc w:val="left"/>
      <w:pPr>
        <w:ind w:left="4464" w:hanging="360"/>
      </w:pPr>
    </w:lvl>
    <w:lvl w:ilvl="5" w:tplc="0809001B" w:tentative="1">
      <w:start w:val="1"/>
      <w:numFmt w:val="lowerRoman"/>
      <w:lvlText w:val="%6."/>
      <w:lvlJc w:val="right"/>
      <w:pPr>
        <w:ind w:left="5184" w:hanging="180"/>
      </w:pPr>
    </w:lvl>
    <w:lvl w:ilvl="6" w:tplc="0809000F" w:tentative="1">
      <w:start w:val="1"/>
      <w:numFmt w:val="decimal"/>
      <w:lvlText w:val="%7."/>
      <w:lvlJc w:val="left"/>
      <w:pPr>
        <w:ind w:left="5904" w:hanging="360"/>
      </w:pPr>
    </w:lvl>
    <w:lvl w:ilvl="7" w:tplc="08090019" w:tentative="1">
      <w:start w:val="1"/>
      <w:numFmt w:val="lowerLetter"/>
      <w:lvlText w:val="%8."/>
      <w:lvlJc w:val="left"/>
      <w:pPr>
        <w:ind w:left="6624" w:hanging="360"/>
      </w:pPr>
    </w:lvl>
    <w:lvl w:ilvl="8" w:tplc="0809001B" w:tentative="1">
      <w:start w:val="1"/>
      <w:numFmt w:val="lowerRoman"/>
      <w:lvlText w:val="%9."/>
      <w:lvlJc w:val="right"/>
      <w:pPr>
        <w:ind w:left="7344" w:hanging="180"/>
      </w:pPr>
    </w:lvl>
  </w:abstractNum>
  <w:abstractNum w:abstractNumId="26" w15:restartNumberingAfterBreak="0">
    <w:nsid w:val="43B704F3"/>
    <w:multiLevelType w:val="hybridMultilevel"/>
    <w:tmpl w:val="A6047C2C"/>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46517C0"/>
    <w:multiLevelType w:val="hybridMultilevel"/>
    <w:tmpl w:val="4B9E3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571451D"/>
    <w:multiLevelType w:val="hybridMultilevel"/>
    <w:tmpl w:val="84B47626"/>
    <w:lvl w:ilvl="0" w:tplc="48B6E81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7156B6"/>
    <w:multiLevelType w:val="multilevel"/>
    <w:tmpl w:val="0809001F"/>
    <w:styleLink w:val="111111"/>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F92669D"/>
    <w:multiLevelType w:val="hybridMultilevel"/>
    <w:tmpl w:val="D23AA436"/>
    <w:lvl w:ilvl="0" w:tplc="B39E4AAE">
      <w:start w:val="1"/>
      <w:numFmt w:val="bullet"/>
      <w:lvlText w:val="-"/>
      <w:lvlJc w:val="left"/>
      <w:pPr>
        <w:ind w:left="360" w:hanging="360"/>
      </w:pPr>
      <w:rPr>
        <w:rFonts w:ascii="Times" w:eastAsia="Times New Roman" w:hAnsi="Times" w:cs="Times" w:hint="default"/>
        <w:sz w:val="3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8126E72"/>
    <w:multiLevelType w:val="hybridMultilevel"/>
    <w:tmpl w:val="C7F2214E"/>
    <w:lvl w:ilvl="0" w:tplc="08090011">
      <w:start w:val="1"/>
      <w:numFmt w:val="decimal"/>
      <w:lvlText w:val="%1)"/>
      <w:lvlJc w:val="left"/>
      <w:pPr>
        <w:ind w:left="720" w:hanging="360"/>
      </w:pPr>
      <w:rPr>
        <w:rFonts w:hint="default"/>
        <w:color w:val="222222"/>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3D143F"/>
    <w:multiLevelType w:val="hybridMultilevel"/>
    <w:tmpl w:val="7F8CC4E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04A3D5B"/>
    <w:multiLevelType w:val="hybridMultilevel"/>
    <w:tmpl w:val="1A081DA2"/>
    <w:lvl w:ilvl="0" w:tplc="08090011">
      <w:start w:val="1"/>
      <w:numFmt w:val="decimal"/>
      <w:lvlText w:val="%1)"/>
      <w:lvlJc w:val="left"/>
      <w:pPr>
        <w:ind w:left="36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4" w15:restartNumberingAfterBreak="0">
    <w:nsid w:val="62E244A3"/>
    <w:multiLevelType w:val="hybridMultilevel"/>
    <w:tmpl w:val="C7F2214E"/>
    <w:lvl w:ilvl="0" w:tplc="08090011">
      <w:start w:val="1"/>
      <w:numFmt w:val="decimal"/>
      <w:lvlText w:val="%1)"/>
      <w:lvlJc w:val="left"/>
      <w:pPr>
        <w:ind w:left="720" w:hanging="360"/>
      </w:pPr>
      <w:rPr>
        <w:rFonts w:hint="default"/>
        <w:color w:val="222222"/>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E25743"/>
    <w:multiLevelType w:val="hybridMultilevel"/>
    <w:tmpl w:val="53C880BA"/>
    <w:lvl w:ilvl="0" w:tplc="573AA9FA">
      <w:numFmt w:val="bullet"/>
      <w:lvlText w:val="-"/>
      <w:lvlJc w:val="left"/>
      <w:pPr>
        <w:ind w:left="360" w:hanging="360"/>
      </w:pPr>
      <w:rPr>
        <w:rFonts w:ascii="Times New Roman" w:eastAsia="Times New Roman" w:hAnsi="Times New Roman" w:cs="Times New Roman"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7E34110"/>
    <w:multiLevelType w:val="hybridMultilevel"/>
    <w:tmpl w:val="52587388"/>
    <w:lvl w:ilvl="0" w:tplc="CDF6088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C55613"/>
    <w:multiLevelType w:val="hybridMultilevel"/>
    <w:tmpl w:val="C0D42D26"/>
    <w:styleLink w:val="Style3import"/>
    <w:lvl w:ilvl="0" w:tplc="922C141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63070DA">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D3E6D2DE">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45E464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700E694">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81A095C">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81E90D0">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3D66744">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A6EE9C8">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6DD31987"/>
    <w:multiLevelType w:val="hybridMultilevel"/>
    <w:tmpl w:val="24C26BDE"/>
    <w:lvl w:ilvl="0" w:tplc="6C60FF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0966CAD"/>
    <w:multiLevelType w:val="hybridMultilevel"/>
    <w:tmpl w:val="49C680B4"/>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40" w15:restartNumberingAfterBreak="0">
    <w:nsid w:val="727A004F"/>
    <w:multiLevelType w:val="hybridMultilevel"/>
    <w:tmpl w:val="0AF4ABA2"/>
    <w:styleLink w:val="Style8import"/>
    <w:lvl w:ilvl="0" w:tplc="DBC21B9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CA8EB2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76A39DA">
      <w:start w:val="1"/>
      <w:numFmt w:val="lowerRoman"/>
      <w:lvlText w:val="%3."/>
      <w:lvlJc w:val="left"/>
      <w:pPr>
        <w:ind w:left="2160" w:hanging="285"/>
      </w:pPr>
      <w:rPr>
        <w:rFonts w:hAnsi="Arial Unicode MS"/>
        <w:caps w:val="0"/>
        <w:smallCaps w:val="0"/>
        <w:strike w:val="0"/>
        <w:dstrike w:val="0"/>
        <w:outline w:val="0"/>
        <w:emboss w:val="0"/>
        <w:imprint w:val="0"/>
        <w:spacing w:val="0"/>
        <w:w w:val="100"/>
        <w:kern w:val="0"/>
        <w:position w:val="0"/>
        <w:highlight w:val="none"/>
        <w:vertAlign w:val="baseline"/>
      </w:rPr>
    </w:lvl>
    <w:lvl w:ilvl="3" w:tplc="C83A0CE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562632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3CE7C48">
      <w:start w:val="1"/>
      <w:numFmt w:val="lowerRoman"/>
      <w:lvlText w:val="%6."/>
      <w:lvlJc w:val="left"/>
      <w:pPr>
        <w:ind w:left="4320" w:hanging="285"/>
      </w:pPr>
      <w:rPr>
        <w:rFonts w:hAnsi="Arial Unicode MS"/>
        <w:caps w:val="0"/>
        <w:smallCaps w:val="0"/>
        <w:strike w:val="0"/>
        <w:dstrike w:val="0"/>
        <w:outline w:val="0"/>
        <w:emboss w:val="0"/>
        <w:imprint w:val="0"/>
        <w:spacing w:val="0"/>
        <w:w w:val="100"/>
        <w:kern w:val="0"/>
        <w:position w:val="0"/>
        <w:highlight w:val="none"/>
        <w:vertAlign w:val="baseline"/>
      </w:rPr>
    </w:lvl>
    <w:lvl w:ilvl="6" w:tplc="53D44EA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A9C6C6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7C6D690">
      <w:start w:val="1"/>
      <w:numFmt w:val="lowerRoman"/>
      <w:lvlText w:val="%9."/>
      <w:lvlJc w:val="left"/>
      <w:pPr>
        <w:ind w:left="6480" w:hanging="2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7738779A"/>
    <w:multiLevelType w:val="multilevel"/>
    <w:tmpl w:val="77EC1FB2"/>
    <w:styleLink w:val="headings"/>
    <w:lvl w:ilvl="0">
      <w:start w:val="1"/>
      <w:numFmt w:val="decimal"/>
      <w:pStyle w:val="heading10"/>
      <w:lvlText w:val="%1"/>
      <w:lvlJc w:val="left"/>
      <w:pPr>
        <w:tabs>
          <w:tab w:val="num" w:pos="567"/>
        </w:tabs>
        <w:ind w:left="567" w:hanging="567"/>
      </w:pPr>
      <w:rPr>
        <w:rFonts w:hint="default"/>
      </w:rPr>
    </w:lvl>
    <w:lvl w:ilvl="1">
      <w:start w:val="1"/>
      <w:numFmt w:val="decimal"/>
      <w:pStyle w:val="heading20"/>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77F95F32"/>
    <w:multiLevelType w:val="hybridMultilevel"/>
    <w:tmpl w:val="3C4A67BC"/>
    <w:lvl w:ilvl="0" w:tplc="08070015">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3" w15:restartNumberingAfterBreak="0">
    <w:nsid w:val="7A5861C2"/>
    <w:multiLevelType w:val="hybridMultilevel"/>
    <w:tmpl w:val="C7F2214E"/>
    <w:lvl w:ilvl="0" w:tplc="08090011">
      <w:start w:val="1"/>
      <w:numFmt w:val="decimal"/>
      <w:lvlText w:val="%1)"/>
      <w:lvlJc w:val="left"/>
      <w:pPr>
        <w:ind w:left="720" w:hanging="360"/>
      </w:pPr>
      <w:rPr>
        <w:rFonts w:hint="default"/>
        <w:color w:val="222222"/>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C13178"/>
    <w:multiLevelType w:val="hybridMultilevel"/>
    <w:tmpl w:val="595A4B56"/>
    <w:lvl w:ilvl="0" w:tplc="3D042972">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20"/>
    <w:lvlOverride w:ilvl="0">
      <w:lvl w:ilvl="0">
        <w:start w:val="1"/>
        <w:numFmt w:val="decimal"/>
        <w:pStyle w:val="Heading1"/>
        <w:lvlText w:val="%1."/>
        <w:lvlJc w:val="left"/>
        <w:pPr>
          <w:ind w:left="360" w:hanging="360"/>
        </w:pPr>
      </w:lvl>
    </w:lvlOverride>
    <w:lvlOverride w:ilvl="1">
      <w:lvl w:ilvl="1">
        <w:start w:val="1"/>
        <w:numFmt w:val="decimal"/>
        <w:pStyle w:val="Heading2"/>
        <w:lvlText w:val="%1.%2."/>
        <w:lvlJc w:val="left"/>
        <w:pPr>
          <w:ind w:left="792" w:hanging="432"/>
        </w:pPr>
        <w:rPr>
          <w:sz w:val="26"/>
          <w:szCs w:val="26"/>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
    <w:abstractNumId w:val="31"/>
  </w:num>
  <w:num w:numId="4">
    <w:abstractNumId w:val="16"/>
  </w:num>
  <w:num w:numId="5">
    <w:abstractNumId w:val="16"/>
    <w:lvlOverride w:ilvl="1">
      <w:lvl w:ilvl="1">
        <w:numFmt w:val="bullet"/>
        <w:lvlText w:val=""/>
        <w:lvlJc w:val="left"/>
        <w:pPr>
          <w:tabs>
            <w:tab w:val="num" w:pos="1440"/>
          </w:tabs>
          <w:ind w:left="1440" w:hanging="360"/>
        </w:pPr>
        <w:rPr>
          <w:rFonts w:ascii="Symbol" w:hAnsi="Symbol" w:hint="default"/>
          <w:sz w:val="20"/>
        </w:rPr>
      </w:lvl>
    </w:lvlOverride>
  </w:num>
  <w:num w:numId="6">
    <w:abstractNumId w:val="16"/>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7">
    <w:abstractNumId w:val="18"/>
  </w:num>
  <w:num w:numId="8">
    <w:abstractNumId w:val="18"/>
    <w:lvlOverride w:ilvl="1">
      <w:lvl w:ilvl="1">
        <w:numFmt w:val="bullet"/>
        <w:lvlText w:val=""/>
        <w:lvlJc w:val="left"/>
        <w:pPr>
          <w:tabs>
            <w:tab w:val="num" w:pos="1440"/>
          </w:tabs>
          <w:ind w:left="1440" w:hanging="360"/>
        </w:pPr>
        <w:rPr>
          <w:rFonts w:ascii="Symbol" w:hAnsi="Symbol" w:hint="default"/>
          <w:sz w:val="20"/>
        </w:rPr>
      </w:lvl>
    </w:lvlOverride>
  </w:num>
  <w:num w:numId="9">
    <w:abstractNumId w:val="18"/>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10">
    <w:abstractNumId w:val="43"/>
  </w:num>
  <w:num w:numId="11">
    <w:abstractNumId w:val="24"/>
  </w:num>
  <w:num w:numId="12">
    <w:abstractNumId w:val="34"/>
  </w:num>
  <w:num w:numId="13">
    <w:abstractNumId w:val="32"/>
  </w:num>
  <w:num w:numId="14">
    <w:abstractNumId w:val="15"/>
  </w:num>
  <w:num w:numId="15">
    <w:abstractNumId w:val="13"/>
  </w:num>
  <w:num w:numId="16">
    <w:abstractNumId w:val="44"/>
  </w:num>
  <w:num w:numId="17">
    <w:abstractNumId w:val="28"/>
  </w:num>
  <w:num w:numId="18">
    <w:abstractNumId w:val="36"/>
  </w:num>
  <w:num w:numId="19">
    <w:abstractNumId w:val="21"/>
  </w:num>
  <w:num w:numId="20">
    <w:abstractNumId w:val="12"/>
  </w:num>
  <w:num w:numId="21">
    <w:abstractNumId w:val="23"/>
  </w:num>
  <w:num w:numId="22">
    <w:abstractNumId w:val="0"/>
  </w:num>
  <w:num w:numId="23">
    <w:abstractNumId w:val="1"/>
  </w:num>
  <w:num w:numId="24">
    <w:abstractNumId w:val="2"/>
  </w:num>
  <w:num w:numId="25">
    <w:abstractNumId w:val="3"/>
  </w:num>
  <w:num w:numId="26">
    <w:abstractNumId w:val="4"/>
  </w:num>
  <w:num w:numId="27">
    <w:abstractNumId w:val="5"/>
  </w:num>
  <w:num w:numId="28">
    <w:abstractNumId w:val="6"/>
  </w:num>
  <w:num w:numId="29">
    <w:abstractNumId w:val="7"/>
  </w:num>
  <w:num w:numId="30">
    <w:abstractNumId w:val="8"/>
  </w:num>
  <w:num w:numId="31">
    <w:abstractNumId w:val="9"/>
  </w:num>
  <w:num w:numId="32">
    <w:abstractNumId w:val="38"/>
  </w:num>
  <w:num w:numId="33">
    <w:abstractNumId w:val="35"/>
  </w:num>
  <w:num w:numId="34">
    <w:abstractNumId w:val="19"/>
  </w:num>
  <w:num w:numId="35">
    <w:abstractNumId w:val="39"/>
  </w:num>
  <w:num w:numId="36">
    <w:abstractNumId w:val="14"/>
  </w:num>
  <w:num w:numId="37">
    <w:abstractNumId w:val="41"/>
  </w:num>
  <w:num w:numId="38">
    <w:abstractNumId w:val="42"/>
  </w:num>
  <w:num w:numId="39">
    <w:abstractNumId w:val="17"/>
  </w:num>
  <w:num w:numId="40">
    <w:abstractNumId w:val="26"/>
  </w:num>
  <w:num w:numId="41">
    <w:abstractNumId w:val="25"/>
  </w:num>
  <w:num w:numId="42">
    <w:abstractNumId w:val="30"/>
  </w:num>
  <w:num w:numId="43">
    <w:abstractNumId w:val="27"/>
  </w:num>
  <w:num w:numId="44">
    <w:abstractNumId w:val="10"/>
  </w:num>
  <w:num w:numId="45">
    <w:abstractNumId w:val="11"/>
  </w:num>
  <w:num w:numId="46">
    <w:abstractNumId w:val="40"/>
  </w:num>
  <w:num w:numId="47">
    <w:abstractNumId w:val="22"/>
  </w:num>
  <w:num w:numId="48">
    <w:abstractNumId w:val="37"/>
  </w:num>
  <w:num w:numId="49">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attachedTemplate r:id="rId1"/>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155"/>
    <w:rsid w:val="000014A3"/>
    <w:rsid w:val="0000321D"/>
    <w:rsid w:val="000042A7"/>
    <w:rsid w:val="0000436F"/>
    <w:rsid w:val="0000693B"/>
    <w:rsid w:val="000071E6"/>
    <w:rsid w:val="0000786A"/>
    <w:rsid w:val="0001040A"/>
    <w:rsid w:val="00012DB3"/>
    <w:rsid w:val="000136D4"/>
    <w:rsid w:val="000138A6"/>
    <w:rsid w:val="00015E3F"/>
    <w:rsid w:val="000174FE"/>
    <w:rsid w:val="000214D5"/>
    <w:rsid w:val="0002286F"/>
    <w:rsid w:val="0002423B"/>
    <w:rsid w:val="000246F8"/>
    <w:rsid w:val="000250C4"/>
    <w:rsid w:val="00026214"/>
    <w:rsid w:val="000279E3"/>
    <w:rsid w:val="000303BC"/>
    <w:rsid w:val="0003225E"/>
    <w:rsid w:val="000333FC"/>
    <w:rsid w:val="000357D0"/>
    <w:rsid w:val="00037F1F"/>
    <w:rsid w:val="000403E4"/>
    <w:rsid w:val="00040568"/>
    <w:rsid w:val="000426C9"/>
    <w:rsid w:val="00044A71"/>
    <w:rsid w:val="00045661"/>
    <w:rsid w:val="00046EE4"/>
    <w:rsid w:val="000501BD"/>
    <w:rsid w:val="00050E79"/>
    <w:rsid w:val="00051BA9"/>
    <w:rsid w:val="00054379"/>
    <w:rsid w:val="000549B1"/>
    <w:rsid w:val="00055BDE"/>
    <w:rsid w:val="0005701C"/>
    <w:rsid w:val="00060CAD"/>
    <w:rsid w:val="00061083"/>
    <w:rsid w:val="000616E0"/>
    <w:rsid w:val="00061830"/>
    <w:rsid w:val="00062A52"/>
    <w:rsid w:val="00063903"/>
    <w:rsid w:val="0006700E"/>
    <w:rsid w:val="00071C33"/>
    <w:rsid w:val="00072B23"/>
    <w:rsid w:val="000735EC"/>
    <w:rsid w:val="00073E98"/>
    <w:rsid w:val="00074D84"/>
    <w:rsid w:val="00081F90"/>
    <w:rsid w:val="000903D1"/>
    <w:rsid w:val="00090ACF"/>
    <w:rsid w:val="000925A3"/>
    <w:rsid w:val="00092FC6"/>
    <w:rsid w:val="00094270"/>
    <w:rsid w:val="0009428C"/>
    <w:rsid w:val="00096129"/>
    <w:rsid w:val="00096466"/>
    <w:rsid w:val="00097B24"/>
    <w:rsid w:val="000A17C3"/>
    <w:rsid w:val="000A1838"/>
    <w:rsid w:val="000A1FC3"/>
    <w:rsid w:val="000A2884"/>
    <w:rsid w:val="000A5E2F"/>
    <w:rsid w:val="000A6CF1"/>
    <w:rsid w:val="000A771D"/>
    <w:rsid w:val="000B1806"/>
    <w:rsid w:val="000B2112"/>
    <w:rsid w:val="000B2313"/>
    <w:rsid w:val="000B3012"/>
    <w:rsid w:val="000B34D7"/>
    <w:rsid w:val="000B4BDD"/>
    <w:rsid w:val="000B5458"/>
    <w:rsid w:val="000B59E4"/>
    <w:rsid w:val="000B62A6"/>
    <w:rsid w:val="000B6B12"/>
    <w:rsid w:val="000B79AB"/>
    <w:rsid w:val="000C1C61"/>
    <w:rsid w:val="000C3CCB"/>
    <w:rsid w:val="000C5781"/>
    <w:rsid w:val="000C7084"/>
    <w:rsid w:val="000D11B5"/>
    <w:rsid w:val="000D3485"/>
    <w:rsid w:val="000D34DD"/>
    <w:rsid w:val="000D42B4"/>
    <w:rsid w:val="000D42D7"/>
    <w:rsid w:val="000D4862"/>
    <w:rsid w:val="000D7C16"/>
    <w:rsid w:val="000E2B85"/>
    <w:rsid w:val="000E3AFF"/>
    <w:rsid w:val="000E7CCF"/>
    <w:rsid w:val="000F3EDD"/>
    <w:rsid w:val="000F649B"/>
    <w:rsid w:val="000F666F"/>
    <w:rsid w:val="000F6C7E"/>
    <w:rsid w:val="000F6FD1"/>
    <w:rsid w:val="00103694"/>
    <w:rsid w:val="001067C0"/>
    <w:rsid w:val="00110BE1"/>
    <w:rsid w:val="00110E25"/>
    <w:rsid w:val="001123ED"/>
    <w:rsid w:val="00114470"/>
    <w:rsid w:val="00114FD0"/>
    <w:rsid w:val="00115AB1"/>
    <w:rsid w:val="0011675B"/>
    <w:rsid w:val="00121902"/>
    <w:rsid w:val="00122972"/>
    <w:rsid w:val="00123CF2"/>
    <w:rsid w:val="00124E50"/>
    <w:rsid w:val="001300B1"/>
    <w:rsid w:val="00130BB9"/>
    <w:rsid w:val="001327D1"/>
    <w:rsid w:val="00133366"/>
    <w:rsid w:val="00134079"/>
    <w:rsid w:val="00136570"/>
    <w:rsid w:val="00140E2A"/>
    <w:rsid w:val="001461BC"/>
    <w:rsid w:val="00150A64"/>
    <w:rsid w:val="0015106A"/>
    <w:rsid w:val="00151DC1"/>
    <w:rsid w:val="0015497D"/>
    <w:rsid w:val="00155CE5"/>
    <w:rsid w:val="001568FD"/>
    <w:rsid w:val="00156CFB"/>
    <w:rsid w:val="0015711A"/>
    <w:rsid w:val="00157D58"/>
    <w:rsid w:val="00157F2C"/>
    <w:rsid w:val="00161CB5"/>
    <w:rsid w:val="00161F23"/>
    <w:rsid w:val="0016253C"/>
    <w:rsid w:val="00162ABA"/>
    <w:rsid w:val="00163AC6"/>
    <w:rsid w:val="00164561"/>
    <w:rsid w:val="00164A2B"/>
    <w:rsid w:val="00165248"/>
    <w:rsid w:val="00176887"/>
    <w:rsid w:val="00177B6A"/>
    <w:rsid w:val="00177BBB"/>
    <w:rsid w:val="00180C94"/>
    <w:rsid w:val="00182B01"/>
    <w:rsid w:val="00184D4A"/>
    <w:rsid w:val="001858C3"/>
    <w:rsid w:val="00192FEC"/>
    <w:rsid w:val="00193F9D"/>
    <w:rsid w:val="00194A63"/>
    <w:rsid w:val="0019521A"/>
    <w:rsid w:val="0019579F"/>
    <w:rsid w:val="00196438"/>
    <w:rsid w:val="001A1A76"/>
    <w:rsid w:val="001A2162"/>
    <w:rsid w:val="001A40FF"/>
    <w:rsid w:val="001A5594"/>
    <w:rsid w:val="001A7411"/>
    <w:rsid w:val="001A78E0"/>
    <w:rsid w:val="001B2495"/>
    <w:rsid w:val="001B433F"/>
    <w:rsid w:val="001B47EB"/>
    <w:rsid w:val="001B5F3F"/>
    <w:rsid w:val="001B73EA"/>
    <w:rsid w:val="001C0686"/>
    <w:rsid w:val="001C0AD8"/>
    <w:rsid w:val="001C1F7B"/>
    <w:rsid w:val="001C283B"/>
    <w:rsid w:val="001C54E7"/>
    <w:rsid w:val="001C5F90"/>
    <w:rsid w:val="001C6E82"/>
    <w:rsid w:val="001D12EA"/>
    <w:rsid w:val="001D4514"/>
    <w:rsid w:val="001D6A4F"/>
    <w:rsid w:val="001E16A0"/>
    <w:rsid w:val="001E194E"/>
    <w:rsid w:val="001E1A3B"/>
    <w:rsid w:val="001E1BD9"/>
    <w:rsid w:val="001E22D9"/>
    <w:rsid w:val="001E58C5"/>
    <w:rsid w:val="001E6BB6"/>
    <w:rsid w:val="001E6C50"/>
    <w:rsid w:val="001F051A"/>
    <w:rsid w:val="001F1360"/>
    <w:rsid w:val="001F46C7"/>
    <w:rsid w:val="001F5B2E"/>
    <w:rsid w:val="001F5BEB"/>
    <w:rsid w:val="001F74BC"/>
    <w:rsid w:val="001F755A"/>
    <w:rsid w:val="00201752"/>
    <w:rsid w:val="00202AF7"/>
    <w:rsid w:val="002034F9"/>
    <w:rsid w:val="00204B17"/>
    <w:rsid w:val="00206C12"/>
    <w:rsid w:val="002071A9"/>
    <w:rsid w:val="0020795F"/>
    <w:rsid w:val="002103E8"/>
    <w:rsid w:val="002139C0"/>
    <w:rsid w:val="00214EE7"/>
    <w:rsid w:val="00215132"/>
    <w:rsid w:val="00217B27"/>
    <w:rsid w:val="00220A7F"/>
    <w:rsid w:val="002211B2"/>
    <w:rsid w:val="0022148C"/>
    <w:rsid w:val="00226173"/>
    <w:rsid w:val="00227F7A"/>
    <w:rsid w:val="0023022F"/>
    <w:rsid w:val="00232189"/>
    <w:rsid w:val="00233C87"/>
    <w:rsid w:val="00236393"/>
    <w:rsid w:val="00236D9A"/>
    <w:rsid w:val="00237494"/>
    <w:rsid w:val="00242C19"/>
    <w:rsid w:val="002440B2"/>
    <w:rsid w:val="00245877"/>
    <w:rsid w:val="00245DC7"/>
    <w:rsid w:val="00246871"/>
    <w:rsid w:val="002473B8"/>
    <w:rsid w:val="00247BE3"/>
    <w:rsid w:val="00247C0C"/>
    <w:rsid w:val="002522C7"/>
    <w:rsid w:val="00253567"/>
    <w:rsid w:val="002550F0"/>
    <w:rsid w:val="0025732B"/>
    <w:rsid w:val="00261093"/>
    <w:rsid w:val="00261D59"/>
    <w:rsid w:val="00263E70"/>
    <w:rsid w:val="00265B92"/>
    <w:rsid w:val="00266057"/>
    <w:rsid w:val="00266A52"/>
    <w:rsid w:val="002679FD"/>
    <w:rsid w:val="00270B6D"/>
    <w:rsid w:val="002721CB"/>
    <w:rsid w:val="00273548"/>
    <w:rsid w:val="002740F3"/>
    <w:rsid w:val="0027455E"/>
    <w:rsid w:val="00275395"/>
    <w:rsid w:val="00282502"/>
    <w:rsid w:val="00282F85"/>
    <w:rsid w:val="00283132"/>
    <w:rsid w:val="002840B3"/>
    <w:rsid w:val="00286969"/>
    <w:rsid w:val="0028740F"/>
    <w:rsid w:val="00287925"/>
    <w:rsid w:val="00290BFE"/>
    <w:rsid w:val="00290D83"/>
    <w:rsid w:val="002914A8"/>
    <w:rsid w:val="0029306A"/>
    <w:rsid w:val="00293858"/>
    <w:rsid w:val="00293DEC"/>
    <w:rsid w:val="002949CB"/>
    <w:rsid w:val="00295A0D"/>
    <w:rsid w:val="00297C32"/>
    <w:rsid w:val="002A2D49"/>
    <w:rsid w:val="002A2F77"/>
    <w:rsid w:val="002A4DF7"/>
    <w:rsid w:val="002A6D3A"/>
    <w:rsid w:val="002B1DD6"/>
    <w:rsid w:val="002B1FEE"/>
    <w:rsid w:val="002B30B7"/>
    <w:rsid w:val="002B4AD6"/>
    <w:rsid w:val="002C1F7F"/>
    <w:rsid w:val="002C2B85"/>
    <w:rsid w:val="002C43D0"/>
    <w:rsid w:val="002C6527"/>
    <w:rsid w:val="002C7284"/>
    <w:rsid w:val="002D334D"/>
    <w:rsid w:val="002D5209"/>
    <w:rsid w:val="002D547F"/>
    <w:rsid w:val="002D596C"/>
    <w:rsid w:val="002D5D3D"/>
    <w:rsid w:val="002D624D"/>
    <w:rsid w:val="002D6C06"/>
    <w:rsid w:val="002D7B3A"/>
    <w:rsid w:val="002E530A"/>
    <w:rsid w:val="002E6443"/>
    <w:rsid w:val="002F0606"/>
    <w:rsid w:val="002F0EE3"/>
    <w:rsid w:val="002F235C"/>
    <w:rsid w:val="002F2453"/>
    <w:rsid w:val="002F32B9"/>
    <w:rsid w:val="002F678A"/>
    <w:rsid w:val="00300417"/>
    <w:rsid w:val="0030080A"/>
    <w:rsid w:val="00301097"/>
    <w:rsid w:val="00301342"/>
    <w:rsid w:val="00303316"/>
    <w:rsid w:val="0030566A"/>
    <w:rsid w:val="00306AB1"/>
    <w:rsid w:val="003107F3"/>
    <w:rsid w:val="00310F45"/>
    <w:rsid w:val="00312181"/>
    <w:rsid w:val="00312E31"/>
    <w:rsid w:val="0031510A"/>
    <w:rsid w:val="003163F4"/>
    <w:rsid w:val="00316FAF"/>
    <w:rsid w:val="00317796"/>
    <w:rsid w:val="00320022"/>
    <w:rsid w:val="00320C93"/>
    <w:rsid w:val="00321814"/>
    <w:rsid w:val="00323E52"/>
    <w:rsid w:val="00326375"/>
    <w:rsid w:val="0032750E"/>
    <w:rsid w:val="00327B6F"/>
    <w:rsid w:val="00332E7B"/>
    <w:rsid w:val="00333AF3"/>
    <w:rsid w:val="003344B4"/>
    <w:rsid w:val="003373D4"/>
    <w:rsid w:val="003377E1"/>
    <w:rsid w:val="0034003F"/>
    <w:rsid w:val="003427DD"/>
    <w:rsid w:val="00344415"/>
    <w:rsid w:val="0034723B"/>
    <w:rsid w:val="0035054B"/>
    <w:rsid w:val="003513EB"/>
    <w:rsid w:val="00353DE7"/>
    <w:rsid w:val="0035577C"/>
    <w:rsid w:val="0035724D"/>
    <w:rsid w:val="00357918"/>
    <w:rsid w:val="0036121A"/>
    <w:rsid w:val="00365342"/>
    <w:rsid w:val="00366970"/>
    <w:rsid w:val="00370C3A"/>
    <w:rsid w:val="00372199"/>
    <w:rsid w:val="00372BD8"/>
    <w:rsid w:val="00373163"/>
    <w:rsid w:val="00373B43"/>
    <w:rsid w:val="003747DD"/>
    <w:rsid w:val="00374AAC"/>
    <w:rsid w:val="00374C0E"/>
    <w:rsid w:val="00375616"/>
    <w:rsid w:val="00377C21"/>
    <w:rsid w:val="00377DBD"/>
    <w:rsid w:val="003806A2"/>
    <w:rsid w:val="003809BB"/>
    <w:rsid w:val="00381459"/>
    <w:rsid w:val="003821DF"/>
    <w:rsid w:val="0038634C"/>
    <w:rsid w:val="00386F7B"/>
    <w:rsid w:val="00387153"/>
    <w:rsid w:val="00387389"/>
    <w:rsid w:val="00390C70"/>
    <w:rsid w:val="00393445"/>
    <w:rsid w:val="00393BD1"/>
    <w:rsid w:val="00394B74"/>
    <w:rsid w:val="00395CAB"/>
    <w:rsid w:val="00396171"/>
    <w:rsid w:val="0039636D"/>
    <w:rsid w:val="003A074C"/>
    <w:rsid w:val="003A4385"/>
    <w:rsid w:val="003A5F2A"/>
    <w:rsid w:val="003A633C"/>
    <w:rsid w:val="003A6912"/>
    <w:rsid w:val="003B130A"/>
    <w:rsid w:val="003B1BCB"/>
    <w:rsid w:val="003B2619"/>
    <w:rsid w:val="003B42BA"/>
    <w:rsid w:val="003B4AA6"/>
    <w:rsid w:val="003B532C"/>
    <w:rsid w:val="003B7FD7"/>
    <w:rsid w:val="003C1DC3"/>
    <w:rsid w:val="003C42AE"/>
    <w:rsid w:val="003C6662"/>
    <w:rsid w:val="003C773B"/>
    <w:rsid w:val="003D0A78"/>
    <w:rsid w:val="003D0CA5"/>
    <w:rsid w:val="003D1A76"/>
    <w:rsid w:val="003D2368"/>
    <w:rsid w:val="003D23F6"/>
    <w:rsid w:val="003D2E5A"/>
    <w:rsid w:val="003D43C0"/>
    <w:rsid w:val="003D617C"/>
    <w:rsid w:val="003D7076"/>
    <w:rsid w:val="003E0D83"/>
    <w:rsid w:val="003E2D2D"/>
    <w:rsid w:val="003E3384"/>
    <w:rsid w:val="003E3737"/>
    <w:rsid w:val="003E5C18"/>
    <w:rsid w:val="003E6D4D"/>
    <w:rsid w:val="003E7848"/>
    <w:rsid w:val="003F0152"/>
    <w:rsid w:val="003F19DD"/>
    <w:rsid w:val="003F394E"/>
    <w:rsid w:val="003F4E22"/>
    <w:rsid w:val="003F6788"/>
    <w:rsid w:val="003F69CA"/>
    <w:rsid w:val="00400A60"/>
    <w:rsid w:val="00402677"/>
    <w:rsid w:val="0040371C"/>
    <w:rsid w:val="0040474A"/>
    <w:rsid w:val="004061E7"/>
    <w:rsid w:val="004079B7"/>
    <w:rsid w:val="00407D6C"/>
    <w:rsid w:val="0041005C"/>
    <w:rsid w:val="004116A3"/>
    <w:rsid w:val="00411AE8"/>
    <w:rsid w:val="00411EBB"/>
    <w:rsid w:val="00413D21"/>
    <w:rsid w:val="004178CE"/>
    <w:rsid w:val="004222CC"/>
    <w:rsid w:val="00424379"/>
    <w:rsid w:val="004278EC"/>
    <w:rsid w:val="00431656"/>
    <w:rsid w:val="0043190A"/>
    <w:rsid w:val="00431973"/>
    <w:rsid w:val="004326EF"/>
    <w:rsid w:val="00436814"/>
    <w:rsid w:val="00440458"/>
    <w:rsid w:val="00442669"/>
    <w:rsid w:val="00442BBD"/>
    <w:rsid w:val="0044319F"/>
    <w:rsid w:val="00444EE1"/>
    <w:rsid w:val="00447BFB"/>
    <w:rsid w:val="00453042"/>
    <w:rsid w:val="0045429E"/>
    <w:rsid w:val="00454F82"/>
    <w:rsid w:val="0046306D"/>
    <w:rsid w:val="004678DF"/>
    <w:rsid w:val="004678FE"/>
    <w:rsid w:val="004704D7"/>
    <w:rsid w:val="00470C9E"/>
    <w:rsid w:val="00470CE3"/>
    <w:rsid w:val="004733E6"/>
    <w:rsid w:val="00473EAB"/>
    <w:rsid w:val="0047582D"/>
    <w:rsid w:val="0047690D"/>
    <w:rsid w:val="00477E71"/>
    <w:rsid w:val="00481E48"/>
    <w:rsid w:val="00485D76"/>
    <w:rsid w:val="004869D0"/>
    <w:rsid w:val="00486B46"/>
    <w:rsid w:val="00496603"/>
    <w:rsid w:val="00496957"/>
    <w:rsid w:val="00497E0B"/>
    <w:rsid w:val="004A023C"/>
    <w:rsid w:val="004A3435"/>
    <w:rsid w:val="004A6005"/>
    <w:rsid w:val="004B0BCA"/>
    <w:rsid w:val="004B4B41"/>
    <w:rsid w:val="004B4CAB"/>
    <w:rsid w:val="004B4E74"/>
    <w:rsid w:val="004B5256"/>
    <w:rsid w:val="004B5432"/>
    <w:rsid w:val="004C1326"/>
    <w:rsid w:val="004C3D75"/>
    <w:rsid w:val="004C5771"/>
    <w:rsid w:val="004C7A21"/>
    <w:rsid w:val="004D22AD"/>
    <w:rsid w:val="004D3A1F"/>
    <w:rsid w:val="004D435F"/>
    <w:rsid w:val="004E2821"/>
    <w:rsid w:val="004E5876"/>
    <w:rsid w:val="004E5AF5"/>
    <w:rsid w:val="004F1883"/>
    <w:rsid w:val="004F189C"/>
    <w:rsid w:val="004F3C79"/>
    <w:rsid w:val="004F3D25"/>
    <w:rsid w:val="004F4DA3"/>
    <w:rsid w:val="004F6A61"/>
    <w:rsid w:val="004F6D51"/>
    <w:rsid w:val="0050057E"/>
    <w:rsid w:val="00505DE5"/>
    <w:rsid w:val="005063E7"/>
    <w:rsid w:val="0051139C"/>
    <w:rsid w:val="00511634"/>
    <w:rsid w:val="00512419"/>
    <w:rsid w:val="00513095"/>
    <w:rsid w:val="00513251"/>
    <w:rsid w:val="0051390C"/>
    <w:rsid w:val="00514246"/>
    <w:rsid w:val="005164CB"/>
    <w:rsid w:val="00517095"/>
    <w:rsid w:val="00517A93"/>
    <w:rsid w:val="00520DB1"/>
    <w:rsid w:val="0052372F"/>
    <w:rsid w:val="00524206"/>
    <w:rsid w:val="005246DE"/>
    <w:rsid w:val="00524D71"/>
    <w:rsid w:val="005263FC"/>
    <w:rsid w:val="00530079"/>
    <w:rsid w:val="0053091F"/>
    <w:rsid w:val="0053264D"/>
    <w:rsid w:val="00533AB3"/>
    <w:rsid w:val="00533AC2"/>
    <w:rsid w:val="00537EBE"/>
    <w:rsid w:val="005403C4"/>
    <w:rsid w:val="005432BD"/>
    <w:rsid w:val="00543DAA"/>
    <w:rsid w:val="0054479F"/>
    <w:rsid w:val="00546122"/>
    <w:rsid w:val="0055097D"/>
    <w:rsid w:val="00554148"/>
    <w:rsid w:val="00556EE1"/>
    <w:rsid w:val="00557D8C"/>
    <w:rsid w:val="00560183"/>
    <w:rsid w:val="00560C9C"/>
    <w:rsid w:val="00563F29"/>
    <w:rsid w:val="00564B18"/>
    <w:rsid w:val="005662DF"/>
    <w:rsid w:val="005675C5"/>
    <w:rsid w:val="00567F80"/>
    <w:rsid w:val="00570F0F"/>
    <w:rsid w:val="005719B5"/>
    <w:rsid w:val="00573A53"/>
    <w:rsid w:val="00574ED6"/>
    <w:rsid w:val="00577C55"/>
    <w:rsid w:val="00580171"/>
    <w:rsid w:val="00580304"/>
    <w:rsid w:val="00580C46"/>
    <w:rsid w:val="0058127B"/>
    <w:rsid w:val="00581A52"/>
    <w:rsid w:val="00583DB0"/>
    <w:rsid w:val="0058663D"/>
    <w:rsid w:val="00587EA5"/>
    <w:rsid w:val="00590B6E"/>
    <w:rsid w:val="005917A0"/>
    <w:rsid w:val="005921E1"/>
    <w:rsid w:val="00594BA3"/>
    <w:rsid w:val="00596533"/>
    <w:rsid w:val="00596599"/>
    <w:rsid w:val="00597704"/>
    <w:rsid w:val="00597A90"/>
    <w:rsid w:val="00597CC7"/>
    <w:rsid w:val="005A2347"/>
    <w:rsid w:val="005A36FD"/>
    <w:rsid w:val="005A4F62"/>
    <w:rsid w:val="005A5D35"/>
    <w:rsid w:val="005A5FC5"/>
    <w:rsid w:val="005A71EB"/>
    <w:rsid w:val="005B03FF"/>
    <w:rsid w:val="005B12A7"/>
    <w:rsid w:val="005B2106"/>
    <w:rsid w:val="005B2C2B"/>
    <w:rsid w:val="005B3FAC"/>
    <w:rsid w:val="005B42EC"/>
    <w:rsid w:val="005C0315"/>
    <w:rsid w:val="005C2752"/>
    <w:rsid w:val="005C2C3E"/>
    <w:rsid w:val="005C52BB"/>
    <w:rsid w:val="005C6AD1"/>
    <w:rsid w:val="005C7FE2"/>
    <w:rsid w:val="005D03E0"/>
    <w:rsid w:val="005D1B71"/>
    <w:rsid w:val="005D41A5"/>
    <w:rsid w:val="005D46F6"/>
    <w:rsid w:val="005D5BEB"/>
    <w:rsid w:val="005D7274"/>
    <w:rsid w:val="005D7ABE"/>
    <w:rsid w:val="005E0271"/>
    <w:rsid w:val="005E231C"/>
    <w:rsid w:val="005E49B8"/>
    <w:rsid w:val="005E56C6"/>
    <w:rsid w:val="005E7136"/>
    <w:rsid w:val="005E7FE6"/>
    <w:rsid w:val="005F1A95"/>
    <w:rsid w:val="005F4547"/>
    <w:rsid w:val="006007EB"/>
    <w:rsid w:val="0060099B"/>
    <w:rsid w:val="0060325D"/>
    <w:rsid w:val="00603B8F"/>
    <w:rsid w:val="0060478A"/>
    <w:rsid w:val="0060684F"/>
    <w:rsid w:val="00607CB2"/>
    <w:rsid w:val="00610B15"/>
    <w:rsid w:val="00612026"/>
    <w:rsid w:val="006124A9"/>
    <w:rsid w:val="00614C41"/>
    <w:rsid w:val="006162FA"/>
    <w:rsid w:val="00616A4E"/>
    <w:rsid w:val="00620375"/>
    <w:rsid w:val="00620639"/>
    <w:rsid w:val="00620AAC"/>
    <w:rsid w:val="00621192"/>
    <w:rsid w:val="0062267C"/>
    <w:rsid w:val="00623AF6"/>
    <w:rsid w:val="00623E72"/>
    <w:rsid w:val="00624E29"/>
    <w:rsid w:val="006252FB"/>
    <w:rsid w:val="00625C90"/>
    <w:rsid w:val="00633E64"/>
    <w:rsid w:val="00633E86"/>
    <w:rsid w:val="006352E6"/>
    <w:rsid w:val="0063705E"/>
    <w:rsid w:val="00637ABA"/>
    <w:rsid w:val="00637CBD"/>
    <w:rsid w:val="00637E85"/>
    <w:rsid w:val="00640EF8"/>
    <w:rsid w:val="0064128B"/>
    <w:rsid w:val="00642BD1"/>
    <w:rsid w:val="00643E95"/>
    <w:rsid w:val="006460E3"/>
    <w:rsid w:val="00646120"/>
    <w:rsid w:val="00646E14"/>
    <w:rsid w:val="00651CAC"/>
    <w:rsid w:val="00653563"/>
    <w:rsid w:val="00653C08"/>
    <w:rsid w:val="0065579E"/>
    <w:rsid w:val="0065774B"/>
    <w:rsid w:val="00665D44"/>
    <w:rsid w:val="00675A47"/>
    <w:rsid w:val="00676EA5"/>
    <w:rsid w:val="006778BA"/>
    <w:rsid w:val="00677CE2"/>
    <w:rsid w:val="00682BE5"/>
    <w:rsid w:val="0068430E"/>
    <w:rsid w:val="006845FE"/>
    <w:rsid w:val="00686FF1"/>
    <w:rsid w:val="00687F49"/>
    <w:rsid w:val="00691861"/>
    <w:rsid w:val="00693BE0"/>
    <w:rsid w:val="00696B18"/>
    <w:rsid w:val="006972CF"/>
    <w:rsid w:val="00697DAE"/>
    <w:rsid w:val="006A0129"/>
    <w:rsid w:val="006A08DE"/>
    <w:rsid w:val="006A3229"/>
    <w:rsid w:val="006A5A1D"/>
    <w:rsid w:val="006A6FAE"/>
    <w:rsid w:val="006A7546"/>
    <w:rsid w:val="006A7D69"/>
    <w:rsid w:val="006A7F2E"/>
    <w:rsid w:val="006B04D3"/>
    <w:rsid w:val="006B2EF1"/>
    <w:rsid w:val="006B47EB"/>
    <w:rsid w:val="006B4B63"/>
    <w:rsid w:val="006B4F10"/>
    <w:rsid w:val="006B6B9A"/>
    <w:rsid w:val="006B6D67"/>
    <w:rsid w:val="006C104A"/>
    <w:rsid w:val="006C1515"/>
    <w:rsid w:val="006C16E4"/>
    <w:rsid w:val="006C5CDA"/>
    <w:rsid w:val="006C6811"/>
    <w:rsid w:val="006D5CBB"/>
    <w:rsid w:val="006D699A"/>
    <w:rsid w:val="006E255D"/>
    <w:rsid w:val="006E2C71"/>
    <w:rsid w:val="006E3B88"/>
    <w:rsid w:val="006E6367"/>
    <w:rsid w:val="006F1CE0"/>
    <w:rsid w:val="006F2CB4"/>
    <w:rsid w:val="006F3905"/>
    <w:rsid w:val="00702DCC"/>
    <w:rsid w:val="0070377D"/>
    <w:rsid w:val="00703CD5"/>
    <w:rsid w:val="00703D9E"/>
    <w:rsid w:val="00704319"/>
    <w:rsid w:val="0070505B"/>
    <w:rsid w:val="007116C1"/>
    <w:rsid w:val="007122D2"/>
    <w:rsid w:val="00714802"/>
    <w:rsid w:val="00714849"/>
    <w:rsid w:val="007154B6"/>
    <w:rsid w:val="00716390"/>
    <w:rsid w:val="00721A14"/>
    <w:rsid w:val="007230DA"/>
    <w:rsid w:val="007239E8"/>
    <w:rsid w:val="007241E1"/>
    <w:rsid w:val="007252E6"/>
    <w:rsid w:val="00725A99"/>
    <w:rsid w:val="00725B44"/>
    <w:rsid w:val="007266F4"/>
    <w:rsid w:val="00727234"/>
    <w:rsid w:val="00733903"/>
    <w:rsid w:val="00734D45"/>
    <w:rsid w:val="00736A86"/>
    <w:rsid w:val="007372C3"/>
    <w:rsid w:val="0074055C"/>
    <w:rsid w:val="00740A06"/>
    <w:rsid w:val="00743B35"/>
    <w:rsid w:val="00743BE3"/>
    <w:rsid w:val="0074400A"/>
    <w:rsid w:val="0074685B"/>
    <w:rsid w:val="0075300E"/>
    <w:rsid w:val="0075312F"/>
    <w:rsid w:val="0075471D"/>
    <w:rsid w:val="00755E9C"/>
    <w:rsid w:val="0075762D"/>
    <w:rsid w:val="00761F9D"/>
    <w:rsid w:val="007663F3"/>
    <w:rsid w:val="00767664"/>
    <w:rsid w:val="007677C7"/>
    <w:rsid w:val="0077065D"/>
    <w:rsid w:val="00770E84"/>
    <w:rsid w:val="00772FC0"/>
    <w:rsid w:val="007735D1"/>
    <w:rsid w:val="00774D2B"/>
    <w:rsid w:val="00775E67"/>
    <w:rsid w:val="00777D42"/>
    <w:rsid w:val="00780FB2"/>
    <w:rsid w:val="00783439"/>
    <w:rsid w:val="00783814"/>
    <w:rsid w:val="007844AB"/>
    <w:rsid w:val="00787249"/>
    <w:rsid w:val="007875E0"/>
    <w:rsid w:val="007954A6"/>
    <w:rsid w:val="007A2A68"/>
    <w:rsid w:val="007A3442"/>
    <w:rsid w:val="007A3F56"/>
    <w:rsid w:val="007A5EF6"/>
    <w:rsid w:val="007A68AA"/>
    <w:rsid w:val="007A7825"/>
    <w:rsid w:val="007A7E70"/>
    <w:rsid w:val="007B1589"/>
    <w:rsid w:val="007B25EC"/>
    <w:rsid w:val="007B3BDF"/>
    <w:rsid w:val="007C11FC"/>
    <w:rsid w:val="007C3EB1"/>
    <w:rsid w:val="007C4294"/>
    <w:rsid w:val="007D45CB"/>
    <w:rsid w:val="007D7ED1"/>
    <w:rsid w:val="007E016D"/>
    <w:rsid w:val="007E13D9"/>
    <w:rsid w:val="007E30B8"/>
    <w:rsid w:val="007E369D"/>
    <w:rsid w:val="007E3B56"/>
    <w:rsid w:val="007E4484"/>
    <w:rsid w:val="007E60CC"/>
    <w:rsid w:val="007E623A"/>
    <w:rsid w:val="007E75EF"/>
    <w:rsid w:val="007E78BA"/>
    <w:rsid w:val="007F0856"/>
    <w:rsid w:val="007F38BA"/>
    <w:rsid w:val="007F49BB"/>
    <w:rsid w:val="007F6928"/>
    <w:rsid w:val="008041FA"/>
    <w:rsid w:val="0080555C"/>
    <w:rsid w:val="00805BF3"/>
    <w:rsid w:val="008066A8"/>
    <w:rsid w:val="00806ECD"/>
    <w:rsid w:val="0081387F"/>
    <w:rsid w:val="00813C4F"/>
    <w:rsid w:val="0081729E"/>
    <w:rsid w:val="00817E45"/>
    <w:rsid w:val="008202F9"/>
    <w:rsid w:val="00821FE9"/>
    <w:rsid w:val="008230F8"/>
    <w:rsid w:val="00823F35"/>
    <w:rsid w:val="00827AD3"/>
    <w:rsid w:val="00831153"/>
    <w:rsid w:val="00832442"/>
    <w:rsid w:val="00832F0B"/>
    <w:rsid w:val="00833899"/>
    <w:rsid w:val="0083420A"/>
    <w:rsid w:val="00836832"/>
    <w:rsid w:val="0084491D"/>
    <w:rsid w:val="00845793"/>
    <w:rsid w:val="0084607F"/>
    <w:rsid w:val="00847DC6"/>
    <w:rsid w:val="00851AC2"/>
    <w:rsid w:val="00851C8F"/>
    <w:rsid w:val="00853B19"/>
    <w:rsid w:val="00856225"/>
    <w:rsid w:val="00856AFC"/>
    <w:rsid w:val="00857725"/>
    <w:rsid w:val="00857ACC"/>
    <w:rsid w:val="00860788"/>
    <w:rsid w:val="00863356"/>
    <w:rsid w:val="00864901"/>
    <w:rsid w:val="00866804"/>
    <w:rsid w:val="00867A66"/>
    <w:rsid w:val="00873910"/>
    <w:rsid w:val="008739F9"/>
    <w:rsid w:val="00873AE8"/>
    <w:rsid w:val="008745F8"/>
    <w:rsid w:val="00877AE8"/>
    <w:rsid w:val="008801AA"/>
    <w:rsid w:val="0088375B"/>
    <w:rsid w:val="008844B9"/>
    <w:rsid w:val="008849A1"/>
    <w:rsid w:val="008851A7"/>
    <w:rsid w:val="0089036B"/>
    <w:rsid w:val="00891995"/>
    <w:rsid w:val="008929D4"/>
    <w:rsid w:val="00895988"/>
    <w:rsid w:val="00896E38"/>
    <w:rsid w:val="00897457"/>
    <w:rsid w:val="008A0461"/>
    <w:rsid w:val="008A407F"/>
    <w:rsid w:val="008A4405"/>
    <w:rsid w:val="008A5909"/>
    <w:rsid w:val="008A635F"/>
    <w:rsid w:val="008A6753"/>
    <w:rsid w:val="008A6B60"/>
    <w:rsid w:val="008A74BD"/>
    <w:rsid w:val="008B15D2"/>
    <w:rsid w:val="008B390B"/>
    <w:rsid w:val="008C2C3E"/>
    <w:rsid w:val="008C35D3"/>
    <w:rsid w:val="008D248D"/>
    <w:rsid w:val="008D4217"/>
    <w:rsid w:val="008D5370"/>
    <w:rsid w:val="008D60C9"/>
    <w:rsid w:val="008D61DB"/>
    <w:rsid w:val="008E095A"/>
    <w:rsid w:val="008E0995"/>
    <w:rsid w:val="008E0A2D"/>
    <w:rsid w:val="008E21C6"/>
    <w:rsid w:val="008E2417"/>
    <w:rsid w:val="008E2CC0"/>
    <w:rsid w:val="008E2EC2"/>
    <w:rsid w:val="008E2F0A"/>
    <w:rsid w:val="008E5C24"/>
    <w:rsid w:val="008E78C8"/>
    <w:rsid w:val="008F0B50"/>
    <w:rsid w:val="008F1581"/>
    <w:rsid w:val="008F1AB1"/>
    <w:rsid w:val="008F6460"/>
    <w:rsid w:val="00904F42"/>
    <w:rsid w:val="009064D2"/>
    <w:rsid w:val="009065A3"/>
    <w:rsid w:val="00907148"/>
    <w:rsid w:val="0090714F"/>
    <w:rsid w:val="00907354"/>
    <w:rsid w:val="00911C34"/>
    <w:rsid w:val="00911F4E"/>
    <w:rsid w:val="00912BAE"/>
    <w:rsid w:val="0091307C"/>
    <w:rsid w:val="009138F9"/>
    <w:rsid w:val="00913CDB"/>
    <w:rsid w:val="00914B0D"/>
    <w:rsid w:val="009167E3"/>
    <w:rsid w:val="00916BC0"/>
    <w:rsid w:val="009173F5"/>
    <w:rsid w:val="00917BD6"/>
    <w:rsid w:val="0092120D"/>
    <w:rsid w:val="00921623"/>
    <w:rsid w:val="00922B6E"/>
    <w:rsid w:val="00925142"/>
    <w:rsid w:val="009267AE"/>
    <w:rsid w:val="009306DA"/>
    <w:rsid w:val="00930D44"/>
    <w:rsid w:val="00930DFD"/>
    <w:rsid w:val="00931522"/>
    <w:rsid w:val="0093216A"/>
    <w:rsid w:val="00932E94"/>
    <w:rsid w:val="00935B4A"/>
    <w:rsid w:val="0093660C"/>
    <w:rsid w:val="009375C9"/>
    <w:rsid w:val="009409A0"/>
    <w:rsid w:val="00941F15"/>
    <w:rsid w:val="00945DCA"/>
    <w:rsid w:val="00947E23"/>
    <w:rsid w:val="00951665"/>
    <w:rsid w:val="0095215B"/>
    <w:rsid w:val="00952CFA"/>
    <w:rsid w:val="00953EF9"/>
    <w:rsid w:val="009545F8"/>
    <w:rsid w:val="00954E6F"/>
    <w:rsid w:val="00956429"/>
    <w:rsid w:val="009572E8"/>
    <w:rsid w:val="00960518"/>
    <w:rsid w:val="00961634"/>
    <w:rsid w:val="009648DD"/>
    <w:rsid w:val="00965084"/>
    <w:rsid w:val="00966254"/>
    <w:rsid w:val="00966935"/>
    <w:rsid w:val="009737C4"/>
    <w:rsid w:val="00973F7D"/>
    <w:rsid w:val="00974D9B"/>
    <w:rsid w:val="00975452"/>
    <w:rsid w:val="0097593C"/>
    <w:rsid w:val="00980CA1"/>
    <w:rsid w:val="00980D88"/>
    <w:rsid w:val="0098165C"/>
    <w:rsid w:val="0098371B"/>
    <w:rsid w:val="009837C9"/>
    <w:rsid w:val="00983CB1"/>
    <w:rsid w:val="009841BF"/>
    <w:rsid w:val="0098566A"/>
    <w:rsid w:val="009873A0"/>
    <w:rsid w:val="00987C8C"/>
    <w:rsid w:val="0099090A"/>
    <w:rsid w:val="009936ED"/>
    <w:rsid w:val="00993E92"/>
    <w:rsid w:val="00995436"/>
    <w:rsid w:val="00995659"/>
    <w:rsid w:val="009A2CF8"/>
    <w:rsid w:val="009A32EC"/>
    <w:rsid w:val="009A5155"/>
    <w:rsid w:val="009A6463"/>
    <w:rsid w:val="009A7078"/>
    <w:rsid w:val="009A7489"/>
    <w:rsid w:val="009B092C"/>
    <w:rsid w:val="009B1855"/>
    <w:rsid w:val="009B28CC"/>
    <w:rsid w:val="009B4E65"/>
    <w:rsid w:val="009C3032"/>
    <w:rsid w:val="009C34BE"/>
    <w:rsid w:val="009C351D"/>
    <w:rsid w:val="009C7D47"/>
    <w:rsid w:val="009D04B9"/>
    <w:rsid w:val="009D271C"/>
    <w:rsid w:val="009D2BA1"/>
    <w:rsid w:val="009E04C1"/>
    <w:rsid w:val="009E11B1"/>
    <w:rsid w:val="009E11D2"/>
    <w:rsid w:val="009E434D"/>
    <w:rsid w:val="009E526C"/>
    <w:rsid w:val="009E6D48"/>
    <w:rsid w:val="009F5B10"/>
    <w:rsid w:val="009F74B7"/>
    <w:rsid w:val="00A00331"/>
    <w:rsid w:val="00A00587"/>
    <w:rsid w:val="00A0089A"/>
    <w:rsid w:val="00A012AA"/>
    <w:rsid w:val="00A014C3"/>
    <w:rsid w:val="00A020F2"/>
    <w:rsid w:val="00A0258B"/>
    <w:rsid w:val="00A04932"/>
    <w:rsid w:val="00A05E4B"/>
    <w:rsid w:val="00A060BF"/>
    <w:rsid w:val="00A10846"/>
    <w:rsid w:val="00A12282"/>
    <w:rsid w:val="00A134ED"/>
    <w:rsid w:val="00A159E5"/>
    <w:rsid w:val="00A1742F"/>
    <w:rsid w:val="00A213BF"/>
    <w:rsid w:val="00A22F48"/>
    <w:rsid w:val="00A2436D"/>
    <w:rsid w:val="00A26299"/>
    <w:rsid w:val="00A26BBC"/>
    <w:rsid w:val="00A26C51"/>
    <w:rsid w:val="00A27230"/>
    <w:rsid w:val="00A27705"/>
    <w:rsid w:val="00A318DB"/>
    <w:rsid w:val="00A32569"/>
    <w:rsid w:val="00A407F1"/>
    <w:rsid w:val="00A421BD"/>
    <w:rsid w:val="00A51171"/>
    <w:rsid w:val="00A51F99"/>
    <w:rsid w:val="00A529B6"/>
    <w:rsid w:val="00A54AAC"/>
    <w:rsid w:val="00A54B98"/>
    <w:rsid w:val="00A5610C"/>
    <w:rsid w:val="00A562BF"/>
    <w:rsid w:val="00A56CA8"/>
    <w:rsid w:val="00A57F38"/>
    <w:rsid w:val="00A6134F"/>
    <w:rsid w:val="00A6175F"/>
    <w:rsid w:val="00A6324A"/>
    <w:rsid w:val="00A634A0"/>
    <w:rsid w:val="00A64624"/>
    <w:rsid w:val="00A65059"/>
    <w:rsid w:val="00A67D5F"/>
    <w:rsid w:val="00A744D0"/>
    <w:rsid w:val="00A74F1A"/>
    <w:rsid w:val="00A761E7"/>
    <w:rsid w:val="00A7667A"/>
    <w:rsid w:val="00A816BD"/>
    <w:rsid w:val="00A850DA"/>
    <w:rsid w:val="00A8685D"/>
    <w:rsid w:val="00A87C2F"/>
    <w:rsid w:val="00A9261F"/>
    <w:rsid w:val="00A95565"/>
    <w:rsid w:val="00A96C80"/>
    <w:rsid w:val="00A970A7"/>
    <w:rsid w:val="00AA18CB"/>
    <w:rsid w:val="00AA1EF5"/>
    <w:rsid w:val="00AA2B4C"/>
    <w:rsid w:val="00AA2F8D"/>
    <w:rsid w:val="00AA4012"/>
    <w:rsid w:val="00AA509A"/>
    <w:rsid w:val="00AB1E0C"/>
    <w:rsid w:val="00AB3CAB"/>
    <w:rsid w:val="00AB3D87"/>
    <w:rsid w:val="00AB5091"/>
    <w:rsid w:val="00AB7269"/>
    <w:rsid w:val="00AB75DD"/>
    <w:rsid w:val="00AB77A9"/>
    <w:rsid w:val="00AC0F81"/>
    <w:rsid w:val="00AC1E1A"/>
    <w:rsid w:val="00AC2ACC"/>
    <w:rsid w:val="00AC51ED"/>
    <w:rsid w:val="00AD0AEC"/>
    <w:rsid w:val="00AD276F"/>
    <w:rsid w:val="00AD2CB7"/>
    <w:rsid w:val="00AD502D"/>
    <w:rsid w:val="00AD52A8"/>
    <w:rsid w:val="00AD6DC6"/>
    <w:rsid w:val="00AE2105"/>
    <w:rsid w:val="00AE5B9F"/>
    <w:rsid w:val="00AF07FB"/>
    <w:rsid w:val="00AF231A"/>
    <w:rsid w:val="00B00398"/>
    <w:rsid w:val="00B05334"/>
    <w:rsid w:val="00B058AD"/>
    <w:rsid w:val="00B0648B"/>
    <w:rsid w:val="00B103F0"/>
    <w:rsid w:val="00B1480B"/>
    <w:rsid w:val="00B15B50"/>
    <w:rsid w:val="00B20D4F"/>
    <w:rsid w:val="00B224CA"/>
    <w:rsid w:val="00B24A08"/>
    <w:rsid w:val="00B27CAB"/>
    <w:rsid w:val="00B32774"/>
    <w:rsid w:val="00B34581"/>
    <w:rsid w:val="00B34FF8"/>
    <w:rsid w:val="00B3550D"/>
    <w:rsid w:val="00B35D08"/>
    <w:rsid w:val="00B36713"/>
    <w:rsid w:val="00B405C4"/>
    <w:rsid w:val="00B43FBC"/>
    <w:rsid w:val="00B44742"/>
    <w:rsid w:val="00B4616F"/>
    <w:rsid w:val="00B51F70"/>
    <w:rsid w:val="00B52FDC"/>
    <w:rsid w:val="00B54256"/>
    <w:rsid w:val="00B54B1B"/>
    <w:rsid w:val="00B54BB6"/>
    <w:rsid w:val="00B55A3B"/>
    <w:rsid w:val="00B55C99"/>
    <w:rsid w:val="00B607C1"/>
    <w:rsid w:val="00B6254B"/>
    <w:rsid w:val="00B6261B"/>
    <w:rsid w:val="00B67362"/>
    <w:rsid w:val="00B70B04"/>
    <w:rsid w:val="00B71127"/>
    <w:rsid w:val="00B74D0B"/>
    <w:rsid w:val="00B76023"/>
    <w:rsid w:val="00B77BA7"/>
    <w:rsid w:val="00B8254B"/>
    <w:rsid w:val="00B82581"/>
    <w:rsid w:val="00B86DB2"/>
    <w:rsid w:val="00B87173"/>
    <w:rsid w:val="00B9207A"/>
    <w:rsid w:val="00B92C2F"/>
    <w:rsid w:val="00B93CBB"/>
    <w:rsid w:val="00B96ECF"/>
    <w:rsid w:val="00BA0940"/>
    <w:rsid w:val="00BA1DB7"/>
    <w:rsid w:val="00BA3B17"/>
    <w:rsid w:val="00BA4EA1"/>
    <w:rsid w:val="00BA6424"/>
    <w:rsid w:val="00BA6E13"/>
    <w:rsid w:val="00BB3072"/>
    <w:rsid w:val="00BB3AEB"/>
    <w:rsid w:val="00BB70A5"/>
    <w:rsid w:val="00BC12F8"/>
    <w:rsid w:val="00BC3915"/>
    <w:rsid w:val="00BC5870"/>
    <w:rsid w:val="00BC62BE"/>
    <w:rsid w:val="00BD1111"/>
    <w:rsid w:val="00BD337A"/>
    <w:rsid w:val="00BD371B"/>
    <w:rsid w:val="00BD3FDC"/>
    <w:rsid w:val="00BD40B0"/>
    <w:rsid w:val="00BD5742"/>
    <w:rsid w:val="00BD735D"/>
    <w:rsid w:val="00BE054C"/>
    <w:rsid w:val="00BE260F"/>
    <w:rsid w:val="00BE404B"/>
    <w:rsid w:val="00BE460D"/>
    <w:rsid w:val="00BE78DC"/>
    <w:rsid w:val="00BF00EE"/>
    <w:rsid w:val="00BF217E"/>
    <w:rsid w:val="00BF4026"/>
    <w:rsid w:val="00BF557D"/>
    <w:rsid w:val="00BF6202"/>
    <w:rsid w:val="00BF6FF2"/>
    <w:rsid w:val="00BF72D5"/>
    <w:rsid w:val="00C01A6E"/>
    <w:rsid w:val="00C023C1"/>
    <w:rsid w:val="00C04668"/>
    <w:rsid w:val="00C04851"/>
    <w:rsid w:val="00C04C10"/>
    <w:rsid w:val="00C04E5E"/>
    <w:rsid w:val="00C137B3"/>
    <w:rsid w:val="00C13E6D"/>
    <w:rsid w:val="00C15C57"/>
    <w:rsid w:val="00C161B8"/>
    <w:rsid w:val="00C20DF6"/>
    <w:rsid w:val="00C25337"/>
    <w:rsid w:val="00C27511"/>
    <w:rsid w:val="00C34A2B"/>
    <w:rsid w:val="00C34E3F"/>
    <w:rsid w:val="00C35A03"/>
    <w:rsid w:val="00C408AB"/>
    <w:rsid w:val="00C43B32"/>
    <w:rsid w:val="00C4415B"/>
    <w:rsid w:val="00C44FAA"/>
    <w:rsid w:val="00C46757"/>
    <w:rsid w:val="00C47144"/>
    <w:rsid w:val="00C47B94"/>
    <w:rsid w:val="00C52CEF"/>
    <w:rsid w:val="00C53FAF"/>
    <w:rsid w:val="00C54569"/>
    <w:rsid w:val="00C57C4F"/>
    <w:rsid w:val="00C60FC4"/>
    <w:rsid w:val="00C641A8"/>
    <w:rsid w:val="00C66643"/>
    <w:rsid w:val="00C66716"/>
    <w:rsid w:val="00C66EE3"/>
    <w:rsid w:val="00C67E5C"/>
    <w:rsid w:val="00C70B77"/>
    <w:rsid w:val="00C71752"/>
    <w:rsid w:val="00C720DE"/>
    <w:rsid w:val="00C73D05"/>
    <w:rsid w:val="00C74032"/>
    <w:rsid w:val="00C741AF"/>
    <w:rsid w:val="00C766AD"/>
    <w:rsid w:val="00C77D40"/>
    <w:rsid w:val="00C815F9"/>
    <w:rsid w:val="00C82FFB"/>
    <w:rsid w:val="00C85CD7"/>
    <w:rsid w:val="00C916E1"/>
    <w:rsid w:val="00C91912"/>
    <w:rsid w:val="00C93AED"/>
    <w:rsid w:val="00C95F78"/>
    <w:rsid w:val="00C9637C"/>
    <w:rsid w:val="00CA0BA5"/>
    <w:rsid w:val="00CA25A4"/>
    <w:rsid w:val="00CA4EFF"/>
    <w:rsid w:val="00CA7146"/>
    <w:rsid w:val="00CA7436"/>
    <w:rsid w:val="00CB1B3A"/>
    <w:rsid w:val="00CB3357"/>
    <w:rsid w:val="00CB475B"/>
    <w:rsid w:val="00CB5B92"/>
    <w:rsid w:val="00CB61FB"/>
    <w:rsid w:val="00CC22ED"/>
    <w:rsid w:val="00CC4D89"/>
    <w:rsid w:val="00CC6D17"/>
    <w:rsid w:val="00CC7022"/>
    <w:rsid w:val="00CC77A5"/>
    <w:rsid w:val="00CC7EB7"/>
    <w:rsid w:val="00CD06AD"/>
    <w:rsid w:val="00CD1100"/>
    <w:rsid w:val="00CD1A12"/>
    <w:rsid w:val="00CD1CBA"/>
    <w:rsid w:val="00CD2316"/>
    <w:rsid w:val="00CD63AC"/>
    <w:rsid w:val="00CD640E"/>
    <w:rsid w:val="00CE0AC4"/>
    <w:rsid w:val="00CE0E57"/>
    <w:rsid w:val="00CE2597"/>
    <w:rsid w:val="00CE2851"/>
    <w:rsid w:val="00CE6159"/>
    <w:rsid w:val="00CE6538"/>
    <w:rsid w:val="00CE6A94"/>
    <w:rsid w:val="00CE6E0E"/>
    <w:rsid w:val="00CF14B4"/>
    <w:rsid w:val="00CF21EF"/>
    <w:rsid w:val="00CF2CA0"/>
    <w:rsid w:val="00CF3549"/>
    <w:rsid w:val="00CF7E39"/>
    <w:rsid w:val="00D04D73"/>
    <w:rsid w:val="00D052B6"/>
    <w:rsid w:val="00D12300"/>
    <w:rsid w:val="00D136AB"/>
    <w:rsid w:val="00D150DF"/>
    <w:rsid w:val="00D15B27"/>
    <w:rsid w:val="00D15DCB"/>
    <w:rsid w:val="00D1732C"/>
    <w:rsid w:val="00D208DF"/>
    <w:rsid w:val="00D231CD"/>
    <w:rsid w:val="00D23D28"/>
    <w:rsid w:val="00D24BCB"/>
    <w:rsid w:val="00D25631"/>
    <w:rsid w:val="00D26C8F"/>
    <w:rsid w:val="00D275E4"/>
    <w:rsid w:val="00D27D1D"/>
    <w:rsid w:val="00D305D5"/>
    <w:rsid w:val="00D3085F"/>
    <w:rsid w:val="00D30912"/>
    <w:rsid w:val="00D31022"/>
    <w:rsid w:val="00D310B3"/>
    <w:rsid w:val="00D32D13"/>
    <w:rsid w:val="00D333AC"/>
    <w:rsid w:val="00D3411E"/>
    <w:rsid w:val="00D3751E"/>
    <w:rsid w:val="00D43DDC"/>
    <w:rsid w:val="00D45DC7"/>
    <w:rsid w:val="00D4765E"/>
    <w:rsid w:val="00D47A74"/>
    <w:rsid w:val="00D50AA5"/>
    <w:rsid w:val="00D5376C"/>
    <w:rsid w:val="00D56C76"/>
    <w:rsid w:val="00D60529"/>
    <w:rsid w:val="00D605DB"/>
    <w:rsid w:val="00D6361E"/>
    <w:rsid w:val="00D66DAF"/>
    <w:rsid w:val="00D67DA0"/>
    <w:rsid w:val="00D72CE7"/>
    <w:rsid w:val="00D7375E"/>
    <w:rsid w:val="00D74CD1"/>
    <w:rsid w:val="00D76DAB"/>
    <w:rsid w:val="00D7750B"/>
    <w:rsid w:val="00D825BD"/>
    <w:rsid w:val="00D82C9A"/>
    <w:rsid w:val="00D844BE"/>
    <w:rsid w:val="00D85454"/>
    <w:rsid w:val="00D85D5A"/>
    <w:rsid w:val="00D862BE"/>
    <w:rsid w:val="00D90D9B"/>
    <w:rsid w:val="00D90F90"/>
    <w:rsid w:val="00D919AF"/>
    <w:rsid w:val="00D922E0"/>
    <w:rsid w:val="00D96D9C"/>
    <w:rsid w:val="00D96E2A"/>
    <w:rsid w:val="00DA0414"/>
    <w:rsid w:val="00DA536A"/>
    <w:rsid w:val="00DA72D3"/>
    <w:rsid w:val="00DB074D"/>
    <w:rsid w:val="00DB265D"/>
    <w:rsid w:val="00DB2C03"/>
    <w:rsid w:val="00DB469B"/>
    <w:rsid w:val="00DB5410"/>
    <w:rsid w:val="00DB64CE"/>
    <w:rsid w:val="00DC0CC3"/>
    <w:rsid w:val="00DC21FD"/>
    <w:rsid w:val="00DC2BAA"/>
    <w:rsid w:val="00DC311C"/>
    <w:rsid w:val="00DC315B"/>
    <w:rsid w:val="00DC5494"/>
    <w:rsid w:val="00DC5B71"/>
    <w:rsid w:val="00DC6068"/>
    <w:rsid w:val="00DC76C0"/>
    <w:rsid w:val="00DD3554"/>
    <w:rsid w:val="00DD3E68"/>
    <w:rsid w:val="00DD42C4"/>
    <w:rsid w:val="00DD460D"/>
    <w:rsid w:val="00DD6F4E"/>
    <w:rsid w:val="00DE0AFE"/>
    <w:rsid w:val="00DE2058"/>
    <w:rsid w:val="00DE2072"/>
    <w:rsid w:val="00DE257F"/>
    <w:rsid w:val="00DF0A66"/>
    <w:rsid w:val="00DF11FC"/>
    <w:rsid w:val="00DF2740"/>
    <w:rsid w:val="00DF2DD3"/>
    <w:rsid w:val="00DF39AB"/>
    <w:rsid w:val="00DF4CD3"/>
    <w:rsid w:val="00DF7311"/>
    <w:rsid w:val="00E00FBB"/>
    <w:rsid w:val="00E011F9"/>
    <w:rsid w:val="00E02DD3"/>
    <w:rsid w:val="00E06182"/>
    <w:rsid w:val="00E07572"/>
    <w:rsid w:val="00E103A3"/>
    <w:rsid w:val="00E13295"/>
    <w:rsid w:val="00E16810"/>
    <w:rsid w:val="00E206AC"/>
    <w:rsid w:val="00E20B89"/>
    <w:rsid w:val="00E22DEE"/>
    <w:rsid w:val="00E234A8"/>
    <w:rsid w:val="00E2609D"/>
    <w:rsid w:val="00E321B4"/>
    <w:rsid w:val="00E34116"/>
    <w:rsid w:val="00E34392"/>
    <w:rsid w:val="00E36E93"/>
    <w:rsid w:val="00E406E3"/>
    <w:rsid w:val="00E41924"/>
    <w:rsid w:val="00E42C61"/>
    <w:rsid w:val="00E42DCB"/>
    <w:rsid w:val="00E43FCB"/>
    <w:rsid w:val="00E453BB"/>
    <w:rsid w:val="00E456EA"/>
    <w:rsid w:val="00E45754"/>
    <w:rsid w:val="00E46F5A"/>
    <w:rsid w:val="00E51AC0"/>
    <w:rsid w:val="00E557FD"/>
    <w:rsid w:val="00E56737"/>
    <w:rsid w:val="00E61B62"/>
    <w:rsid w:val="00E627AF"/>
    <w:rsid w:val="00E62C83"/>
    <w:rsid w:val="00E62FD8"/>
    <w:rsid w:val="00E63CF8"/>
    <w:rsid w:val="00E712A7"/>
    <w:rsid w:val="00E72A79"/>
    <w:rsid w:val="00E7535C"/>
    <w:rsid w:val="00E77A4F"/>
    <w:rsid w:val="00E8008A"/>
    <w:rsid w:val="00E821F5"/>
    <w:rsid w:val="00E8268C"/>
    <w:rsid w:val="00E83075"/>
    <w:rsid w:val="00E83E92"/>
    <w:rsid w:val="00E84CCC"/>
    <w:rsid w:val="00E84CF9"/>
    <w:rsid w:val="00E86568"/>
    <w:rsid w:val="00E866D2"/>
    <w:rsid w:val="00E867FD"/>
    <w:rsid w:val="00E90729"/>
    <w:rsid w:val="00E91DE6"/>
    <w:rsid w:val="00E93345"/>
    <w:rsid w:val="00E9470F"/>
    <w:rsid w:val="00E966D7"/>
    <w:rsid w:val="00E9672F"/>
    <w:rsid w:val="00E97B59"/>
    <w:rsid w:val="00E97EB2"/>
    <w:rsid w:val="00EA0957"/>
    <w:rsid w:val="00EA4D3E"/>
    <w:rsid w:val="00EA6026"/>
    <w:rsid w:val="00EB2072"/>
    <w:rsid w:val="00EB3C1B"/>
    <w:rsid w:val="00EB6174"/>
    <w:rsid w:val="00EB63DF"/>
    <w:rsid w:val="00EB7A75"/>
    <w:rsid w:val="00EC1769"/>
    <w:rsid w:val="00EC1E3F"/>
    <w:rsid w:val="00EC41CD"/>
    <w:rsid w:val="00EC5FC3"/>
    <w:rsid w:val="00EC741B"/>
    <w:rsid w:val="00ED178F"/>
    <w:rsid w:val="00ED19FA"/>
    <w:rsid w:val="00ED39B6"/>
    <w:rsid w:val="00ED524A"/>
    <w:rsid w:val="00ED6293"/>
    <w:rsid w:val="00ED6CBB"/>
    <w:rsid w:val="00EE0257"/>
    <w:rsid w:val="00EE4B1E"/>
    <w:rsid w:val="00EE4FE2"/>
    <w:rsid w:val="00EE766C"/>
    <w:rsid w:val="00EF5A6C"/>
    <w:rsid w:val="00EF5C3C"/>
    <w:rsid w:val="00EF7A76"/>
    <w:rsid w:val="00F01D10"/>
    <w:rsid w:val="00F03B7F"/>
    <w:rsid w:val="00F04E66"/>
    <w:rsid w:val="00F11B99"/>
    <w:rsid w:val="00F160AE"/>
    <w:rsid w:val="00F1635C"/>
    <w:rsid w:val="00F20C43"/>
    <w:rsid w:val="00F244D2"/>
    <w:rsid w:val="00F27E71"/>
    <w:rsid w:val="00F30429"/>
    <w:rsid w:val="00F32B16"/>
    <w:rsid w:val="00F34107"/>
    <w:rsid w:val="00F400DF"/>
    <w:rsid w:val="00F41665"/>
    <w:rsid w:val="00F455ED"/>
    <w:rsid w:val="00F47C36"/>
    <w:rsid w:val="00F52FEB"/>
    <w:rsid w:val="00F54C97"/>
    <w:rsid w:val="00F555CF"/>
    <w:rsid w:val="00F61778"/>
    <w:rsid w:val="00F617A7"/>
    <w:rsid w:val="00F61838"/>
    <w:rsid w:val="00F62BEF"/>
    <w:rsid w:val="00F63C86"/>
    <w:rsid w:val="00F66C8D"/>
    <w:rsid w:val="00F708A0"/>
    <w:rsid w:val="00F71DF4"/>
    <w:rsid w:val="00F74016"/>
    <w:rsid w:val="00F74465"/>
    <w:rsid w:val="00F76457"/>
    <w:rsid w:val="00F764F1"/>
    <w:rsid w:val="00F77F68"/>
    <w:rsid w:val="00F81F51"/>
    <w:rsid w:val="00F826A2"/>
    <w:rsid w:val="00F82CEB"/>
    <w:rsid w:val="00F845EE"/>
    <w:rsid w:val="00F84B93"/>
    <w:rsid w:val="00F85816"/>
    <w:rsid w:val="00F87D54"/>
    <w:rsid w:val="00F87D8D"/>
    <w:rsid w:val="00F87EC2"/>
    <w:rsid w:val="00F935AD"/>
    <w:rsid w:val="00F94301"/>
    <w:rsid w:val="00F97EC0"/>
    <w:rsid w:val="00FA5092"/>
    <w:rsid w:val="00FA5325"/>
    <w:rsid w:val="00FA630A"/>
    <w:rsid w:val="00FB01E9"/>
    <w:rsid w:val="00FB0B50"/>
    <w:rsid w:val="00FB20CC"/>
    <w:rsid w:val="00FB2892"/>
    <w:rsid w:val="00FB3BFF"/>
    <w:rsid w:val="00FB465D"/>
    <w:rsid w:val="00FB49A8"/>
    <w:rsid w:val="00FB4C4B"/>
    <w:rsid w:val="00FB4D51"/>
    <w:rsid w:val="00FB54A5"/>
    <w:rsid w:val="00FB6533"/>
    <w:rsid w:val="00FB6992"/>
    <w:rsid w:val="00FB6A4B"/>
    <w:rsid w:val="00FC150E"/>
    <w:rsid w:val="00FC1728"/>
    <w:rsid w:val="00FC55D4"/>
    <w:rsid w:val="00FC5608"/>
    <w:rsid w:val="00FC5632"/>
    <w:rsid w:val="00FC76AC"/>
    <w:rsid w:val="00FD3700"/>
    <w:rsid w:val="00FD5290"/>
    <w:rsid w:val="00FD53FE"/>
    <w:rsid w:val="00FD7474"/>
    <w:rsid w:val="00FE0364"/>
    <w:rsid w:val="00FE123F"/>
    <w:rsid w:val="00FE2150"/>
    <w:rsid w:val="00FE37BA"/>
    <w:rsid w:val="00FE47E5"/>
    <w:rsid w:val="00FE514D"/>
    <w:rsid w:val="00FE5367"/>
    <w:rsid w:val="00FE5CCF"/>
    <w:rsid w:val="00FE64A1"/>
    <w:rsid w:val="00FE7A28"/>
    <w:rsid w:val="00FF32AD"/>
    <w:rsid w:val="00FF4E93"/>
    <w:rsid w:val="00FF546F"/>
    <w:rsid w:val="00FF568E"/>
    <w:rsid w:val="00FF5B29"/>
    <w:rsid w:val="00FF5D8E"/>
    <w:rsid w:val="00FF6F74"/>
    <w:rsid w:val="00FF71FA"/>
    <w:rsid w:val="00FF75B6"/>
  </w:rsids>
  <m:mathPr>
    <m:mathFont m:val="Cambria Math"/>
    <m:brkBin m:val="before"/>
    <m:brkBinSub m:val="--"/>
    <m:smallFrac m:val="0"/>
    <m:dispDef/>
    <m:lMargin m:val="0"/>
    <m:rMargin m:val="0"/>
    <m:defJc m:val="centerGroup"/>
    <m:wrapIndent m:val="1440"/>
    <m:intLim m:val="subSup"/>
    <m:naryLim m:val="undOvr"/>
  </m:mathPr>
  <w:themeFontLang w:val="de-DE"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5A1E2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C6811"/>
    <w:pPr>
      <w:spacing w:before="120" w:after="120" w:line="312" w:lineRule="auto"/>
      <w:jc w:val="both"/>
    </w:pPr>
    <w:rPr>
      <w:rFonts w:ascii="Times New Roman" w:hAnsi="Times New Roman" w:cs="Times New Roman"/>
      <w:sz w:val="24"/>
      <w:szCs w:val="24"/>
      <w:lang w:eastAsia="en-GB"/>
    </w:rPr>
  </w:style>
  <w:style w:type="paragraph" w:styleId="Heading1">
    <w:name w:val="heading 1"/>
    <w:basedOn w:val="Normal"/>
    <w:next w:val="Normal"/>
    <w:link w:val="Heading1Char"/>
    <w:uiPriority w:val="9"/>
    <w:qFormat/>
    <w:rsid w:val="007D45CB"/>
    <w:pPr>
      <w:keepNext/>
      <w:keepLines/>
      <w:numPr>
        <w:numId w:val="2"/>
      </w:numPr>
      <w:spacing w:before="240" w:after="0"/>
      <w:ind w:left="357" w:hanging="357"/>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857725"/>
    <w:pPr>
      <w:keepNext/>
      <w:keepLines/>
      <w:numPr>
        <w:ilvl w:val="1"/>
        <w:numId w:val="2"/>
      </w:numPr>
      <w:spacing w:before="240" w:after="0"/>
      <w:ind w:left="788" w:hanging="431"/>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3A5F2A"/>
    <w:pPr>
      <w:keepNext/>
      <w:keepLines/>
      <w:spacing w:after="0"/>
      <w:outlineLvl w:val="2"/>
    </w:pPr>
    <w:rPr>
      <w:rFonts w:eastAsiaTheme="majorEastAsia" w:cstheme="majorBidi"/>
      <w:b/>
      <w:color w:val="000000" w:themeColor="text1"/>
    </w:rPr>
  </w:style>
  <w:style w:type="paragraph" w:styleId="Heading4">
    <w:name w:val="heading 4"/>
    <w:basedOn w:val="Normal"/>
    <w:next w:val="Normal"/>
    <w:link w:val="Heading4Char"/>
    <w:uiPriority w:val="9"/>
    <w:unhideWhenUsed/>
    <w:qFormat/>
    <w:rsid w:val="00E406E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9653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596533"/>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qFormat/>
    <w:rsid w:val="00151DC1"/>
    <w:pPr>
      <w:tabs>
        <w:tab w:val="num" w:pos="1296"/>
      </w:tabs>
      <w:spacing w:before="240" w:after="60"/>
      <w:ind w:left="1296" w:hanging="1296"/>
      <w:outlineLvl w:val="6"/>
    </w:pPr>
    <w:rPr>
      <w:rFonts w:eastAsia="Times New Roman"/>
    </w:rPr>
  </w:style>
  <w:style w:type="paragraph" w:styleId="Heading8">
    <w:name w:val="heading 8"/>
    <w:basedOn w:val="Normal"/>
    <w:next w:val="Normal"/>
    <w:link w:val="Heading8Char"/>
    <w:uiPriority w:val="9"/>
    <w:qFormat/>
    <w:rsid w:val="00151DC1"/>
    <w:pPr>
      <w:tabs>
        <w:tab w:val="num" w:pos="1440"/>
      </w:tabs>
      <w:spacing w:before="240" w:after="60"/>
      <w:ind w:left="1440" w:hanging="1440"/>
      <w:outlineLvl w:val="7"/>
    </w:pPr>
    <w:rPr>
      <w:rFonts w:eastAsia="Times New Roman"/>
      <w:i/>
      <w:iCs/>
    </w:rPr>
  </w:style>
  <w:style w:type="paragraph" w:styleId="Heading9">
    <w:name w:val="heading 9"/>
    <w:basedOn w:val="Normal"/>
    <w:next w:val="Normal"/>
    <w:link w:val="Heading9Char"/>
    <w:uiPriority w:val="9"/>
    <w:qFormat/>
    <w:rsid w:val="00151DC1"/>
    <w:pPr>
      <w:tabs>
        <w:tab w:val="num" w:pos="1584"/>
      </w:tabs>
      <w:spacing w:before="240" w:after="60"/>
      <w:ind w:left="1584" w:hanging="1584"/>
      <w:outlineLvl w:val="8"/>
    </w:pPr>
    <w:rPr>
      <w:rFonts w:ascii="Arial" w:eastAsia="Times New Roman" w:hAnsi="Arial" w:cs="Arial"/>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45CB"/>
    <w:rPr>
      <w:rFonts w:ascii="Times New Roman" w:eastAsiaTheme="majorEastAsia" w:hAnsi="Times New Roman" w:cstheme="majorBidi"/>
      <w:sz w:val="32"/>
      <w:szCs w:val="32"/>
    </w:rPr>
  </w:style>
  <w:style w:type="character" w:customStyle="1" w:styleId="Heading2Char">
    <w:name w:val="Heading 2 Char"/>
    <w:basedOn w:val="DefaultParagraphFont"/>
    <w:link w:val="Heading2"/>
    <w:uiPriority w:val="9"/>
    <w:rsid w:val="00857725"/>
    <w:rPr>
      <w:rFonts w:ascii="Times New Roman" w:eastAsiaTheme="majorEastAsia" w:hAnsi="Times New Roman" w:cstheme="majorBidi"/>
      <w:color w:val="000000" w:themeColor="text1"/>
      <w:sz w:val="26"/>
      <w:szCs w:val="26"/>
    </w:rPr>
  </w:style>
  <w:style w:type="paragraph" w:styleId="Header">
    <w:name w:val="header"/>
    <w:basedOn w:val="Normal"/>
    <w:link w:val="HeaderChar"/>
    <w:uiPriority w:val="99"/>
    <w:unhideWhenUsed/>
    <w:rsid w:val="00FD53FE"/>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FD53FE"/>
    <w:rPr>
      <w:rFonts w:ascii="Times New Roman" w:hAnsi="Times New Roman"/>
      <w:sz w:val="24"/>
    </w:rPr>
  </w:style>
  <w:style w:type="paragraph" w:styleId="Footer">
    <w:name w:val="footer"/>
    <w:basedOn w:val="Normal"/>
    <w:link w:val="FooterChar"/>
    <w:uiPriority w:val="99"/>
    <w:unhideWhenUsed/>
    <w:rsid w:val="00FD53FE"/>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FD53FE"/>
    <w:rPr>
      <w:rFonts w:ascii="Times New Roman" w:hAnsi="Times New Roman"/>
      <w:sz w:val="24"/>
    </w:rPr>
  </w:style>
  <w:style w:type="paragraph" w:styleId="FootnoteText">
    <w:name w:val="footnote text"/>
    <w:aliases w:val="Footnote"/>
    <w:basedOn w:val="Normal"/>
    <w:link w:val="FootnoteTextChar"/>
    <w:uiPriority w:val="99"/>
    <w:unhideWhenUsed/>
    <w:rsid w:val="00FD53FE"/>
    <w:pPr>
      <w:spacing w:before="0" w:after="0" w:line="240" w:lineRule="auto"/>
    </w:pPr>
    <w:rPr>
      <w:sz w:val="20"/>
      <w:szCs w:val="20"/>
    </w:rPr>
  </w:style>
  <w:style w:type="character" w:customStyle="1" w:styleId="FootnoteTextChar">
    <w:name w:val="Footnote Text Char"/>
    <w:aliases w:val="Footnote Char"/>
    <w:basedOn w:val="DefaultParagraphFont"/>
    <w:link w:val="FootnoteText"/>
    <w:uiPriority w:val="99"/>
    <w:rsid w:val="00FD53FE"/>
    <w:rPr>
      <w:rFonts w:ascii="Times New Roman" w:hAnsi="Times New Roman"/>
      <w:sz w:val="20"/>
      <w:szCs w:val="20"/>
    </w:rPr>
  </w:style>
  <w:style w:type="character" w:styleId="FootnoteReference">
    <w:name w:val="footnote reference"/>
    <w:basedOn w:val="DefaultParagraphFont"/>
    <w:uiPriority w:val="99"/>
    <w:unhideWhenUsed/>
    <w:rsid w:val="00FD53FE"/>
    <w:rPr>
      <w:vertAlign w:val="superscript"/>
    </w:rPr>
  </w:style>
  <w:style w:type="table" w:styleId="TableGrid">
    <w:name w:val="Table Grid"/>
    <w:basedOn w:val="TableNormal"/>
    <w:uiPriority w:val="39"/>
    <w:rsid w:val="00FD5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A5F2A"/>
    <w:rPr>
      <w:rFonts w:ascii="Times New Roman" w:eastAsiaTheme="majorEastAsia" w:hAnsi="Times New Roman" w:cstheme="majorBidi"/>
      <w:b/>
      <w:color w:val="000000" w:themeColor="text1"/>
      <w:szCs w:val="24"/>
    </w:rPr>
  </w:style>
  <w:style w:type="paragraph" w:styleId="BalloonText">
    <w:name w:val="Balloon Text"/>
    <w:basedOn w:val="Normal"/>
    <w:link w:val="BalloonTextChar"/>
    <w:uiPriority w:val="99"/>
    <w:semiHidden/>
    <w:unhideWhenUsed/>
    <w:rsid w:val="00FD53F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3FE"/>
    <w:rPr>
      <w:rFonts w:ascii="Segoe UI" w:hAnsi="Segoe UI" w:cs="Segoe UI"/>
      <w:sz w:val="18"/>
      <w:szCs w:val="18"/>
    </w:rPr>
  </w:style>
  <w:style w:type="table" w:styleId="PlainTable2">
    <w:name w:val="Plain Table 2"/>
    <w:basedOn w:val="TableNormal"/>
    <w:uiPriority w:val="42"/>
    <w:rsid w:val="00E406E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uiPriority w:val="9"/>
    <w:rsid w:val="00E406E3"/>
    <w:rPr>
      <w:rFonts w:asciiTheme="majorHAnsi" w:eastAsiaTheme="majorEastAsia" w:hAnsiTheme="majorHAnsi" w:cstheme="majorBidi"/>
      <w:i/>
      <w:iCs/>
      <w:color w:val="2F5496" w:themeColor="accent1" w:themeShade="BF"/>
      <w:sz w:val="24"/>
    </w:rPr>
  </w:style>
  <w:style w:type="table" w:styleId="TableGridLight">
    <w:name w:val="Grid Table Light"/>
    <w:basedOn w:val="TableNormal"/>
    <w:uiPriority w:val="40"/>
    <w:rsid w:val="000F6FD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TOCHeading">
    <w:name w:val="TOC Heading"/>
    <w:basedOn w:val="Heading1"/>
    <w:next w:val="Normal"/>
    <w:uiPriority w:val="39"/>
    <w:unhideWhenUsed/>
    <w:qFormat/>
    <w:rsid w:val="00CF7E39"/>
    <w:pPr>
      <w:numPr>
        <w:numId w:val="0"/>
      </w:numPr>
      <w:spacing w:line="259" w:lineRule="auto"/>
      <w:jc w:val="left"/>
      <w:outlineLvl w:val="9"/>
    </w:pPr>
    <w:rPr>
      <w:rFonts w:asciiTheme="majorHAnsi" w:hAnsiTheme="majorHAnsi"/>
      <w:color w:val="2F5496" w:themeColor="accent1" w:themeShade="BF"/>
    </w:rPr>
  </w:style>
  <w:style w:type="paragraph" w:styleId="TOC1">
    <w:name w:val="toc 1"/>
    <w:basedOn w:val="Normal"/>
    <w:next w:val="Normal"/>
    <w:autoRedefine/>
    <w:uiPriority w:val="39"/>
    <w:unhideWhenUsed/>
    <w:rsid w:val="00097B24"/>
    <w:pPr>
      <w:spacing w:after="0"/>
      <w:jc w:val="left"/>
    </w:pPr>
    <w:rPr>
      <w:rFonts w:asciiTheme="minorHAnsi" w:hAnsiTheme="minorHAnsi"/>
      <w:b/>
      <w:bCs/>
    </w:rPr>
  </w:style>
  <w:style w:type="paragraph" w:styleId="TOC2">
    <w:name w:val="toc 2"/>
    <w:basedOn w:val="Normal"/>
    <w:next w:val="Normal"/>
    <w:autoRedefine/>
    <w:uiPriority w:val="39"/>
    <w:unhideWhenUsed/>
    <w:rsid w:val="00CF7E39"/>
    <w:pPr>
      <w:spacing w:before="0" w:after="0"/>
      <w:ind w:left="220"/>
      <w:jc w:val="left"/>
    </w:pPr>
    <w:rPr>
      <w:rFonts w:asciiTheme="minorHAnsi" w:hAnsiTheme="minorHAnsi"/>
      <w:b/>
      <w:bCs/>
    </w:rPr>
  </w:style>
  <w:style w:type="paragraph" w:styleId="TOC3">
    <w:name w:val="toc 3"/>
    <w:basedOn w:val="Normal"/>
    <w:next w:val="Normal"/>
    <w:autoRedefine/>
    <w:uiPriority w:val="39"/>
    <w:unhideWhenUsed/>
    <w:rsid w:val="00CF7E39"/>
    <w:pPr>
      <w:spacing w:before="0" w:after="0"/>
      <w:ind w:left="440"/>
      <w:jc w:val="left"/>
    </w:pPr>
    <w:rPr>
      <w:rFonts w:asciiTheme="minorHAnsi" w:hAnsiTheme="minorHAnsi"/>
    </w:rPr>
  </w:style>
  <w:style w:type="character" w:styleId="Hyperlink">
    <w:name w:val="Hyperlink"/>
    <w:basedOn w:val="DefaultParagraphFont"/>
    <w:uiPriority w:val="99"/>
    <w:unhideWhenUsed/>
    <w:rsid w:val="00CF7E39"/>
    <w:rPr>
      <w:color w:val="0563C1" w:themeColor="hyperlink"/>
      <w:u w:val="single"/>
    </w:rPr>
  </w:style>
  <w:style w:type="paragraph" w:styleId="NormalWeb">
    <w:name w:val="Normal (Web)"/>
    <w:basedOn w:val="Normal"/>
    <w:uiPriority w:val="99"/>
    <w:unhideWhenUsed/>
    <w:rsid w:val="006B47EB"/>
    <w:pPr>
      <w:spacing w:before="100" w:beforeAutospacing="1" w:after="100" w:afterAutospacing="1" w:line="240" w:lineRule="auto"/>
      <w:jc w:val="left"/>
    </w:pPr>
    <w:rPr>
      <w:rFonts w:eastAsia="Times New Roman"/>
    </w:rPr>
  </w:style>
  <w:style w:type="character" w:customStyle="1" w:styleId="apple-tab-span">
    <w:name w:val="apple-tab-span"/>
    <w:basedOn w:val="DefaultParagraphFont"/>
    <w:rsid w:val="006B47EB"/>
  </w:style>
  <w:style w:type="character" w:customStyle="1" w:styleId="Heading5Char">
    <w:name w:val="Heading 5 Char"/>
    <w:basedOn w:val="DefaultParagraphFont"/>
    <w:link w:val="Heading5"/>
    <w:uiPriority w:val="9"/>
    <w:rsid w:val="00596533"/>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rsid w:val="00596533"/>
    <w:rPr>
      <w:rFonts w:asciiTheme="majorHAnsi" w:eastAsiaTheme="majorEastAsia" w:hAnsiTheme="majorHAnsi" w:cstheme="majorBidi"/>
      <w:color w:val="1F3763" w:themeColor="accent1" w:themeShade="7F"/>
      <w:sz w:val="24"/>
    </w:rPr>
  </w:style>
  <w:style w:type="paragraph" w:styleId="Revision">
    <w:name w:val="Revision"/>
    <w:hidden/>
    <w:uiPriority w:val="99"/>
    <w:semiHidden/>
    <w:rsid w:val="000A2884"/>
    <w:pPr>
      <w:spacing w:after="0" w:line="240" w:lineRule="auto"/>
    </w:pPr>
    <w:rPr>
      <w:rFonts w:ascii="Times New Roman" w:hAnsi="Times New Roman"/>
      <w:sz w:val="24"/>
    </w:rPr>
  </w:style>
  <w:style w:type="character" w:styleId="PageNumber">
    <w:name w:val="page number"/>
    <w:basedOn w:val="DefaultParagraphFont"/>
    <w:uiPriority w:val="99"/>
    <w:semiHidden/>
    <w:unhideWhenUsed/>
    <w:rsid w:val="00C641A8"/>
  </w:style>
  <w:style w:type="numbering" w:styleId="111111">
    <w:name w:val="Outline List 2"/>
    <w:basedOn w:val="NoList"/>
    <w:uiPriority w:val="99"/>
    <w:semiHidden/>
    <w:unhideWhenUsed/>
    <w:rsid w:val="005C7FE2"/>
    <w:pPr>
      <w:numPr>
        <w:numId w:val="1"/>
      </w:numPr>
    </w:pPr>
  </w:style>
  <w:style w:type="paragraph" w:styleId="TableofFigures">
    <w:name w:val="table of figures"/>
    <w:basedOn w:val="Normal"/>
    <w:next w:val="Normal"/>
    <w:uiPriority w:val="99"/>
    <w:unhideWhenUsed/>
    <w:rsid w:val="001A40FF"/>
    <w:pPr>
      <w:ind w:left="440" w:hanging="440"/>
    </w:pPr>
  </w:style>
  <w:style w:type="paragraph" w:styleId="Caption">
    <w:name w:val="caption"/>
    <w:basedOn w:val="Normal"/>
    <w:next w:val="Normal"/>
    <w:uiPriority w:val="35"/>
    <w:unhideWhenUsed/>
    <w:qFormat/>
    <w:rsid w:val="00FE2150"/>
    <w:pPr>
      <w:spacing w:before="0" w:after="200" w:line="240" w:lineRule="auto"/>
    </w:pPr>
    <w:rPr>
      <w:iCs/>
      <w:color w:val="000000" w:themeColor="text1"/>
      <w:sz w:val="20"/>
      <w:szCs w:val="18"/>
    </w:rPr>
  </w:style>
  <w:style w:type="paragraph" w:styleId="ListParagraph">
    <w:name w:val="List Paragraph"/>
    <w:basedOn w:val="Normal"/>
    <w:qFormat/>
    <w:rsid w:val="00703CD5"/>
    <w:pPr>
      <w:ind w:left="720"/>
      <w:contextualSpacing/>
    </w:pPr>
  </w:style>
  <w:style w:type="paragraph" w:styleId="TOC4">
    <w:name w:val="toc 4"/>
    <w:basedOn w:val="Normal"/>
    <w:next w:val="Normal"/>
    <w:autoRedefine/>
    <w:uiPriority w:val="39"/>
    <w:unhideWhenUsed/>
    <w:rsid w:val="00B44742"/>
    <w:pPr>
      <w:spacing w:before="0" w:after="0"/>
      <w:ind w:left="660"/>
      <w:jc w:val="left"/>
    </w:pPr>
    <w:rPr>
      <w:rFonts w:asciiTheme="minorHAnsi" w:hAnsiTheme="minorHAnsi"/>
      <w:sz w:val="20"/>
      <w:szCs w:val="20"/>
    </w:rPr>
  </w:style>
  <w:style w:type="paragraph" w:styleId="TOC5">
    <w:name w:val="toc 5"/>
    <w:basedOn w:val="Normal"/>
    <w:next w:val="Normal"/>
    <w:autoRedefine/>
    <w:uiPriority w:val="39"/>
    <w:unhideWhenUsed/>
    <w:rsid w:val="00B44742"/>
    <w:pPr>
      <w:spacing w:before="0" w:after="0"/>
      <w:ind w:left="880"/>
      <w:jc w:val="left"/>
    </w:pPr>
    <w:rPr>
      <w:rFonts w:asciiTheme="minorHAnsi" w:hAnsiTheme="minorHAnsi"/>
      <w:sz w:val="20"/>
      <w:szCs w:val="20"/>
    </w:rPr>
  </w:style>
  <w:style w:type="paragraph" w:styleId="TOC6">
    <w:name w:val="toc 6"/>
    <w:basedOn w:val="Normal"/>
    <w:next w:val="Normal"/>
    <w:autoRedefine/>
    <w:uiPriority w:val="39"/>
    <w:unhideWhenUsed/>
    <w:rsid w:val="00B44742"/>
    <w:pPr>
      <w:spacing w:before="0" w:after="0"/>
      <w:ind w:left="1100"/>
      <w:jc w:val="left"/>
    </w:pPr>
    <w:rPr>
      <w:rFonts w:asciiTheme="minorHAnsi" w:hAnsiTheme="minorHAnsi"/>
      <w:sz w:val="20"/>
      <w:szCs w:val="20"/>
    </w:rPr>
  </w:style>
  <w:style w:type="paragraph" w:styleId="TOC7">
    <w:name w:val="toc 7"/>
    <w:basedOn w:val="Normal"/>
    <w:next w:val="Normal"/>
    <w:autoRedefine/>
    <w:uiPriority w:val="39"/>
    <w:unhideWhenUsed/>
    <w:rsid w:val="00B44742"/>
    <w:pPr>
      <w:spacing w:before="0" w:after="0"/>
      <w:ind w:left="1320"/>
      <w:jc w:val="left"/>
    </w:pPr>
    <w:rPr>
      <w:rFonts w:asciiTheme="minorHAnsi" w:hAnsiTheme="minorHAnsi"/>
      <w:sz w:val="20"/>
      <w:szCs w:val="20"/>
    </w:rPr>
  </w:style>
  <w:style w:type="paragraph" w:styleId="TOC8">
    <w:name w:val="toc 8"/>
    <w:basedOn w:val="Normal"/>
    <w:next w:val="Normal"/>
    <w:autoRedefine/>
    <w:uiPriority w:val="39"/>
    <w:unhideWhenUsed/>
    <w:rsid w:val="00B44742"/>
    <w:pPr>
      <w:spacing w:before="0" w:after="0"/>
      <w:ind w:left="1540"/>
      <w:jc w:val="left"/>
    </w:pPr>
    <w:rPr>
      <w:rFonts w:asciiTheme="minorHAnsi" w:hAnsiTheme="minorHAnsi"/>
      <w:sz w:val="20"/>
      <w:szCs w:val="20"/>
    </w:rPr>
  </w:style>
  <w:style w:type="paragraph" w:styleId="TOC9">
    <w:name w:val="toc 9"/>
    <w:basedOn w:val="Normal"/>
    <w:next w:val="Normal"/>
    <w:autoRedefine/>
    <w:uiPriority w:val="39"/>
    <w:unhideWhenUsed/>
    <w:rsid w:val="00B44742"/>
    <w:pPr>
      <w:spacing w:before="0" w:after="0"/>
      <w:ind w:left="1760"/>
      <w:jc w:val="left"/>
    </w:pPr>
    <w:rPr>
      <w:rFonts w:asciiTheme="minorHAnsi" w:hAnsiTheme="minorHAnsi"/>
      <w:sz w:val="20"/>
      <w:szCs w:val="20"/>
    </w:rPr>
  </w:style>
  <w:style w:type="character" w:styleId="Strong">
    <w:name w:val="Strong"/>
    <w:basedOn w:val="DefaultParagraphFont"/>
    <w:uiPriority w:val="22"/>
    <w:qFormat/>
    <w:rsid w:val="001C54E7"/>
    <w:rPr>
      <w:b/>
      <w:bCs/>
    </w:rPr>
  </w:style>
  <w:style w:type="paragraph" w:styleId="Title">
    <w:name w:val="Title"/>
    <w:basedOn w:val="Normal"/>
    <w:next w:val="Normal"/>
    <w:link w:val="TitleChar"/>
    <w:uiPriority w:val="10"/>
    <w:qFormat/>
    <w:rsid w:val="004C3D75"/>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D75"/>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3F19DD"/>
    <w:pPr>
      <w:spacing w:before="360" w:after="360"/>
      <w:ind w:left="862" w:right="862"/>
    </w:pPr>
    <w:rPr>
      <w:i/>
      <w:iCs/>
      <w:color w:val="000000" w:themeColor="text1"/>
    </w:rPr>
  </w:style>
  <w:style w:type="character" w:customStyle="1" w:styleId="QuoteChar">
    <w:name w:val="Quote Char"/>
    <w:basedOn w:val="DefaultParagraphFont"/>
    <w:link w:val="Quote"/>
    <w:uiPriority w:val="29"/>
    <w:rsid w:val="003F19DD"/>
    <w:rPr>
      <w:rFonts w:ascii="Times New Roman" w:hAnsi="Times New Roman"/>
      <w:i/>
      <w:iCs/>
      <w:color w:val="000000" w:themeColor="text1"/>
    </w:rPr>
  </w:style>
  <w:style w:type="paragraph" w:styleId="Subtitle">
    <w:name w:val="Subtitle"/>
    <w:basedOn w:val="Normal"/>
    <w:next w:val="Normal"/>
    <w:link w:val="SubtitleChar"/>
    <w:uiPriority w:val="11"/>
    <w:qFormat/>
    <w:rsid w:val="00295A0D"/>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295A0D"/>
    <w:rPr>
      <w:rFonts w:eastAsiaTheme="minorEastAsia"/>
      <w:color w:val="5A5A5A" w:themeColor="text1" w:themeTint="A5"/>
      <w:spacing w:val="15"/>
    </w:rPr>
  </w:style>
  <w:style w:type="paragraph" w:styleId="CommentSubject">
    <w:name w:val="annotation subject"/>
    <w:basedOn w:val="CommentText"/>
    <w:next w:val="CommentText"/>
    <w:link w:val="CommentSubjectChar"/>
    <w:uiPriority w:val="99"/>
    <w:semiHidden/>
    <w:unhideWhenUsed/>
    <w:rsid w:val="005C52BB"/>
    <w:rPr>
      <w:b/>
      <w:bCs/>
    </w:rPr>
  </w:style>
  <w:style w:type="character" w:customStyle="1" w:styleId="CommentSubjectChar">
    <w:name w:val="Comment Subject Char"/>
    <w:basedOn w:val="CommentTextChar"/>
    <w:link w:val="CommentSubject"/>
    <w:uiPriority w:val="99"/>
    <w:semiHidden/>
    <w:rsid w:val="005C52BB"/>
    <w:rPr>
      <w:rFonts w:ascii="Times New Roman" w:hAnsi="Times New Roman"/>
      <w:b/>
      <w:bCs/>
      <w:sz w:val="20"/>
      <w:szCs w:val="20"/>
    </w:rPr>
  </w:style>
  <w:style w:type="character" w:styleId="PlaceholderText">
    <w:name w:val="Placeholder Text"/>
    <w:basedOn w:val="DefaultParagraphFont"/>
    <w:uiPriority w:val="99"/>
    <w:semiHidden/>
    <w:rsid w:val="00177BBB"/>
    <w:rPr>
      <w:color w:val="808080"/>
    </w:rPr>
  </w:style>
  <w:style w:type="character" w:styleId="EndnoteReference">
    <w:name w:val="endnote reference"/>
    <w:basedOn w:val="DefaultParagraphFont"/>
    <w:uiPriority w:val="99"/>
    <w:semiHidden/>
    <w:unhideWhenUsed/>
    <w:rsid w:val="00161CB5"/>
    <w:rPr>
      <w:vertAlign w:val="superscript"/>
    </w:rPr>
  </w:style>
  <w:style w:type="character" w:styleId="FollowedHyperlink">
    <w:name w:val="FollowedHyperlink"/>
    <w:basedOn w:val="DefaultParagraphFont"/>
    <w:uiPriority w:val="99"/>
    <w:semiHidden/>
    <w:unhideWhenUsed/>
    <w:rsid w:val="00E712A7"/>
    <w:rPr>
      <w:color w:val="954F72" w:themeColor="followedHyperlink"/>
      <w:u w:val="single"/>
    </w:rPr>
  </w:style>
  <w:style w:type="character" w:customStyle="1" w:styleId="Heading7Char">
    <w:name w:val="Heading 7 Char"/>
    <w:basedOn w:val="DefaultParagraphFont"/>
    <w:link w:val="Heading7"/>
    <w:uiPriority w:val="9"/>
    <w:rsid w:val="00151DC1"/>
    <w:rPr>
      <w:rFonts w:ascii="Times New Roman" w:eastAsia="Times New Roman" w:hAnsi="Times New Roman" w:cs="Times New Roman"/>
      <w:sz w:val="24"/>
      <w:szCs w:val="24"/>
      <w:lang w:eastAsia="en-GB"/>
    </w:rPr>
  </w:style>
  <w:style w:type="character" w:customStyle="1" w:styleId="Heading8Char">
    <w:name w:val="Heading 8 Char"/>
    <w:basedOn w:val="DefaultParagraphFont"/>
    <w:link w:val="Heading8"/>
    <w:uiPriority w:val="9"/>
    <w:rsid w:val="00151DC1"/>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rsid w:val="00151DC1"/>
    <w:rPr>
      <w:rFonts w:ascii="Arial" w:eastAsia="Times New Roman" w:hAnsi="Arial" w:cs="Arial"/>
      <w:sz w:val="26"/>
      <w:lang w:eastAsia="en-GB"/>
    </w:rPr>
  </w:style>
  <w:style w:type="numbering" w:customStyle="1" w:styleId="NoList1">
    <w:name w:val="No List1"/>
    <w:next w:val="NoList"/>
    <w:uiPriority w:val="99"/>
    <w:semiHidden/>
    <w:unhideWhenUsed/>
    <w:rsid w:val="00151DC1"/>
  </w:style>
  <w:style w:type="character" w:customStyle="1" w:styleId="Heading1Char1">
    <w:name w:val="Heading 1 Char1"/>
    <w:basedOn w:val="DefaultParagraphFont"/>
    <w:uiPriority w:val="9"/>
    <w:locked/>
    <w:rsid w:val="00151DC1"/>
    <w:rPr>
      <w:b/>
      <w:bCs/>
      <w:color w:val="000000"/>
      <w:kern w:val="32"/>
      <w:sz w:val="34"/>
      <w:szCs w:val="34"/>
      <w:lang w:val="en-GB"/>
    </w:rPr>
  </w:style>
  <w:style w:type="character" w:customStyle="1" w:styleId="Heading2Char1">
    <w:name w:val="Heading 2 Char1"/>
    <w:basedOn w:val="DefaultParagraphFont"/>
    <w:uiPriority w:val="9"/>
    <w:locked/>
    <w:rsid w:val="00151DC1"/>
    <w:rPr>
      <w:rFonts w:cs="Arial"/>
      <w:b/>
      <w:bCs/>
      <w:iCs/>
      <w:sz w:val="30"/>
      <w:szCs w:val="30"/>
      <w:lang w:val="en-GB"/>
    </w:rPr>
  </w:style>
  <w:style w:type="character" w:customStyle="1" w:styleId="Heading3Char1">
    <w:name w:val="Heading 3 Char1"/>
    <w:basedOn w:val="DefaultParagraphFont"/>
    <w:uiPriority w:val="9"/>
    <w:locked/>
    <w:rsid w:val="00151DC1"/>
    <w:rPr>
      <w:rFonts w:cs="Arial"/>
      <w:b/>
      <w:bCs/>
      <w:sz w:val="26"/>
      <w:szCs w:val="26"/>
      <w:lang w:val="en-GB"/>
    </w:rPr>
  </w:style>
  <w:style w:type="character" w:customStyle="1" w:styleId="Heading4Char1">
    <w:name w:val="Heading 4 Char1"/>
    <w:basedOn w:val="DefaultParagraphFont"/>
    <w:uiPriority w:val="9"/>
    <w:locked/>
    <w:rsid w:val="00151DC1"/>
    <w:rPr>
      <w:bCs/>
      <w:i/>
      <w:sz w:val="26"/>
      <w:szCs w:val="28"/>
      <w:lang w:val="en-GB" w:eastAsia="en-GB"/>
    </w:rPr>
  </w:style>
  <w:style w:type="character" w:customStyle="1" w:styleId="HeaderChar1">
    <w:name w:val="Header Char1"/>
    <w:basedOn w:val="DefaultParagraphFont"/>
    <w:uiPriority w:val="99"/>
    <w:semiHidden/>
    <w:locked/>
    <w:rsid w:val="00151DC1"/>
    <w:rPr>
      <w:rFonts w:cs="Times New Roman"/>
      <w:sz w:val="24"/>
      <w:szCs w:val="24"/>
      <w:lang w:val="de-CH" w:eastAsia="de-DE"/>
    </w:rPr>
  </w:style>
  <w:style w:type="character" w:customStyle="1" w:styleId="FooterChar1">
    <w:name w:val="Footer Char1"/>
    <w:basedOn w:val="DefaultParagraphFont"/>
    <w:uiPriority w:val="99"/>
    <w:locked/>
    <w:rsid w:val="00151DC1"/>
    <w:rPr>
      <w:rFonts w:cs="Times New Roman"/>
      <w:sz w:val="24"/>
      <w:szCs w:val="24"/>
      <w:lang w:val="de-CH" w:eastAsia="de-DE"/>
    </w:rPr>
  </w:style>
  <w:style w:type="character" w:customStyle="1" w:styleId="FootnoteTextChar1">
    <w:name w:val="Footnote Text Char1"/>
    <w:aliases w:val="Footnote Char1"/>
    <w:basedOn w:val="DefaultParagraphFont"/>
    <w:uiPriority w:val="99"/>
    <w:semiHidden/>
    <w:locked/>
    <w:rsid w:val="00151DC1"/>
    <w:rPr>
      <w:rFonts w:cs="Times New Roman"/>
      <w:sz w:val="20"/>
      <w:szCs w:val="20"/>
      <w:lang w:val="de-CH" w:eastAsia="de-DE"/>
    </w:rPr>
  </w:style>
  <w:style w:type="paragraph" w:customStyle="1" w:styleId="DirektesZitat">
    <w:name w:val="Direktes Zitat"/>
    <w:basedOn w:val="Normal"/>
    <w:uiPriority w:val="99"/>
    <w:rsid w:val="00151DC1"/>
    <w:pPr>
      <w:spacing w:after="0"/>
      <w:ind w:left="567"/>
      <w:jc w:val="left"/>
    </w:pPr>
    <w:rPr>
      <w:rFonts w:eastAsia="Times New Roman"/>
      <w:sz w:val="26"/>
      <w:lang w:val="en-US"/>
    </w:rPr>
  </w:style>
  <w:style w:type="paragraph" w:styleId="Index1">
    <w:name w:val="index 1"/>
    <w:basedOn w:val="Normal"/>
    <w:next w:val="Normal"/>
    <w:autoRedefine/>
    <w:uiPriority w:val="99"/>
    <w:semiHidden/>
    <w:rsid w:val="00151DC1"/>
    <w:pPr>
      <w:spacing w:after="0"/>
      <w:ind w:left="220" w:hanging="220"/>
    </w:pPr>
    <w:rPr>
      <w:rFonts w:eastAsia="Times New Roman"/>
      <w:sz w:val="26"/>
    </w:rPr>
  </w:style>
  <w:style w:type="paragraph" w:styleId="Index2">
    <w:name w:val="index 2"/>
    <w:basedOn w:val="Normal"/>
    <w:next w:val="Normal"/>
    <w:autoRedefine/>
    <w:uiPriority w:val="99"/>
    <w:semiHidden/>
    <w:rsid w:val="00151DC1"/>
    <w:pPr>
      <w:spacing w:after="0"/>
      <w:ind w:left="440" w:hanging="220"/>
    </w:pPr>
    <w:rPr>
      <w:rFonts w:eastAsia="Times New Roman"/>
      <w:sz w:val="26"/>
    </w:rPr>
  </w:style>
  <w:style w:type="character" w:customStyle="1" w:styleId="BibliographyChar">
    <w:name w:val="Bibliography Char"/>
    <w:basedOn w:val="DefaultParagraphFont"/>
    <w:link w:val="Bibliography"/>
    <w:uiPriority w:val="99"/>
    <w:locked/>
    <w:rsid w:val="00151DC1"/>
    <w:rPr>
      <w:rFonts w:cs="Times New Roman"/>
      <w:lang w:val="de-CH" w:eastAsia="ja-JP"/>
    </w:rPr>
  </w:style>
  <w:style w:type="paragraph" w:styleId="Bibliography">
    <w:name w:val="Bibliography"/>
    <w:basedOn w:val="Normal"/>
    <w:link w:val="BibliographyChar"/>
    <w:uiPriority w:val="99"/>
    <w:rsid w:val="00151DC1"/>
    <w:pPr>
      <w:autoSpaceDE w:val="0"/>
      <w:autoSpaceDN w:val="0"/>
      <w:adjustRightInd w:val="0"/>
      <w:spacing w:after="0"/>
      <w:ind w:left="284" w:hanging="284"/>
    </w:pPr>
    <w:rPr>
      <w:rFonts w:asciiTheme="minorHAnsi" w:hAnsiTheme="minorHAnsi"/>
      <w:sz w:val="22"/>
      <w:szCs w:val="22"/>
      <w:lang w:val="de-CH" w:eastAsia="ja-JP"/>
    </w:rPr>
  </w:style>
  <w:style w:type="paragraph" w:customStyle="1" w:styleId="Formatvorlage12ptboldcentered">
    <w:name w:val="Formatvorlage 12 pt bold centered"/>
    <w:basedOn w:val="Normal"/>
    <w:uiPriority w:val="99"/>
    <w:rsid w:val="00151DC1"/>
    <w:pPr>
      <w:spacing w:after="0"/>
      <w:jc w:val="center"/>
    </w:pPr>
    <w:rPr>
      <w:rFonts w:eastAsia="Times New Roman"/>
      <w:b/>
      <w:bCs/>
      <w:szCs w:val="20"/>
    </w:rPr>
  </w:style>
  <w:style w:type="character" w:customStyle="1" w:styleId="Red">
    <w:name w:val="Red"/>
    <w:basedOn w:val="DefaultParagraphFont"/>
    <w:uiPriority w:val="99"/>
    <w:rsid w:val="00151DC1"/>
    <w:rPr>
      <w:rFonts w:cs="Times New Roman"/>
      <w:color w:val="FF0000"/>
    </w:rPr>
  </w:style>
  <w:style w:type="paragraph" w:customStyle="1" w:styleId="Centered">
    <w:name w:val="Centered"/>
    <w:basedOn w:val="Normal"/>
    <w:uiPriority w:val="99"/>
    <w:rsid w:val="00151DC1"/>
    <w:pPr>
      <w:spacing w:after="0"/>
      <w:jc w:val="center"/>
    </w:pPr>
    <w:rPr>
      <w:rFonts w:eastAsia="Times New Roman"/>
      <w:sz w:val="26"/>
      <w:szCs w:val="20"/>
    </w:rPr>
  </w:style>
  <w:style w:type="character" w:customStyle="1" w:styleId="Formatvorlage12ptbold">
    <w:name w:val="Formatvorlage 12 pt bold"/>
    <w:basedOn w:val="DefaultParagraphFont"/>
    <w:uiPriority w:val="99"/>
    <w:rsid w:val="00151DC1"/>
    <w:rPr>
      <w:rFonts w:cs="Times New Roman"/>
      <w:b/>
      <w:bCs/>
      <w:sz w:val="24"/>
    </w:rPr>
  </w:style>
  <w:style w:type="character" w:customStyle="1" w:styleId="FormatvorlageBold">
    <w:name w:val="Formatvorlage Bold"/>
    <w:basedOn w:val="DefaultParagraphFont"/>
    <w:uiPriority w:val="99"/>
    <w:rsid w:val="00151DC1"/>
    <w:rPr>
      <w:rFonts w:cs="Times New Roman"/>
      <w:b/>
      <w:bCs/>
    </w:rPr>
  </w:style>
  <w:style w:type="paragraph" w:customStyle="1" w:styleId="FormatvorlageBibliographyitalic">
    <w:name w:val="Formatvorlage Bibliography + italic"/>
    <w:basedOn w:val="Bibliography"/>
    <w:link w:val="FormatvorlageBibliographyitalicZchn"/>
    <w:uiPriority w:val="99"/>
    <w:rsid w:val="00151DC1"/>
    <w:rPr>
      <w:i/>
      <w:iCs/>
    </w:rPr>
  </w:style>
  <w:style w:type="character" w:customStyle="1" w:styleId="FormatvorlageBibliographyitalicZchn">
    <w:name w:val="Formatvorlage Bibliography + italic Zchn"/>
    <w:basedOn w:val="BibliographyChar"/>
    <w:link w:val="FormatvorlageBibliographyitalic"/>
    <w:uiPriority w:val="99"/>
    <w:locked/>
    <w:rsid w:val="00151DC1"/>
    <w:rPr>
      <w:rFonts w:cs="Times New Roman"/>
      <w:i/>
      <w:iCs/>
      <w:lang w:val="de-CH" w:eastAsia="ja-JP"/>
    </w:rPr>
  </w:style>
  <w:style w:type="numbering" w:customStyle="1" w:styleId="BulletedList">
    <w:name w:val="Bulleted List"/>
    <w:rsid w:val="00151DC1"/>
    <w:pPr>
      <w:numPr>
        <w:numId w:val="20"/>
      </w:numPr>
    </w:pPr>
  </w:style>
  <w:style w:type="character" w:customStyle="1" w:styleId="hps">
    <w:name w:val="hps"/>
    <w:basedOn w:val="DefaultParagraphFont"/>
    <w:rsid w:val="00151DC1"/>
  </w:style>
  <w:style w:type="paragraph" w:customStyle="1" w:styleId="CitaviBibliographyEntry">
    <w:name w:val="Citavi Bibliography Entry"/>
    <w:basedOn w:val="Normal"/>
    <w:link w:val="CitaviBibliographyEntryChar"/>
    <w:rsid w:val="00151DC1"/>
    <w:pPr>
      <w:tabs>
        <w:tab w:val="left" w:pos="283"/>
      </w:tabs>
      <w:spacing w:after="60"/>
      <w:ind w:left="283" w:hanging="283"/>
      <w:jc w:val="left"/>
    </w:pPr>
    <w:rPr>
      <w:rFonts w:eastAsia="Times New Roman"/>
      <w:sz w:val="26"/>
    </w:rPr>
  </w:style>
  <w:style w:type="character" w:customStyle="1" w:styleId="CitaviBibliographyEntryChar">
    <w:name w:val="Citavi Bibliography Entry Char"/>
    <w:basedOn w:val="DefaultParagraphFont"/>
    <w:link w:val="CitaviBibliographyEntry"/>
    <w:rsid w:val="00151DC1"/>
    <w:rPr>
      <w:rFonts w:ascii="Times New Roman" w:eastAsia="Times New Roman" w:hAnsi="Times New Roman" w:cs="Times New Roman"/>
      <w:sz w:val="26"/>
      <w:szCs w:val="24"/>
      <w:lang w:eastAsia="en-GB"/>
    </w:rPr>
  </w:style>
  <w:style w:type="paragraph" w:customStyle="1" w:styleId="CitaviBibliographyHeading">
    <w:name w:val="Citavi Bibliography Heading"/>
    <w:basedOn w:val="Heading1"/>
    <w:link w:val="CitaviBibliographyHeadingChar"/>
    <w:rsid w:val="00151DC1"/>
    <w:pPr>
      <w:keepLines w:val="0"/>
      <w:pageBreakBefore/>
      <w:tabs>
        <w:tab w:val="num" w:pos="432"/>
      </w:tabs>
      <w:spacing w:before="120" w:after="240"/>
      <w:ind w:left="432" w:hanging="432"/>
      <w:jc w:val="left"/>
    </w:pPr>
    <w:rPr>
      <w:rFonts w:eastAsia="Times New Roman" w:cs="Times New Roman"/>
      <w:b/>
      <w:bCs/>
      <w:color w:val="000000"/>
      <w:kern w:val="32"/>
      <w:sz w:val="34"/>
      <w:szCs w:val="34"/>
      <w:lang w:eastAsia="de-AT"/>
    </w:rPr>
  </w:style>
  <w:style w:type="character" w:customStyle="1" w:styleId="CitaviBibliographyHeadingChar">
    <w:name w:val="Citavi Bibliography Heading Char"/>
    <w:basedOn w:val="DefaultParagraphFont"/>
    <w:link w:val="CitaviBibliographyHeading"/>
    <w:rsid w:val="00151DC1"/>
    <w:rPr>
      <w:rFonts w:ascii="Times New Roman" w:eastAsia="Times New Roman" w:hAnsi="Times New Roman" w:cs="Times New Roman"/>
      <w:b/>
      <w:bCs/>
      <w:color w:val="000000"/>
      <w:kern w:val="32"/>
      <w:sz w:val="34"/>
      <w:szCs w:val="34"/>
      <w:lang w:eastAsia="de-AT"/>
    </w:rPr>
  </w:style>
  <w:style w:type="character" w:styleId="BookTitle">
    <w:name w:val="Book Title"/>
    <w:basedOn w:val="DefaultParagraphFont"/>
    <w:uiPriority w:val="33"/>
    <w:qFormat/>
    <w:rsid w:val="00151DC1"/>
    <w:rPr>
      <w:b/>
      <w:bCs/>
      <w:i/>
      <w:iCs/>
      <w:spacing w:val="5"/>
    </w:rPr>
  </w:style>
  <w:style w:type="character" w:customStyle="1" w:styleId="IntenseReference1">
    <w:name w:val="Intense Reference1"/>
    <w:basedOn w:val="DefaultParagraphFont"/>
    <w:uiPriority w:val="32"/>
    <w:qFormat/>
    <w:rsid w:val="00151DC1"/>
    <w:rPr>
      <w:b/>
      <w:bCs/>
      <w:smallCaps/>
      <w:color w:val="4F81BD"/>
      <w:spacing w:val="5"/>
    </w:rPr>
  </w:style>
  <w:style w:type="character" w:customStyle="1" w:styleId="SubtleReference1">
    <w:name w:val="Subtle Reference1"/>
    <w:basedOn w:val="DefaultParagraphFont"/>
    <w:uiPriority w:val="31"/>
    <w:qFormat/>
    <w:rsid w:val="00151DC1"/>
    <w:rPr>
      <w:smallCaps/>
      <w:color w:val="5A5A5A"/>
    </w:rPr>
  </w:style>
  <w:style w:type="character" w:customStyle="1" w:styleId="IntenseEmphasis1">
    <w:name w:val="Intense Emphasis1"/>
    <w:basedOn w:val="DefaultParagraphFont"/>
    <w:uiPriority w:val="21"/>
    <w:qFormat/>
    <w:rsid w:val="00151DC1"/>
    <w:rPr>
      <w:i/>
      <w:iCs/>
      <w:color w:val="4F81BD"/>
    </w:rPr>
  </w:style>
  <w:style w:type="character" w:customStyle="1" w:styleId="SubtleEmphasis1">
    <w:name w:val="Subtle Emphasis1"/>
    <w:basedOn w:val="DefaultParagraphFont"/>
    <w:uiPriority w:val="19"/>
    <w:qFormat/>
    <w:rsid w:val="00151DC1"/>
    <w:rPr>
      <w:i/>
      <w:iCs/>
      <w:color w:val="404040"/>
    </w:rPr>
  </w:style>
  <w:style w:type="paragraph" w:customStyle="1" w:styleId="IntenseQuote1">
    <w:name w:val="Intense Quote1"/>
    <w:basedOn w:val="Normal"/>
    <w:next w:val="Normal"/>
    <w:uiPriority w:val="30"/>
    <w:qFormat/>
    <w:rsid w:val="00151DC1"/>
    <w:pPr>
      <w:pBdr>
        <w:top w:val="single" w:sz="4" w:space="10" w:color="4F81BD"/>
        <w:bottom w:val="single" w:sz="4" w:space="10" w:color="4F81BD"/>
      </w:pBdr>
      <w:spacing w:before="360" w:after="360"/>
      <w:ind w:left="864" w:right="864"/>
      <w:jc w:val="center"/>
    </w:pPr>
    <w:rPr>
      <w:rFonts w:eastAsia="Times New Roman"/>
      <w:i/>
      <w:iCs/>
      <w:color w:val="4F81BD"/>
      <w:sz w:val="26"/>
    </w:rPr>
  </w:style>
  <w:style w:type="character" w:customStyle="1" w:styleId="IntenseQuoteChar">
    <w:name w:val="Intense Quote Char"/>
    <w:basedOn w:val="DefaultParagraphFont"/>
    <w:link w:val="IntenseQuote"/>
    <w:uiPriority w:val="30"/>
    <w:rsid w:val="00151DC1"/>
    <w:rPr>
      <w:i/>
      <w:iCs/>
      <w:color w:val="4F81BD"/>
      <w:szCs w:val="24"/>
      <w:lang w:val="en-GB" w:eastAsia="de-DE"/>
    </w:rPr>
  </w:style>
  <w:style w:type="table" w:customStyle="1" w:styleId="MediumList1-Accent11">
    <w:name w:val="Medium List 1 - Accent 11"/>
    <w:basedOn w:val="TableNormal"/>
    <w:next w:val="MediumList1-Accent1"/>
    <w:uiPriority w:val="65"/>
    <w:semiHidden/>
    <w:unhideWhenUsed/>
    <w:rsid w:val="00151DC1"/>
    <w:pPr>
      <w:spacing w:after="0" w:line="240" w:lineRule="auto"/>
    </w:pPr>
    <w:rPr>
      <w:rFonts w:ascii="Times New Roman" w:eastAsia="Times New Roman" w:hAnsi="Times New Roman" w:cs="Times New Roman"/>
      <w:color w:val="000000"/>
      <w:lang w:val="de-AT" w:eastAsia="de-AT"/>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11">
    <w:name w:val="Medium Shading 2 - Accent 11"/>
    <w:basedOn w:val="TableNormal"/>
    <w:next w:val="MediumShading2-Accent1"/>
    <w:uiPriority w:val="64"/>
    <w:semiHidden/>
    <w:unhideWhenUsed/>
    <w:rsid w:val="00151DC1"/>
    <w:pPr>
      <w:spacing w:after="0" w:line="240" w:lineRule="auto"/>
    </w:pPr>
    <w:rPr>
      <w:rFonts w:ascii="Times New Roman" w:eastAsia="Times New Roman" w:hAnsi="Times New Roman" w:cs="Times New Roman"/>
      <w:lang w:val="de-AT" w:eastAsia="de-A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151DC1"/>
    <w:pPr>
      <w:spacing w:after="0" w:line="240" w:lineRule="auto"/>
    </w:pPr>
    <w:rPr>
      <w:rFonts w:ascii="Times New Roman" w:eastAsia="Times New Roman" w:hAnsi="Times New Roman" w:cs="Times New Roman"/>
      <w:lang w:val="de-AT" w:eastAsia="de-A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Grid-Accent11">
    <w:name w:val="Light Grid - Accent 11"/>
    <w:basedOn w:val="TableNormal"/>
    <w:next w:val="LightGrid-Accent1"/>
    <w:uiPriority w:val="62"/>
    <w:semiHidden/>
    <w:unhideWhenUsed/>
    <w:rsid w:val="00151DC1"/>
    <w:pPr>
      <w:spacing w:after="0" w:line="240" w:lineRule="auto"/>
    </w:pPr>
    <w:rPr>
      <w:rFonts w:ascii="Times New Roman" w:eastAsia="Times New Roman" w:hAnsi="Times New Roman" w:cs="Times New Roman"/>
      <w:lang w:val="de-AT" w:eastAsia="de-AT"/>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
    <w:name w:val="Light List - Accent 11"/>
    <w:basedOn w:val="TableNormal"/>
    <w:next w:val="LightList-Accent1"/>
    <w:uiPriority w:val="61"/>
    <w:semiHidden/>
    <w:unhideWhenUsed/>
    <w:rsid w:val="00151DC1"/>
    <w:pPr>
      <w:spacing w:after="0" w:line="240" w:lineRule="auto"/>
    </w:pPr>
    <w:rPr>
      <w:rFonts w:ascii="Times New Roman" w:eastAsia="Times New Roman" w:hAnsi="Times New Roman" w:cs="Times New Roman"/>
      <w:lang w:val="de-AT" w:eastAsia="de-A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
    <w:name w:val="Light Shading - Accent 11"/>
    <w:basedOn w:val="TableNormal"/>
    <w:next w:val="LightShading-Accent1"/>
    <w:uiPriority w:val="60"/>
    <w:semiHidden/>
    <w:unhideWhenUsed/>
    <w:rsid w:val="00151DC1"/>
    <w:pPr>
      <w:spacing w:after="0" w:line="240" w:lineRule="auto"/>
    </w:pPr>
    <w:rPr>
      <w:rFonts w:ascii="Times New Roman" w:eastAsia="Times New Roman" w:hAnsi="Times New Roman" w:cs="Times New Roman"/>
      <w:color w:val="365F91"/>
      <w:lang w:val="de-AT" w:eastAsia="de-AT"/>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olorfulGrid1">
    <w:name w:val="Colorful Grid1"/>
    <w:basedOn w:val="TableNormal"/>
    <w:next w:val="ColorfulGrid"/>
    <w:uiPriority w:val="73"/>
    <w:semiHidden/>
    <w:unhideWhenUsed/>
    <w:rsid w:val="00151DC1"/>
    <w:pPr>
      <w:spacing w:after="0" w:line="240" w:lineRule="auto"/>
    </w:pPr>
    <w:rPr>
      <w:rFonts w:ascii="Times New Roman" w:eastAsia="Times New Roman" w:hAnsi="Times New Roman" w:cs="Times New Roman"/>
      <w:color w:val="000000"/>
      <w:lang w:val="de-AT" w:eastAsia="de-AT"/>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List1">
    <w:name w:val="Colorful List1"/>
    <w:basedOn w:val="TableNormal"/>
    <w:next w:val="ColorfulList"/>
    <w:uiPriority w:val="72"/>
    <w:semiHidden/>
    <w:unhideWhenUsed/>
    <w:rsid w:val="00151DC1"/>
    <w:pPr>
      <w:spacing w:after="0" w:line="240" w:lineRule="auto"/>
    </w:pPr>
    <w:rPr>
      <w:rFonts w:ascii="Times New Roman" w:eastAsia="Times New Roman" w:hAnsi="Times New Roman" w:cs="Times New Roman"/>
      <w:color w:val="000000"/>
      <w:lang w:val="de-AT" w:eastAsia="de-AT"/>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Shading1">
    <w:name w:val="Colorful Shading1"/>
    <w:basedOn w:val="TableNormal"/>
    <w:next w:val="ColorfulShading"/>
    <w:uiPriority w:val="71"/>
    <w:semiHidden/>
    <w:unhideWhenUsed/>
    <w:rsid w:val="00151DC1"/>
    <w:pPr>
      <w:spacing w:after="0" w:line="240" w:lineRule="auto"/>
    </w:pPr>
    <w:rPr>
      <w:rFonts w:ascii="Times New Roman" w:eastAsia="Times New Roman" w:hAnsi="Times New Roman" w:cs="Times New Roman"/>
      <w:color w:val="000000"/>
      <w:lang w:val="de-AT" w:eastAsia="de-AT"/>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unhideWhenUsed/>
    <w:rsid w:val="00151DC1"/>
    <w:pPr>
      <w:spacing w:after="0" w:line="240" w:lineRule="auto"/>
    </w:pPr>
    <w:rPr>
      <w:rFonts w:ascii="Times New Roman" w:eastAsia="Times New Roman" w:hAnsi="Times New Roman" w:cs="Times New Roman"/>
      <w:color w:val="FFFFFF"/>
      <w:lang w:val="de-AT" w:eastAsia="de-AT"/>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MediumGrid31">
    <w:name w:val="Medium Grid 31"/>
    <w:basedOn w:val="TableNormal"/>
    <w:next w:val="MediumGrid3"/>
    <w:uiPriority w:val="69"/>
    <w:semiHidden/>
    <w:unhideWhenUsed/>
    <w:rsid w:val="00151DC1"/>
    <w:pPr>
      <w:spacing w:after="0" w:line="240" w:lineRule="auto"/>
    </w:pPr>
    <w:rPr>
      <w:rFonts w:ascii="Times New Roman" w:eastAsia="Times New Roman" w:hAnsi="Times New Roman" w:cs="Times New Roman"/>
      <w:lang w:val="de-AT" w:eastAsia="de-A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21">
    <w:name w:val="Medium Grid 21"/>
    <w:basedOn w:val="TableNormal"/>
    <w:next w:val="MediumGrid2"/>
    <w:uiPriority w:val="68"/>
    <w:semiHidden/>
    <w:unhideWhenUsed/>
    <w:rsid w:val="00151DC1"/>
    <w:pPr>
      <w:spacing w:after="0" w:line="240" w:lineRule="auto"/>
    </w:pPr>
    <w:rPr>
      <w:rFonts w:ascii="Cambria" w:eastAsia="Times New Roman" w:hAnsi="Cambria" w:cs="Times New Roman"/>
      <w:color w:val="000000"/>
      <w:lang w:val="de-AT" w:eastAsia="de-AT"/>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11">
    <w:name w:val="Medium Grid 11"/>
    <w:basedOn w:val="TableNormal"/>
    <w:next w:val="MediumGrid1"/>
    <w:uiPriority w:val="67"/>
    <w:semiHidden/>
    <w:unhideWhenUsed/>
    <w:rsid w:val="00151DC1"/>
    <w:pPr>
      <w:spacing w:after="0" w:line="240" w:lineRule="auto"/>
    </w:pPr>
    <w:rPr>
      <w:rFonts w:ascii="Times New Roman" w:eastAsia="Times New Roman" w:hAnsi="Times New Roman" w:cs="Times New Roman"/>
      <w:lang w:val="de-AT" w:eastAsia="de-AT"/>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21">
    <w:name w:val="Medium List 21"/>
    <w:basedOn w:val="TableNormal"/>
    <w:next w:val="MediumList2"/>
    <w:uiPriority w:val="66"/>
    <w:semiHidden/>
    <w:unhideWhenUsed/>
    <w:rsid w:val="00151DC1"/>
    <w:pPr>
      <w:spacing w:after="0" w:line="240" w:lineRule="auto"/>
    </w:pPr>
    <w:rPr>
      <w:rFonts w:ascii="Cambria" w:eastAsia="Times New Roman" w:hAnsi="Cambria" w:cs="Times New Roman"/>
      <w:color w:val="000000"/>
      <w:lang w:val="de-AT" w:eastAsia="de-A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11">
    <w:name w:val="Medium List 11"/>
    <w:basedOn w:val="TableNormal"/>
    <w:next w:val="MediumList1"/>
    <w:uiPriority w:val="65"/>
    <w:semiHidden/>
    <w:unhideWhenUsed/>
    <w:rsid w:val="00151DC1"/>
    <w:pPr>
      <w:spacing w:after="0" w:line="240" w:lineRule="auto"/>
    </w:pPr>
    <w:rPr>
      <w:rFonts w:ascii="Times New Roman" w:eastAsia="Times New Roman" w:hAnsi="Times New Roman" w:cs="Times New Roman"/>
      <w:color w:val="000000"/>
      <w:lang w:val="de-AT" w:eastAsia="de-AT"/>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1">
    <w:name w:val="Medium Shading 21"/>
    <w:basedOn w:val="TableNormal"/>
    <w:next w:val="MediumShading2"/>
    <w:uiPriority w:val="64"/>
    <w:semiHidden/>
    <w:unhideWhenUsed/>
    <w:rsid w:val="00151DC1"/>
    <w:pPr>
      <w:spacing w:after="0" w:line="240" w:lineRule="auto"/>
    </w:pPr>
    <w:rPr>
      <w:rFonts w:ascii="Times New Roman" w:eastAsia="Times New Roman" w:hAnsi="Times New Roman" w:cs="Times New Roman"/>
      <w:lang w:val="de-AT" w:eastAsia="de-A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1">
    <w:name w:val="Medium Shading 11"/>
    <w:basedOn w:val="TableNormal"/>
    <w:next w:val="MediumShading1"/>
    <w:uiPriority w:val="63"/>
    <w:semiHidden/>
    <w:unhideWhenUsed/>
    <w:rsid w:val="00151DC1"/>
    <w:pPr>
      <w:spacing w:after="0" w:line="240" w:lineRule="auto"/>
    </w:pPr>
    <w:rPr>
      <w:rFonts w:ascii="Times New Roman" w:eastAsia="Times New Roman" w:hAnsi="Times New Roman" w:cs="Times New Roman"/>
      <w:lang w:val="de-AT" w:eastAsia="de-AT"/>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1">
    <w:name w:val="Light Grid1"/>
    <w:basedOn w:val="TableNormal"/>
    <w:next w:val="LightGrid"/>
    <w:uiPriority w:val="62"/>
    <w:semiHidden/>
    <w:unhideWhenUsed/>
    <w:rsid w:val="00151DC1"/>
    <w:pPr>
      <w:spacing w:after="0" w:line="240" w:lineRule="auto"/>
    </w:pPr>
    <w:rPr>
      <w:rFonts w:ascii="Times New Roman" w:eastAsia="Times New Roman" w:hAnsi="Times New Roman" w:cs="Times New Roman"/>
      <w:lang w:val="de-AT" w:eastAsia="de-AT"/>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1">
    <w:name w:val="Light List1"/>
    <w:basedOn w:val="TableNormal"/>
    <w:next w:val="LightList"/>
    <w:uiPriority w:val="61"/>
    <w:semiHidden/>
    <w:unhideWhenUsed/>
    <w:rsid w:val="00151DC1"/>
    <w:pPr>
      <w:spacing w:after="0" w:line="240" w:lineRule="auto"/>
    </w:pPr>
    <w:rPr>
      <w:rFonts w:ascii="Times New Roman" w:eastAsia="Times New Roman" w:hAnsi="Times New Roman" w:cs="Times New Roman"/>
      <w:lang w:val="de-AT" w:eastAsia="de-A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1">
    <w:name w:val="Light Shading1"/>
    <w:basedOn w:val="TableNormal"/>
    <w:next w:val="LightShading"/>
    <w:uiPriority w:val="60"/>
    <w:semiHidden/>
    <w:unhideWhenUsed/>
    <w:rsid w:val="00151DC1"/>
    <w:pPr>
      <w:spacing w:after="0" w:line="240" w:lineRule="auto"/>
    </w:pPr>
    <w:rPr>
      <w:rFonts w:ascii="Times New Roman" w:eastAsia="Times New Roman" w:hAnsi="Times New Roman" w:cs="Times New Roman"/>
      <w:color w:val="000000"/>
      <w:lang w:val="de-AT" w:eastAsia="de-AT"/>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Spacing">
    <w:name w:val="No Spacing"/>
    <w:uiPriority w:val="1"/>
    <w:qFormat/>
    <w:rsid w:val="00151DC1"/>
    <w:pPr>
      <w:spacing w:after="0" w:line="240" w:lineRule="auto"/>
      <w:jc w:val="both"/>
    </w:pPr>
    <w:rPr>
      <w:rFonts w:ascii="Times New Roman" w:eastAsia="Times New Roman" w:hAnsi="Times New Roman" w:cs="Times New Roman"/>
      <w:szCs w:val="24"/>
      <w:lang w:eastAsia="de-DE"/>
    </w:rPr>
  </w:style>
  <w:style w:type="character" w:styleId="HTMLVariable">
    <w:name w:val="HTML Variable"/>
    <w:basedOn w:val="DefaultParagraphFont"/>
    <w:uiPriority w:val="99"/>
    <w:semiHidden/>
    <w:unhideWhenUsed/>
    <w:rsid w:val="00151DC1"/>
    <w:rPr>
      <w:i/>
      <w:iCs/>
    </w:rPr>
  </w:style>
  <w:style w:type="character" w:styleId="HTMLTypewriter">
    <w:name w:val="HTML Typewriter"/>
    <w:basedOn w:val="DefaultParagraphFont"/>
    <w:uiPriority w:val="99"/>
    <w:semiHidden/>
    <w:unhideWhenUsed/>
    <w:rsid w:val="00151DC1"/>
    <w:rPr>
      <w:rFonts w:ascii="Consolas" w:hAnsi="Consolas"/>
      <w:sz w:val="20"/>
      <w:szCs w:val="20"/>
    </w:rPr>
  </w:style>
  <w:style w:type="character" w:styleId="HTMLSample">
    <w:name w:val="HTML Sample"/>
    <w:basedOn w:val="DefaultParagraphFont"/>
    <w:uiPriority w:val="99"/>
    <w:semiHidden/>
    <w:unhideWhenUsed/>
    <w:rsid w:val="00151DC1"/>
    <w:rPr>
      <w:rFonts w:ascii="Consolas" w:hAnsi="Consolas"/>
      <w:sz w:val="24"/>
      <w:szCs w:val="24"/>
    </w:rPr>
  </w:style>
  <w:style w:type="paragraph" w:styleId="HTMLPreformatted">
    <w:name w:val="HTML Preformatted"/>
    <w:basedOn w:val="Normal"/>
    <w:link w:val="HTMLPreformattedChar"/>
    <w:uiPriority w:val="99"/>
    <w:semiHidden/>
    <w:unhideWhenUsed/>
    <w:rsid w:val="00151DC1"/>
    <w:pPr>
      <w:spacing w:before="0" w:after="0" w:line="240" w:lineRule="auto"/>
    </w:pPr>
    <w:rPr>
      <w:rFonts w:ascii="Consolas" w:eastAsia="Times New Roman" w:hAnsi="Consolas"/>
      <w:sz w:val="20"/>
      <w:szCs w:val="20"/>
    </w:rPr>
  </w:style>
  <w:style w:type="character" w:customStyle="1" w:styleId="HTMLPreformattedChar">
    <w:name w:val="HTML Preformatted Char"/>
    <w:basedOn w:val="DefaultParagraphFont"/>
    <w:link w:val="HTMLPreformatted"/>
    <w:uiPriority w:val="99"/>
    <w:semiHidden/>
    <w:rsid w:val="00151DC1"/>
    <w:rPr>
      <w:rFonts w:ascii="Consolas" w:eastAsia="Times New Roman" w:hAnsi="Consolas" w:cs="Times New Roman"/>
      <w:sz w:val="20"/>
      <w:szCs w:val="20"/>
      <w:lang w:eastAsia="en-GB"/>
    </w:rPr>
  </w:style>
  <w:style w:type="character" w:styleId="HTMLKeyboard">
    <w:name w:val="HTML Keyboard"/>
    <w:basedOn w:val="DefaultParagraphFont"/>
    <w:uiPriority w:val="99"/>
    <w:semiHidden/>
    <w:unhideWhenUsed/>
    <w:rsid w:val="00151DC1"/>
    <w:rPr>
      <w:rFonts w:ascii="Consolas" w:hAnsi="Consolas"/>
      <w:sz w:val="20"/>
      <w:szCs w:val="20"/>
    </w:rPr>
  </w:style>
  <w:style w:type="character" w:styleId="HTMLDefinition">
    <w:name w:val="HTML Definition"/>
    <w:basedOn w:val="DefaultParagraphFont"/>
    <w:uiPriority w:val="99"/>
    <w:semiHidden/>
    <w:unhideWhenUsed/>
    <w:rsid w:val="00151DC1"/>
    <w:rPr>
      <w:i/>
      <w:iCs/>
    </w:rPr>
  </w:style>
  <w:style w:type="character" w:styleId="HTMLCode">
    <w:name w:val="HTML Code"/>
    <w:basedOn w:val="DefaultParagraphFont"/>
    <w:uiPriority w:val="99"/>
    <w:semiHidden/>
    <w:unhideWhenUsed/>
    <w:rsid w:val="00151DC1"/>
    <w:rPr>
      <w:rFonts w:ascii="Consolas" w:hAnsi="Consolas"/>
      <w:sz w:val="20"/>
      <w:szCs w:val="20"/>
    </w:rPr>
  </w:style>
  <w:style w:type="character" w:styleId="HTMLCite">
    <w:name w:val="HTML Cite"/>
    <w:basedOn w:val="DefaultParagraphFont"/>
    <w:uiPriority w:val="99"/>
    <w:semiHidden/>
    <w:unhideWhenUsed/>
    <w:rsid w:val="00151DC1"/>
    <w:rPr>
      <w:i/>
      <w:iCs/>
    </w:rPr>
  </w:style>
  <w:style w:type="paragraph" w:styleId="HTMLAddress">
    <w:name w:val="HTML Address"/>
    <w:basedOn w:val="Normal"/>
    <w:link w:val="HTMLAddressChar"/>
    <w:uiPriority w:val="99"/>
    <w:semiHidden/>
    <w:unhideWhenUsed/>
    <w:rsid w:val="00151DC1"/>
    <w:pPr>
      <w:spacing w:before="0" w:after="0" w:line="240" w:lineRule="auto"/>
    </w:pPr>
    <w:rPr>
      <w:rFonts w:eastAsia="Times New Roman"/>
      <w:i/>
      <w:iCs/>
      <w:sz w:val="26"/>
    </w:rPr>
  </w:style>
  <w:style w:type="character" w:customStyle="1" w:styleId="HTMLAddressChar">
    <w:name w:val="HTML Address Char"/>
    <w:basedOn w:val="DefaultParagraphFont"/>
    <w:link w:val="HTMLAddress"/>
    <w:uiPriority w:val="99"/>
    <w:semiHidden/>
    <w:rsid w:val="00151DC1"/>
    <w:rPr>
      <w:rFonts w:ascii="Times New Roman" w:eastAsia="Times New Roman" w:hAnsi="Times New Roman" w:cs="Times New Roman"/>
      <w:i/>
      <w:iCs/>
      <w:sz w:val="26"/>
      <w:szCs w:val="24"/>
      <w:lang w:eastAsia="en-GB"/>
    </w:rPr>
  </w:style>
  <w:style w:type="character" w:styleId="HTMLAcronym">
    <w:name w:val="HTML Acronym"/>
    <w:basedOn w:val="DefaultParagraphFont"/>
    <w:uiPriority w:val="99"/>
    <w:semiHidden/>
    <w:unhideWhenUsed/>
    <w:rsid w:val="00151DC1"/>
  </w:style>
  <w:style w:type="paragraph" w:styleId="PlainText">
    <w:name w:val="Plain Text"/>
    <w:basedOn w:val="Normal"/>
    <w:link w:val="PlainTextChar"/>
    <w:uiPriority w:val="99"/>
    <w:semiHidden/>
    <w:unhideWhenUsed/>
    <w:rsid w:val="00151DC1"/>
    <w:pPr>
      <w:spacing w:before="0" w:after="0" w:line="240" w:lineRule="auto"/>
    </w:pPr>
    <w:rPr>
      <w:rFonts w:ascii="Consolas" w:eastAsia="Times New Roman" w:hAnsi="Consolas"/>
      <w:sz w:val="21"/>
      <w:szCs w:val="21"/>
    </w:rPr>
  </w:style>
  <w:style w:type="character" w:customStyle="1" w:styleId="PlainTextChar">
    <w:name w:val="Plain Text Char"/>
    <w:basedOn w:val="DefaultParagraphFont"/>
    <w:link w:val="PlainText"/>
    <w:uiPriority w:val="99"/>
    <w:semiHidden/>
    <w:rsid w:val="00151DC1"/>
    <w:rPr>
      <w:rFonts w:ascii="Consolas" w:eastAsia="Times New Roman" w:hAnsi="Consolas" w:cs="Times New Roman"/>
      <w:sz w:val="21"/>
      <w:szCs w:val="21"/>
      <w:lang w:eastAsia="en-GB"/>
    </w:rPr>
  </w:style>
  <w:style w:type="paragraph" w:styleId="DocumentMap">
    <w:name w:val="Document Map"/>
    <w:basedOn w:val="Normal"/>
    <w:link w:val="DocumentMapChar"/>
    <w:uiPriority w:val="99"/>
    <w:semiHidden/>
    <w:unhideWhenUsed/>
    <w:rsid w:val="00151DC1"/>
    <w:pPr>
      <w:spacing w:before="0" w:after="0" w:line="240" w:lineRule="auto"/>
    </w:pPr>
    <w:rPr>
      <w:rFonts w:ascii="Segoe UI" w:eastAsia="Times New Roman" w:hAnsi="Segoe UI" w:cs="Segoe UI"/>
      <w:sz w:val="16"/>
      <w:szCs w:val="16"/>
    </w:rPr>
  </w:style>
  <w:style w:type="character" w:customStyle="1" w:styleId="DocumentMapChar">
    <w:name w:val="Document Map Char"/>
    <w:basedOn w:val="DefaultParagraphFont"/>
    <w:link w:val="DocumentMap"/>
    <w:uiPriority w:val="99"/>
    <w:semiHidden/>
    <w:rsid w:val="00151DC1"/>
    <w:rPr>
      <w:rFonts w:ascii="Segoe UI" w:eastAsia="Times New Roman" w:hAnsi="Segoe UI" w:cs="Segoe UI"/>
      <w:sz w:val="16"/>
      <w:szCs w:val="16"/>
      <w:lang w:eastAsia="en-GB"/>
    </w:rPr>
  </w:style>
  <w:style w:type="character" w:styleId="Emphasis">
    <w:name w:val="Emphasis"/>
    <w:basedOn w:val="DefaultParagraphFont"/>
    <w:uiPriority w:val="20"/>
    <w:qFormat/>
    <w:rsid w:val="00151DC1"/>
    <w:rPr>
      <w:i/>
      <w:iCs/>
    </w:rPr>
  </w:style>
  <w:style w:type="paragraph" w:customStyle="1" w:styleId="BlockText1">
    <w:name w:val="Block Text1"/>
    <w:basedOn w:val="Normal"/>
    <w:next w:val="BlockText"/>
    <w:uiPriority w:val="99"/>
    <w:semiHidden/>
    <w:unhideWhenUsed/>
    <w:locked/>
    <w:rsid w:val="00151DC1"/>
    <w:pPr>
      <w:pBdr>
        <w:top w:val="single" w:sz="2" w:space="10" w:color="4F81BD"/>
        <w:left w:val="single" w:sz="2" w:space="10" w:color="4F81BD"/>
        <w:bottom w:val="single" w:sz="2" w:space="10" w:color="4F81BD"/>
        <w:right w:val="single" w:sz="2" w:space="10" w:color="4F81BD"/>
      </w:pBdr>
      <w:spacing w:after="0"/>
      <w:ind w:left="1152" w:right="1152"/>
    </w:pPr>
    <w:rPr>
      <w:rFonts w:ascii="Calibri" w:eastAsia="Times New Roman" w:hAnsi="Calibri"/>
      <w:i/>
      <w:iCs/>
      <w:color w:val="4F81BD"/>
      <w:sz w:val="26"/>
    </w:rPr>
  </w:style>
  <w:style w:type="paragraph" w:styleId="BodyTextIndent3">
    <w:name w:val="Body Text Indent 3"/>
    <w:basedOn w:val="Normal"/>
    <w:link w:val="BodyTextIndent3Char"/>
    <w:uiPriority w:val="99"/>
    <w:semiHidden/>
    <w:unhideWhenUsed/>
    <w:rsid w:val="00151DC1"/>
    <w:pPr>
      <w:ind w:left="283"/>
    </w:pPr>
    <w:rPr>
      <w:rFonts w:eastAsia="Times New Roman"/>
      <w:sz w:val="16"/>
      <w:szCs w:val="16"/>
    </w:rPr>
  </w:style>
  <w:style w:type="character" w:customStyle="1" w:styleId="BodyTextIndent3Char">
    <w:name w:val="Body Text Indent 3 Char"/>
    <w:basedOn w:val="DefaultParagraphFont"/>
    <w:link w:val="BodyTextIndent3"/>
    <w:uiPriority w:val="99"/>
    <w:semiHidden/>
    <w:rsid w:val="00151DC1"/>
    <w:rPr>
      <w:rFonts w:ascii="Times New Roman" w:eastAsia="Times New Roman" w:hAnsi="Times New Roman" w:cs="Times New Roman"/>
      <w:sz w:val="16"/>
      <w:szCs w:val="16"/>
      <w:lang w:eastAsia="en-GB"/>
    </w:rPr>
  </w:style>
  <w:style w:type="paragraph" w:styleId="BodyTextIndent2">
    <w:name w:val="Body Text Indent 2"/>
    <w:basedOn w:val="Normal"/>
    <w:link w:val="BodyTextIndent2Char"/>
    <w:uiPriority w:val="99"/>
    <w:semiHidden/>
    <w:unhideWhenUsed/>
    <w:rsid w:val="00151DC1"/>
    <w:pPr>
      <w:spacing w:line="480" w:lineRule="auto"/>
      <w:ind w:left="283"/>
    </w:pPr>
    <w:rPr>
      <w:rFonts w:eastAsia="Times New Roman"/>
      <w:sz w:val="26"/>
    </w:rPr>
  </w:style>
  <w:style w:type="character" w:customStyle="1" w:styleId="BodyTextIndent2Char">
    <w:name w:val="Body Text Indent 2 Char"/>
    <w:basedOn w:val="DefaultParagraphFont"/>
    <w:link w:val="BodyTextIndent2"/>
    <w:uiPriority w:val="99"/>
    <w:semiHidden/>
    <w:rsid w:val="00151DC1"/>
    <w:rPr>
      <w:rFonts w:ascii="Times New Roman" w:eastAsia="Times New Roman" w:hAnsi="Times New Roman" w:cs="Times New Roman"/>
      <w:sz w:val="26"/>
      <w:szCs w:val="24"/>
      <w:lang w:eastAsia="en-GB"/>
    </w:rPr>
  </w:style>
  <w:style w:type="paragraph" w:styleId="BodyText3">
    <w:name w:val="Body Text 3"/>
    <w:basedOn w:val="Normal"/>
    <w:link w:val="BodyText3Char"/>
    <w:uiPriority w:val="99"/>
    <w:semiHidden/>
    <w:unhideWhenUsed/>
    <w:rsid w:val="00151DC1"/>
    <w:rPr>
      <w:rFonts w:eastAsia="Times New Roman"/>
      <w:sz w:val="16"/>
      <w:szCs w:val="16"/>
    </w:rPr>
  </w:style>
  <w:style w:type="character" w:customStyle="1" w:styleId="BodyText3Char">
    <w:name w:val="Body Text 3 Char"/>
    <w:basedOn w:val="DefaultParagraphFont"/>
    <w:link w:val="BodyText3"/>
    <w:uiPriority w:val="99"/>
    <w:semiHidden/>
    <w:rsid w:val="00151DC1"/>
    <w:rPr>
      <w:rFonts w:ascii="Times New Roman" w:eastAsia="Times New Roman" w:hAnsi="Times New Roman" w:cs="Times New Roman"/>
      <w:sz w:val="16"/>
      <w:szCs w:val="16"/>
      <w:lang w:eastAsia="en-GB"/>
    </w:rPr>
  </w:style>
  <w:style w:type="paragraph" w:styleId="BodyText2">
    <w:name w:val="Body Text 2"/>
    <w:basedOn w:val="Normal"/>
    <w:link w:val="BodyText2Char"/>
    <w:uiPriority w:val="99"/>
    <w:semiHidden/>
    <w:unhideWhenUsed/>
    <w:rsid w:val="00151DC1"/>
    <w:pPr>
      <w:spacing w:line="480" w:lineRule="auto"/>
    </w:pPr>
    <w:rPr>
      <w:rFonts w:eastAsia="Times New Roman"/>
      <w:sz w:val="26"/>
    </w:rPr>
  </w:style>
  <w:style w:type="character" w:customStyle="1" w:styleId="BodyText2Char">
    <w:name w:val="Body Text 2 Char"/>
    <w:basedOn w:val="DefaultParagraphFont"/>
    <w:link w:val="BodyText2"/>
    <w:uiPriority w:val="99"/>
    <w:semiHidden/>
    <w:rsid w:val="00151DC1"/>
    <w:rPr>
      <w:rFonts w:ascii="Times New Roman" w:eastAsia="Times New Roman" w:hAnsi="Times New Roman" w:cs="Times New Roman"/>
      <w:sz w:val="26"/>
      <w:szCs w:val="24"/>
      <w:lang w:eastAsia="en-GB"/>
    </w:rPr>
  </w:style>
  <w:style w:type="paragraph" w:styleId="NoteHeading">
    <w:name w:val="Note Heading"/>
    <w:basedOn w:val="Normal"/>
    <w:next w:val="Normal"/>
    <w:link w:val="NoteHeadingChar"/>
    <w:uiPriority w:val="99"/>
    <w:semiHidden/>
    <w:unhideWhenUsed/>
    <w:rsid w:val="00151DC1"/>
    <w:pPr>
      <w:spacing w:before="0" w:after="0" w:line="240" w:lineRule="auto"/>
    </w:pPr>
    <w:rPr>
      <w:rFonts w:eastAsia="Times New Roman"/>
      <w:sz w:val="26"/>
    </w:rPr>
  </w:style>
  <w:style w:type="character" w:customStyle="1" w:styleId="NoteHeadingChar">
    <w:name w:val="Note Heading Char"/>
    <w:basedOn w:val="DefaultParagraphFont"/>
    <w:link w:val="NoteHeading"/>
    <w:uiPriority w:val="99"/>
    <w:semiHidden/>
    <w:rsid w:val="00151DC1"/>
    <w:rPr>
      <w:rFonts w:ascii="Times New Roman" w:eastAsia="Times New Roman" w:hAnsi="Times New Roman" w:cs="Times New Roman"/>
      <w:sz w:val="26"/>
      <w:szCs w:val="24"/>
      <w:lang w:eastAsia="en-GB"/>
    </w:rPr>
  </w:style>
  <w:style w:type="paragraph" w:styleId="BodyTextIndent">
    <w:name w:val="Body Text Indent"/>
    <w:basedOn w:val="Normal"/>
    <w:link w:val="BodyTextIndentChar"/>
    <w:uiPriority w:val="99"/>
    <w:semiHidden/>
    <w:unhideWhenUsed/>
    <w:rsid w:val="00151DC1"/>
    <w:pPr>
      <w:ind w:left="283"/>
    </w:pPr>
    <w:rPr>
      <w:rFonts w:eastAsia="Times New Roman"/>
      <w:sz w:val="26"/>
    </w:rPr>
  </w:style>
  <w:style w:type="character" w:customStyle="1" w:styleId="BodyTextIndentChar">
    <w:name w:val="Body Text Indent Char"/>
    <w:basedOn w:val="DefaultParagraphFont"/>
    <w:link w:val="BodyTextIndent"/>
    <w:uiPriority w:val="99"/>
    <w:semiHidden/>
    <w:rsid w:val="00151DC1"/>
    <w:rPr>
      <w:rFonts w:ascii="Times New Roman" w:eastAsia="Times New Roman" w:hAnsi="Times New Roman" w:cs="Times New Roman"/>
      <w:sz w:val="26"/>
      <w:szCs w:val="24"/>
      <w:lang w:eastAsia="en-GB"/>
    </w:rPr>
  </w:style>
  <w:style w:type="paragraph" w:styleId="BodyTextFirstIndent2">
    <w:name w:val="Body Text First Indent 2"/>
    <w:basedOn w:val="BodyTextIndent"/>
    <w:link w:val="BodyTextFirstIndent2Char"/>
    <w:uiPriority w:val="99"/>
    <w:semiHidden/>
    <w:unhideWhenUsed/>
    <w:rsid w:val="00151DC1"/>
    <w:pPr>
      <w:spacing w:after="0"/>
      <w:ind w:left="360" w:firstLine="360"/>
    </w:pPr>
  </w:style>
  <w:style w:type="character" w:customStyle="1" w:styleId="BodyTextFirstIndent2Char">
    <w:name w:val="Body Text First Indent 2 Char"/>
    <w:basedOn w:val="BodyTextIndentChar"/>
    <w:link w:val="BodyTextFirstIndent2"/>
    <w:uiPriority w:val="99"/>
    <w:semiHidden/>
    <w:rsid w:val="00151DC1"/>
    <w:rPr>
      <w:rFonts w:ascii="Times New Roman" w:eastAsia="Times New Roman" w:hAnsi="Times New Roman" w:cs="Times New Roman"/>
      <w:sz w:val="26"/>
      <w:szCs w:val="24"/>
      <w:lang w:eastAsia="en-GB"/>
    </w:rPr>
  </w:style>
  <w:style w:type="paragraph" w:styleId="BodyText">
    <w:name w:val="Body Text"/>
    <w:basedOn w:val="Normal"/>
    <w:link w:val="BodyTextChar"/>
    <w:uiPriority w:val="99"/>
    <w:semiHidden/>
    <w:unhideWhenUsed/>
    <w:rsid w:val="00151DC1"/>
    <w:rPr>
      <w:rFonts w:eastAsia="Times New Roman"/>
      <w:sz w:val="26"/>
    </w:rPr>
  </w:style>
  <w:style w:type="character" w:customStyle="1" w:styleId="BodyTextChar">
    <w:name w:val="Body Text Char"/>
    <w:basedOn w:val="DefaultParagraphFont"/>
    <w:link w:val="BodyText"/>
    <w:uiPriority w:val="99"/>
    <w:semiHidden/>
    <w:rsid w:val="00151DC1"/>
    <w:rPr>
      <w:rFonts w:ascii="Times New Roman" w:eastAsia="Times New Roman" w:hAnsi="Times New Roman" w:cs="Times New Roman"/>
      <w:sz w:val="26"/>
      <w:szCs w:val="24"/>
      <w:lang w:eastAsia="en-GB"/>
    </w:rPr>
  </w:style>
  <w:style w:type="paragraph" w:styleId="BodyTextFirstIndent">
    <w:name w:val="Body Text First Indent"/>
    <w:basedOn w:val="BodyText"/>
    <w:link w:val="BodyTextFirstIndentChar"/>
    <w:uiPriority w:val="99"/>
    <w:semiHidden/>
    <w:unhideWhenUsed/>
    <w:rsid w:val="00151DC1"/>
    <w:pPr>
      <w:spacing w:after="0"/>
      <w:ind w:firstLine="360"/>
    </w:pPr>
  </w:style>
  <w:style w:type="character" w:customStyle="1" w:styleId="BodyTextFirstIndentChar">
    <w:name w:val="Body Text First Indent Char"/>
    <w:basedOn w:val="BodyTextChar"/>
    <w:link w:val="BodyTextFirstIndent"/>
    <w:uiPriority w:val="99"/>
    <w:semiHidden/>
    <w:rsid w:val="00151DC1"/>
    <w:rPr>
      <w:rFonts w:ascii="Times New Roman" w:eastAsia="Times New Roman" w:hAnsi="Times New Roman" w:cs="Times New Roman"/>
      <w:sz w:val="26"/>
      <w:szCs w:val="24"/>
      <w:lang w:eastAsia="en-GB"/>
    </w:rPr>
  </w:style>
  <w:style w:type="paragraph" w:styleId="Date">
    <w:name w:val="Date"/>
    <w:basedOn w:val="Normal"/>
    <w:next w:val="Normal"/>
    <w:link w:val="DateChar"/>
    <w:uiPriority w:val="99"/>
    <w:semiHidden/>
    <w:unhideWhenUsed/>
    <w:rsid w:val="00151DC1"/>
    <w:pPr>
      <w:spacing w:after="0"/>
    </w:pPr>
    <w:rPr>
      <w:rFonts w:eastAsia="Times New Roman"/>
      <w:sz w:val="26"/>
    </w:rPr>
  </w:style>
  <w:style w:type="character" w:customStyle="1" w:styleId="DateChar">
    <w:name w:val="Date Char"/>
    <w:basedOn w:val="DefaultParagraphFont"/>
    <w:link w:val="Date"/>
    <w:uiPriority w:val="99"/>
    <w:semiHidden/>
    <w:rsid w:val="00151DC1"/>
    <w:rPr>
      <w:rFonts w:ascii="Times New Roman" w:eastAsia="Times New Roman" w:hAnsi="Times New Roman" w:cs="Times New Roman"/>
      <w:sz w:val="26"/>
      <w:szCs w:val="24"/>
      <w:lang w:eastAsia="en-GB"/>
    </w:rPr>
  </w:style>
  <w:style w:type="paragraph" w:styleId="Salutation">
    <w:name w:val="Salutation"/>
    <w:basedOn w:val="Normal"/>
    <w:next w:val="Normal"/>
    <w:link w:val="SalutationChar"/>
    <w:uiPriority w:val="99"/>
    <w:semiHidden/>
    <w:unhideWhenUsed/>
    <w:rsid w:val="00151DC1"/>
    <w:pPr>
      <w:spacing w:after="0"/>
    </w:pPr>
    <w:rPr>
      <w:rFonts w:eastAsia="Times New Roman"/>
      <w:sz w:val="26"/>
    </w:rPr>
  </w:style>
  <w:style w:type="character" w:customStyle="1" w:styleId="SalutationChar">
    <w:name w:val="Salutation Char"/>
    <w:basedOn w:val="DefaultParagraphFont"/>
    <w:link w:val="Salutation"/>
    <w:uiPriority w:val="99"/>
    <w:semiHidden/>
    <w:rsid w:val="00151DC1"/>
    <w:rPr>
      <w:rFonts w:ascii="Times New Roman" w:eastAsia="Times New Roman" w:hAnsi="Times New Roman" w:cs="Times New Roman"/>
      <w:sz w:val="26"/>
      <w:szCs w:val="24"/>
      <w:lang w:eastAsia="en-GB"/>
    </w:rPr>
  </w:style>
  <w:style w:type="paragraph" w:customStyle="1" w:styleId="MessageHeader1">
    <w:name w:val="Message Header1"/>
    <w:basedOn w:val="Normal"/>
    <w:next w:val="MessageHeader"/>
    <w:link w:val="MessageHeaderChar"/>
    <w:uiPriority w:val="99"/>
    <w:semiHidden/>
    <w:unhideWhenUsed/>
    <w:locked/>
    <w:rsid w:val="00151DC1"/>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Cambria" w:eastAsia="Times New Roman" w:hAnsi="Cambria"/>
      <w:lang w:eastAsia="de-DE"/>
    </w:rPr>
  </w:style>
  <w:style w:type="character" w:customStyle="1" w:styleId="MessageHeaderChar">
    <w:name w:val="Message Header Char"/>
    <w:basedOn w:val="DefaultParagraphFont"/>
    <w:link w:val="MessageHeader1"/>
    <w:uiPriority w:val="99"/>
    <w:semiHidden/>
    <w:rsid w:val="00151DC1"/>
    <w:rPr>
      <w:rFonts w:ascii="Cambria" w:eastAsia="Times New Roman" w:hAnsi="Cambria" w:cs="Times New Roman"/>
      <w:sz w:val="24"/>
      <w:szCs w:val="24"/>
      <w:shd w:val="pct20" w:color="auto" w:fill="auto"/>
      <w:lang w:val="en-GB" w:eastAsia="de-DE"/>
    </w:rPr>
  </w:style>
  <w:style w:type="paragraph" w:styleId="ListContinue5">
    <w:name w:val="List Continue 5"/>
    <w:basedOn w:val="Normal"/>
    <w:uiPriority w:val="99"/>
    <w:semiHidden/>
    <w:unhideWhenUsed/>
    <w:rsid w:val="00151DC1"/>
    <w:pPr>
      <w:ind w:left="1415"/>
      <w:contextualSpacing/>
    </w:pPr>
    <w:rPr>
      <w:rFonts w:eastAsia="Times New Roman"/>
      <w:sz w:val="26"/>
    </w:rPr>
  </w:style>
  <w:style w:type="paragraph" w:styleId="ListContinue4">
    <w:name w:val="List Continue 4"/>
    <w:basedOn w:val="Normal"/>
    <w:uiPriority w:val="99"/>
    <w:semiHidden/>
    <w:unhideWhenUsed/>
    <w:rsid w:val="00151DC1"/>
    <w:pPr>
      <w:ind w:left="1132"/>
      <w:contextualSpacing/>
    </w:pPr>
    <w:rPr>
      <w:rFonts w:eastAsia="Times New Roman"/>
      <w:sz w:val="26"/>
    </w:rPr>
  </w:style>
  <w:style w:type="paragraph" w:styleId="ListContinue3">
    <w:name w:val="List Continue 3"/>
    <w:basedOn w:val="Normal"/>
    <w:uiPriority w:val="99"/>
    <w:semiHidden/>
    <w:unhideWhenUsed/>
    <w:rsid w:val="00151DC1"/>
    <w:pPr>
      <w:ind w:left="849"/>
      <w:contextualSpacing/>
    </w:pPr>
    <w:rPr>
      <w:rFonts w:eastAsia="Times New Roman"/>
      <w:sz w:val="26"/>
    </w:rPr>
  </w:style>
  <w:style w:type="paragraph" w:styleId="ListContinue2">
    <w:name w:val="List Continue 2"/>
    <w:basedOn w:val="Normal"/>
    <w:uiPriority w:val="99"/>
    <w:semiHidden/>
    <w:unhideWhenUsed/>
    <w:rsid w:val="00151DC1"/>
    <w:pPr>
      <w:ind w:left="566"/>
      <w:contextualSpacing/>
    </w:pPr>
    <w:rPr>
      <w:rFonts w:eastAsia="Times New Roman"/>
      <w:sz w:val="26"/>
    </w:rPr>
  </w:style>
  <w:style w:type="paragraph" w:styleId="ListContinue">
    <w:name w:val="List Continue"/>
    <w:basedOn w:val="Normal"/>
    <w:uiPriority w:val="99"/>
    <w:semiHidden/>
    <w:unhideWhenUsed/>
    <w:rsid w:val="00151DC1"/>
    <w:pPr>
      <w:ind w:left="283"/>
      <w:contextualSpacing/>
    </w:pPr>
    <w:rPr>
      <w:rFonts w:eastAsia="Times New Roman"/>
      <w:sz w:val="26"/>
    </w:rPr>
  </w:style>
  <w:style w:type="paragraph" w:styleId="Signature">
    <w:name w:val="Signature"/>
    <w:basedOn w:val="Normal"/>
    <w:link w:val="SignatureChar"/>
    <w:uiPriority w:val="99"/>
    <w:semiHidden/>
    <w:unhideWhenUsed/>
    <w:rsid w:val="00151DC1"/>
    <w:pPr>
      <w:spacing w:before="0" w:after="0" w:line="240" w:lineRule="auto"/>
      <w:ind w:left="4252"/>
    </w:pPr>
    <w:rPr>
      <w:rFonts w:eastAsia="Times New Roman"/>
      <w:sz w:val="26"/>
    </w:rPr>
  </w:style>
  <w:style w:type="character" w:customStyle="1" w:styleId="SignatureChar">
    <w:name w:val="Signature Char"/>
    <w:basedOn w:val="DefaultParagraphFont"/>
    <w:link w:val="Signature"/>
    <w:uiPriority w:val="99"/>
    <w:semiHidden/>
    <w:rsid w:val="00151DC1"/>
    <w:rPr>
      <w:rFonts w:ascii="Times New Roman" w:eastAsia="Times New Roman" w:hAnsi="Times New Roman" w:cs="Times New Roman"/>
      <w:sz w:val="26"/>
      <w:szCs w:val="24"/>
      <w:lang w:eastAsia="en-GB"/>
    </w:rPr>
  </w:style>
  <w:style w:type="paragraph" w:styleId="Closing">
    <w:name w:val="Closing"/>
    <w:basedOn w:val="Normal"/>
    <w:link w:val="ClosingChar"/>
    <w:uiPriority w:val="99"/>
    <w:semiHidden/>
    <w:unhideWhenUsed/>
    <w:rsid w:val="00151DC1"/>
    <w:pPr>
      <w:spacing w:before="0" w:after="0" w:line="240" w:lineRule="auto"/>
      <w:ind w:left="4252"/>
    </w:pPr>
    <w:rPr>
      <w:rFonts w:eastAsia="Times New Roman"/>
      <w:sz w:val="26"/>
    </w:rPr>
  </w:style>
  <w:style w:type="character" w:customStyle="1" w:styleId="ClosingChar">
    <w:name w:val="Closing Char"/>
    <w:basedOn w:val="DefaultParagraphFont"/>
    <w:link w:val="Closing"/>
    <w:uiPriority w:val="99"/>
    <w:semiHidden/>
    <w:rsid w:val="00151DC1"/>
    <w:rPr>
      <w:rFonts w:ascii="Times New Roman" w:eastAsia="Times New Roman" w:hAnsi="Times New Roman" w:cs="Times New Roman"/>
      <w:sz w:val="26"/>
      <w:szCs w:val="24"/>
      <w:lang w:eastAsia="en-GB"/>
    </w:rPr>
  </w:style>
  <w:style w:type="paragraph" w:styleId="ListNumber5">
    <w:name w:val="List Number 5"/>
    <w:basedOn w:val="Normal"/>
    <w:uiPriority w:val="99"/>
    <w:semiHidden/>
    <w:unhideWhenUsed/>
    <w:rsid w:val="00151DC1"/>
    <w:pPr>
      <w:numPr>
        <w:numId w:val="22"/>
      </w:numPr>
      <w:spacing w:after="0"/>
      <w:contextualSpacing/>
    </w:pPr>
    <w:rPr>
      <w:rFonts w:eastAsia="Times New Roman"/>
      <w:sz w:val="26"/>
    </w:rPr>
  </w:style>
  <w:style w:type="paragraph" w:styleId="ListNumber4">
    <w:name w:val="List Number 4"/>
    <w:basedOn w:val="Normal"/>
    <w:uiPriority w:val="99"/>
    <w:semiHidden/>
    <w:unhideWhenUsed/>
    <w:rsid w:val="00151DC1"/>
    <w:pPr>
      <w:numPr>
        <w:numId w:val="23"/>
      </w:numPr>
      <w:spacing w:after="0"/>
      <w:contextualSpacing/>
    </w:pPr>
    <w:rPr>
      <w:rFonts w:eastAsia="Times New Roman"/>
      <w:sz w:val="26"/>
    </w:rPr>
  </w:style>
  <w:style w:type="paragraph" w:styleId="ListNumber3">
    <w:name w:val="List Number 3"/>
    <w:basedOn w:val="Normal"/>
    <w:uiPriority w:val="99"/>
    <w:semiHidden/>
    <w:unhideWhenUsed/>
    <w:rsid w:val="00151DC1"/>
    <w:pPr>
      <w:numPr>
        <w:numId w:val="24"/>
      </w:numPr>
      <w:spacing w:after="0"/>
      <w:contextualSpacing/>
    </w:pPr>
    <w:rPr>
      <w:rFonts w:eastAsia="Times New Roman"/>
      <w:sz w:val="26"/>
    </w:rPr>
  </w:style>
  <w:style w:type="paragraph" w:styleId="ListNumber2">
    <w:name w:val="List Number 2"/>
    <w:basedOn w:val="Normal"/>
    <w:uiPriority w:val="99"/>
    <w:semiHidden/>
    <w:unhideWhenUsed/>
    <w:rsid w:val="00151DC1"/>
    <w:pPr>
      <w:numPr>
        <w:numId w:val="25"/>
      </w:numPr>
      <w:spacing w:after="0"/>
      <w:contextualSpacing/>
    </w:pPr>
    <w:rPr>
      <w:rFonts w:eastAsia="Times New Roman"/>
      <w:sz w:val="26"/>
    </w:rPr>
  </w:style>
  <w:style w:type="paragraph" w:styleId="ListBullet5">
    <w:name w:val="List Bullet 5"/>
    <w:basedOn w:val="Normal"/>
    <w:uiPriority w:val="99"/>
    <w:semiHidden/>
    <w:unhideWhenUsed/>
    <w:rsid w:val="00151DC1"/>
    <w:pPr>
      <w:numPr>
        <w:numId w:val="26"/>
      </w:numPr>
      <w:spacing w:after="0"/>
      <w:contextualSpacing/>
    </w:pPr>
    <w:rPr>
      <w:rFonts w:eastAsia="Times New Roman"/>
      <w:sz w:val="26"/>
    </w:rPr>
  </w:style>
  <w:style w:type="paragraph" w:styleId="ListBullet4">
    <w:name w:val="List Bullet 4"/>
    <w:basedOn w:val="Normal"/>
    <w:uiPriority w:val="99"/>
    <w:semiHidden/>
    <w:unhideWhenUsed/>
    <w:rsid w:val="00151DC1"/>
    <w:pPr>
      <w:numPr>
        <w:numId w:val="27"/>
      </w:numPr>
      <w:spacing w:after="0"/>
      <w:contextualSpacing/>
    </w:pPr>
    <w:rPr>
      <w:rFonts w:eastAsia="Times New Roman"/>
      <w:sz w:val="26"/>
    </w:rPr>
  </w:style>
  <w:style w:type="paragraph" w:styleId="ListBullet3">
    <w:name w:val="List Bullet 3"/>
    <w:basedOn w:val="Normal"/>
    <w:uiPriority w:val="99"/>
    <w:semiHidden/>
    <w:unhideWhenUsed/>
    <w:rsid w:val="00151DC1"/>
    <w:pPr>
      <w:numPr>
        <w:numId w:val="28"/>
      </w:numPr>
      <w:spacing w:after="0"/>
      <w:contextualSpacing/>
    </w:pPr>
    <w:rPr>
      <w:rFonts w:eastAsia="Times New Roman"/>
      <w:sz w:val="26"/>
    </w:rPr>
  </w:style>
  <w:style w:type="paragraph" w:styleId="ListBullet2">
    <w:name w:val="List Bullet 2"/>
    <w:basedOn w:val="Normal"/>
    <w:uiPriority w:val="99"/>
    <w:semiHidden/>
    <w:unhideWhenUsed/>
    <w:rsid w:val="00151DC1"/>
    <w:pPr>
      <w:numPr>
        <w:numId w:val="29"/>
      </w:numPr>
      <w:spacing w:after="0"/>
      <w:contextualSpacing/>
    </w:pPr>
    <w:rPr>
      <w:rFonts w:eastAsia="Times New Roman"/>
      <w:sz w:val="26"/>
    </w:rPr>
  </w:style>
  <w:style w:type="paragraph" w:styleId="List5">
    <w:name w:val="List 5"/>
    <w:basedOn w:val="Normal"/>
    <w:uiPriority w:val="99"/>
    <w:semiHidden/>
    <w:unhideWhenUsed/>
    <w:rsid w:val="00151DC1"/>
    <w:pPr>
      <w:spacing w:after="0"/>
      <w:ind w:left="1415" w:hanging="283"/>
      <w:contextualSpacing/>
    </w:pPr>
    <w:rPr>
      <w:rFonts w:eastAsia="Times New Roman"/>
      <w:sz w:val="26"/>
    </w:rPr>
  </w:style>
  <w:style w:type="paragraph" w:styleId="List4">
    <w:name w:val="List 4"/>
    <w:basedOn w:val="Normal"/>
    <w:uiPriority w:val="99"/>
    <w:semiHidden/>
    <w:unhideWhenUsed/>
    <w:rsid w:val="00151DC1"/>
    <w:pPr>
      <w:spacing w:after="0"/>
      <w:ind w:left="1132" w:hanging="283"/>
      <w:contextualSpacing/>
    </w:pPr>
    <w:rPr>
      <w:rFonts w:eastAsia="Times New Roman"/>
      <w:sz w:val="26"/>
    </w:rPr>
  </w:style>
  <w:style w:type="paragraph" w:styleId="List3">
    <w:name w:val="List 3"/>
    <w:basedOn w:val="Normal"/>
    <w:uiPriority w:val="99"/>
    <w:semiHidden/>
    <w:unhideWhenUsed/>
    <w:rsid w:val="00151DC1"/>
    <w:pPr>
      <w:spacing w:after="0"/>
      <w:ind w:left="849" w:hanging="283"/>
      <w:contextualSpacing/>
    </w:pPr>
    <w:rPr>
      <w:rFonts w:eastAsia="Times New Roman"/>
      <w:sz w:val="26"/>
    </w:rPr>
  </w:style>
  <w:style w:type="paragraph" w:styleId="List2">
    <w:name w:val="List 2"/>
    <w:basedOn w:val="Normal"/>
    <w:uiPriority w:val="99"/>
    <w:semiHidden/>
    <w:unhideWhenUsed/>
    <w:rsid w:val="00151DC1"/>
    <w:pPr>
      <w:spacing w:after="0"/>
      <w:ind w:left="566" w:hanging="283"/>
      <w:contextualSpacing/>
    </w:pPr>
    <w:rPr>
      <w:rFonts w:eastAsia="Times New Roman"/>
      <w:sz w:val="26"/>
    </w:rPr>
  </w:style>
  <w:style w:type="paragraph" w:styleId="ListNumber">
    <w:name w:val="List Number"/>
    <w:basedOn w:val="Normal"/>
    <w:uiPriority w:val="99"/>
    <w:semiHidden/>
    <w:unhideWhenUsed/>
    <w:rsid w:val="00151DC1"/>
    <w:pPr>
      <w:numPr>
        <w:numId w:val="30"/>
      </w:numPr>
      <w:spacing w:after="0"/>
      <w:contextualSpacing/>
    </w:pPr>
    <w:rPr>
      <w:rFonts w:eastAsia="Times New Roman"/>
      <w:sz w:val="26"/>
    </w:rPr>
  </w:style>
  <w:style w:type="paragraph" w:styleId="ListBullet">
    <w:name w:val="List Bullet"/>
    <w:basedOn w:val="Normal"/>
    <w:uiPriority w:val="99"/>
    <w:semiHidden/>
    <w:unhideWhenUsed/>
    <w:rsid w:val="00151DC1"/>
    <w:pPr>
      <w:numPr>
        <w:numId w:val="31"/>
      </w:numPr>
      <w:spacing w:after="0"/>
      <w:contextualSpacing/>
    </w:pPr>
    <w:rPr>
      <w:rFonts w:eastAsia="Times New Roman"/>
      <w:sz w:val="26"/>
    </w:rPr>
  </w:style>
  <w:style w:type="paragraph" w:styleId="List">
    <w:name w:val="List"/>
    <w:basedOn w:val="Normal"/>
    <w:uiPriority w:val="99"/>
    <w:semiHidden/>
    <w:unhideWhenUsed/>
    <w:rsid w:val="00151DC1"/>
    <w:pPr>
      <w:spacing w:after="0"/>
      <w:ind w:left="283" w:hanging="283"/>
      <w:contextualSpacing/>
    </w:pPr>
    <w:rPr>
      <w:rFonts w:eastAsia="Times New Roman"/>
      <w:sz w:val="26"/>
    </w:rPr>
  </w:style>
  <w:style w:type="paragraph" w:customStyle="1" w:styleId="TOAHeading1">
    <w:name w:val="TOA Heading1"/>
    <w:basedOn w:val="Normal"/>
    <w:next w:val="Normal"/>
    <w:uiPriority w:val="99"/>
    <w:semiHidden/>
    <w:unhideWhenUsed/>
    <w:locked/>
    <w:rsid w:val="00151DC1"/>
    <w:pPr>
      <w:spacing w:after="0"/>
    </w:pPr>
    <w:rPr>
      <w:rFonts w:ascii="Cambria" w:eastAsia="Times New Roman" w:hAnsi="Cambria"/>
      <w:b/>
      <w:bCs/>
    </w:rPr>
  </w:style>
  <w:style w:type="paragraph" w:styleId="MacroText">
    <w:name w:val="macro"/>
    <w:link w:val="MacroTextChar"/>
    <w:uiPriority w:val="99"/>
    <w:semiHidden/>
    <w:unhideWhenUsed/>
    <w:rsid w:val="00151DC1"/>
    <w:pPr>
      <w:tabs>
        <w:tab w:val="left" w:pos="480"/>
        <w:tab w:val="left" w:pos="960"/>
        <w:tab w:val="left" w:pos="1440"/>
        <w:tab w:val="left" w:pos="1920"/>
        <w:tab w:val="left" w:pos="2400"/>
        <w:tab w:val="left" w:pos="2880"/>
        <w:tab w:val="left" w:pos="3360"/>
        <w:tab w:val="left" w:pos="3840"/>
        <w:tab w:val="left" w:pos="4320"/>
      </w:tabs>
      <w:spacing w:before="120" w:after="0" w:line="288" w:lineRule="auto"/>
      <w:jc w:val="both"/>
    </w:pPr>
    <w:rPr>
      <w:rFonts w:ascii="Consolas" w:eastAsia="Times New Roman" w:hAnsi="Consolas" w:cs="Times New Roman"/>
      <w:sz w:val="20"/>
      <w:szCs w:val="20"/>
      <w:lang w:eastAsia="de-DE"/>
    </w:rPr>
  </w:style>
  <w:style w:type="character" w:customStyle="1" w:styleId="MacroTextChar">
    <w:name w:val="Macro Text Char"/>
    <w:basedOn w:val="DefaultParagraphFont"/>
    <w:link w:val="MacroText"/>
    <w:uiPriority w:val="99"/>
    <w:semiHidden/>
    <w:rsid w:val="00151DC1"/>
    <w:rPr>
      <w:rFonts w:ascii="Consolas" w:eastAsia="Times New Roman" w:hAnsi="Consolas" w:cs="Times New Roman"/>
      <w:sz w:val="20"/>
      <w:szCs w:val="20"/>
      <w:lang w:eastAsia="de-DE"/>
    </w:rPr>
  </w:style>
  <w:style w:type="paragraph" w:styleId="TableofAuthorities">
    <w:name w:val="table of authorities"/>
    <w:basedOn w:val="Normal"/>
    <w:next w:val="Normal"/>
    <w:uiPriority w:val="99"/>
    <w:semiHidden/>
    <w:unhideWhenUsed/>
    <w:rsid w:val="00151DC1"/>
    <w:pPr>
      <w:spacing w:after="0"/>
      <w:ind w:left="220" w:hanging="220"/>
    </w:pPr>
    <w:rPr>
      <w:rFonts w:eastAsia="Times New Roman"/>
      <w:sz w:val="26"/>
    </w:rPr>
  </w:style>
  <w:style w:type="paragraph" w:styleId="EndnoteText">
    <w:name w:val="endnote text"/>
    <w:basedOn w:val="Normal"/>
    <w:link w:val="EndnoteTextChar"/>
    <w:uiPriority w:val="99"/>
    <w:semiHidden/>
    <w:unhideWhenUsed/>
    <w:rsid w:val="00151DC1"/>
    <w:pPr>
      <w:spacing w:before="0" w:after="0" w:line="240" w:lineRule="auto"/>
    </w:pPr>
    <w:rPr>
      <w:rFonts w:eastAsia="Times New Roman"/>
      <w:sz w:val="20"/>
      <w:szCs w:val="20"/>
    </w:rPr>
  </w:style>
  <w:style w:type="character" w:customStyle="1" w:styleId="EndnoteTextChar">
    <w:name w:val="Endnote Text Char"/>
    <w:basedOn w:val="DefaultParagraphFont"/>
    <w:link w:val="EndnoteText"/>
    <w:uiPriority w:val="99"/>
    <w:semiHidden/>
    <w:rsid w:val="00151DC1"/>
    <w:rPr>
      <w:rFonts w:ascii="Times New Roman" w:eastAsia="Times New Roman" w:hAnsi="Times New Roman" w:cs="Times New Roman"/>
      <w:sz w:val="20"/>
      <w:szCs w:val="20"/>
      <w:lang w:eastAsia="en-GB"/>
    </w:rPr>
  </w:style>
  <w:style w:type="character" w:styleId="LineNumber">
    <w:name w:val="line number"/>
    <w:basedOn w:val="DefaultParagraphFont"/>
    <w:uiPriority w:val="99"/>
    <w:semiHidden/>
    <w:unhideWhenUsed/>
    <w:rsid w:val="00151DC1"/>
  </w:style>
  <w:style w:type="paragraph" w:customStyle="1" w:styleId="EnvelopeReturn1">
    <w:name w:val="Envelope Return1"/>
    <w:basedOn w:val="Normal"/>
    <w:next w:val="EnvelopeReturn"/>
    <w:uiPriority w:val="99"/>
    <w:semiHidden/>
    <w:unhideWhenUsed/>
    <w:locked/>
    <w:rsid w:val="00151DC1"/>
    <w:pPr>
      <w:spacing w:before="0" w:after="0" w:line="240" w:lineRule="auto"/>
    </w:pPr>
    <w:rPr>
      <w:rFonts w:ascii="Cambria" w:eastAsia="Times New Roman" w:hAnsi="Cambria"/>
      <w:sz w:val="20"/>
      <w:szCs w:val="20"/>
    </w:rPr>
  </w:style>
  <w:style w:type="paragraph" w:customStyle="1" w:styleId="EnvelopeAddress1">
    <w:name w:val="Envelope Address1"/>
    <w:basedOn w:val="Normal"/>
    <w:next w:val="EnvelopeAddress"/>
    <w:uiPriority w:val="99"/>
    <w:semiHidden/>
    <w:unhideWhenUsed/>
    <w:locked/>
    <w:rsid w:val="00151DC1"/>
    <w:pPr>
      <w:framePr w:w="7920" w:h="1980" w:hRule="exact" w:hSpace="180" w:wrap="auto" w:hAnchor="page" w:xAlign="center" w:yAlign="bottom"/>
      <w:spacing w:before="0" w:after="0" w:line="240" w:lineRule="auto"/>
      <w:ind w:left="2880"/>
    </w:pPr>
    <w:rPr>
      <w:rFonts w:ascii="Cambria" w:eastAsia="Times New Roman" w:hAnsi="Cambria"/>
    </w:rPr>
  </w:style>
  <w:style w:type="paragraph" w:customStyle="1" w:styleId="IndexHeading1">
    <w:name w:val="Index Heading1"/>
    <w:basedOn w:val="Normal"/>
    <w:next w:val="Index1"/>
    <w:uiPriority w:val="99"/>
    <w:semiHidden/>
    <w:unhideWhenUsed/>
    <w:locked/>
    <w:rsid w:val="00151DC1"/>
    <w:pPr>
      <w:spacing w:after="0"/>
    </w:pPr>
    <w:rPr>
      <w:rFonts w:ascii="Cambria" w:eastAsia="Times New Roman" w:hAnsi="Cambria"/>
      <w:b/>
      <w:bCs/>
      <w:sz w:val="26"/>
    </w:rPr>
  </w:style>
  <w:style w:type="paragraph" w:styleId="NormalIndent">
    <w:name w:val="Normal Indent"/>
    <w:basedOn w:val="Normal"/>
    <w:uiPriority w:val="99"/>
    <w:semiHidden/>
    <w:unhideWhenUsed/>
    <w:rsid w:val="00151DC1"/>
    <w:pPr>
      <w:spacing w:after="0"/>
      <w:ind w:left="708"/>
    </w:pPr>
    <w:rPr>
      <w:rFonts w:eastAsia="Times New Roman"/>
      <w:sz w:val="26"/>
    </w:rPr>
  </w:style>
  <w:style w:type="paragraph" w:styleId="Index9">
    <w:name w:val="index 9"/>
    <w:basedOn w:val="Normal"/>
    <w:next w:val="Normal"/>
    <w:autoRedefine/>
    <w:uiPriority w:val="99"/>
    <w:semiHidden/>
    <w:unhideWhenUsed/>
    <w:rsid w:val="00151DC1"/>
    <w:pPr>
      <w:spacing w:before="0" w:after="0" w:line="240" w:lineRule="auto"/>
      <w:ind w:left="1980" w:hanging="220"/>
    </w:pPr>
    <w:rPr>
      <w:rFonts w:eastAsia="Times New Roman"/>
      <w:sz w:val="26"/>
    </w:rPr>
  </w:style>
  <w:style w:type="paragraph" w:styleId="Index8">
    <w:name w:val="index 8"/>
    <w:basedOn w:val="Normal"/>
    <w:next w:val="Normal"/>
    <w:autoRedefine/>
    <w:uiPriority w:val="99"/>
    <w:semiHidden/>
    <w:unhideWhenUsed/>
    <w:rsid w:val="00151DC1"/>
    <w:pPr>
      <w:spacing w:before="0" w:after="0" w:line="240" w:lineRule="auto"/>
      <w:ind w:left="1760" w:hanging="220"/>
    </w:pPr>
    <w:rPr>
      <w:rFonts w:eastAsia="Times New Roman"/>
      <w:sz w:val="26"/>
    </w:rPr>
  </w:style>
  <w:style w:type="paragraph" w:styleId="Index7">
    <w:name w:val="index 7"/>
    <w:basedOn w:val="Normal"/>
    <w:next w:val="Normal"/>
    <w:autoRedefine/>
    <w:uiPriority w:val="99"/>
    <w:semiHidden/>
    <w:unhideWhenUsed/>
    <w:rsid w:val="00151DC1"/>
    <w:pPr>
      <w:spacing w:before="0" w:after="0" w:line="240" w:lineRule="auto"/>
      <w:ind w:left="1540" w:hanging="220"/>
    </w:pPr>
    <w:rPr>
      <w:rFonts w:eastAsia="Times New Roman"/>
      <w:sz w:val="26"/>
    </w:rPr>
  </w:style>
  <w:style w:type="paragraph" w:styleId="Index6">
    <w:name w:val="index 6"/>
    <w:basedOn w:val="Normal"/>
    <w:next w:val="Normal"/>
    <w:autoRedefine/>
    <w:uiPriority w:val="99"/>
    <w:semiHidden/>
    <w:unhideWhenUsed/>
    <w:rsid w:val="00151DC1"/>
    <w:pPr>
      <w:spacing w:before="0" w:after="0" w:line="240" w:lineRule="auto"/>
      <w:ind w:left="1320" w:hanging="220"/>
    </w:pPr>
    <w:rPr>
      <w:rFonts w:eastAsia="Times New Roman"/>
      <w:sz w:val="26"/>
    </w:rPr>
  </w:style>
  <w:style w:type="paragraph" w:styleId="Index5">
    <w:name w:val="index 5"/>
    <w:basedOn w:val="Normal"/>
    <w:next w:val="Normal"/>
    <w:autoRedefine/>
    <w:uiPriority w:val="99"/>
    <w:semiHidden/>
    <w:unhideWhenUsed/>
    <w:rsid w:val="00151DC1"/>
    <w:pPr>
      <w:spacing w:before="0" w:after="0" w:line="240" w:lineRule="auto"/>
      <w:ind w:left="1100" w:hanging="220"/>
    </w:pPr>
    <w:rPr>
      <w:rFonts w:eastAsia="Times New Roman"/>
      <w:sz w:val="26"/>
    </w:rPr>
  </w:style>
  <w:style w:type="paragraph" w:styleId="Index4">
    <w:name w:val="index 4"/>
    <w:basedOn w:val="Normal"/>
    <w:next w:val="Normal"/>
    <w:autoRedefine/>
    <w:uiPriority w:val="99"/>
    <w:semiHidden/>
    <w:unhideWhenUsed/>
    <w:rsid w:val="00151DC1"/>
    <w:pPr>
      <w:spacing w:before="0" w:after="0" w:line="240" w:lineRule="auto"/>
      <w:ind w:left="880" w:hanging="220"/>
    </w:pPr>
    <w:rPr>
      <w:rFonts w:eastAsia="Times New Roman"/>
      <w:sz w:val="26"/>
    </w:rPr>
  </w:style>
  <w:style w:type="paragraph" w:styleId="Index3">
    <w:name w:val="index 3"/>
    <w:basedOn w:val="Normal"/>
    <w:next w:val="Normal"/>
    <w:autoRedefine/>
    <w:uiPriority w:val="99"/>
    <w:semiHidden/>
    <w:unhideWhenUsed/>
    <w:rsid w:val="00151DC1"/>
    <w:pPr>
      <w:spacing w:before="0" w:after="0" w:line="240" w:lineRule="auto"/>
      <w:ind w:left="660" w:hanging="220"/>
    </w:pPr>
    <w:rPr>
      <w:rFonts w:eastAsia="Times New Roman"/>
      <w:sz w:val="26"/>
    </w:rPr>
  </w:style>
  <w:style w:type="character" w:customStyle="1" w:styleId="detail">
    <w:name w:val="detail"/>
    <w:basedOn w:val="DefaultParagraphFont"/>
    <w:rsid w:val="00151DC1"/>
  </w:style>
  <w:style w:type="table" w:customStyle="1" w:styleId="TableGrid1">
    <w:name w:val="Table Grid1"/>
    <w:basedOn w:val="TableNormal"/>
    <w:next w:val="TableGrid"/>
    <w:uiPriority w:val="39"/>
    <w:locked/>
    <w:rsid w:val="00151DC1"/>
    <w:pPr>
      <w:spacing w:after="0" w:line="240" w:lineRule="auto"/>
    </w:pPr>
    <w:rPr>
      <w:rFonts w:ascii="Times New Roman" w:eastAsia="Times New Roman" w:hAnsi="Times New Roman" w:cs="Times New Roman"/>
      <w:lang w:val="de-AT"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TableNormal"/>
    <w:next w:val="PlainTable5"/>
    <w:uiPriority w:val="45"/>
    <w:rsid w:val="00151DC1"/>
    <w:pPr>
      <w:spacing w:after="0" w:line="240" w:lineRule="auto"/>
    </w:pPr>
    <w:rPr>
      <w:rFonts w:ascii="Times New Roman" w:eastAsia="Times New Roman" w:hAnsi="Times New Roman" w:cs="Times New Roman"/>
      <w:lang w:val="de-AT" w:eastAsia="de-AT"/>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
    <w:name w:val="Grid Table 1 Light1"/>
    <w:basedOn w:val="TableNormal"/>
    <w:next w:val="GridTable1Light"/>
    <w:uiPriority w:val="46"/>
    <w:rsid w:val="00151DC1"/>
    <w:pPr>
      <w:spacing w:after="0" w:line="240" w:lineRule="auto"/>
    </w:pPr>
    <w:rPr>
      <w:rFonts w:ascii="Times New Roman" w:eastAsia="Times New Roman" w:hAnsi="Times New Roman" w:cs="Times New Roman"/>
      <w:lang w:val="de-AT" w:eastAsia="de-AT"/>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Light1">
    <w:name w:val="Table Grid Light1"/>
    <w:basedOn w:val="TableNormal"/>
    <w:next w:val="TableGridLight"/>
    <w:uiPriority w:val="40"/>
    <w:rsid w:val="00151DC1"/>
    <w:pPr>
      <w:spacing w:after="0" w:line="240" w:lineRule="auto"/>
    </w:pPr>
    <w:rPr>
      <w:rFonts w:ascii="Times New Roman" w:eastAsia="Times New Roman" w:hAnsi="Times New Roman" w:cs="Times New Roman"/>
      <w:lang w:val="de-AT" w:eastAsia="de-A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151DC1"/>
    <w:pPr>
      <w:spacing w:after="0" w:line="240" w:lineRule="auto"/>
    </w:pPr>
    <w:rPr>
      <w:rFonts w:ascii="Times New Roman" w:eastAsia="Times New Roman" w:hAnsi="Times New Roman" w:cs="Times New Roman"/>
      <w:lang w:val="de-AT" w:eastAsia="de-AT"/>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CitaviBibliographySubheading1">
    <w:name w:val="Citavi Bibliography Subheading 1"/>
    <w:basedOn w:val="Heading2"/>
    <w:link w:val="CitaviBibliographySubheading1Char"/>
    <w:rsid w:val="00151DC1"/>
    <w:pPr>
      <w:numPr>
        <w:ilvl w:val="0"/>
        <w:numId w:val="0"/>
      </w:numPr>
      <w:spacing w:before="40" w:line="259" w:lineRule="auto"/>
      <w:jc w:val="left"/>
      <w:outlineLvl w:val="9"/>
    </w:pPr>
    <w:rPr>
      <w:rFonts w:ascii="Cambria" w:hAnsi="Cambria"/>
      <w:color w:val="365F91"/>
      <w:lang w:val="en-US" w:eastAsia="en-US"/>
    </w:rPr>
  </w:style>
  <w:style w:type="character" w:customStyle="1" w:styleId="CitaviBibliographySubheading1Char">
    <w:name w:val="Citavi Bibliography Subheading 1 Char"/>
    <w:basedOn w:val="DefaultParagraphFont"/>
    <w:link w:val="CitaviBibliographySubheading1"/>
    <w:rsid w:val="00151DC1"/>
    <w:rPr>
      <w:rFonts w:ascii="Cambria" w:eastAsiaTheme="majorEastAsia" w:hAnsi="Cambria" w:cstheme="majorBidi"/>
      <w:color w:val="365F91"/>
      <w:sz w:val="26"/>
      <w:szCs w:val="26"/>
      <w:lang w:val="en-US"/>
    </w:rPr>
  </w:style>
  <w:style w:type="paragraph" w:customStyle="1" w:styleId="CitaviBibliographySubheading2">
    <w:name w:val="Citavi Bibliography Subheading 2"/>
    <w:basedOn w:val="Heading3"/>
    <w:link w:val="CitaviBibliographySubheading2Char"/>
    <w:rsid w:val="00151DC1"/>
    <w:pPr>
      <w:spacing w:before="40" w:line="259" w:lineRule="auto"/>
      <w:jc w:val="left"/>
      <w:outlineLvl w:val="9"/>
    </w:pPr>
    <w:rPr>
      <w:rFonts w:ascii="Cambria" w:hAnsi="Cambria"/>
      <w:b w:val="0"/>
      <w:color w:val="243F60"/>
      <w:sz w:val="26"/>
      <w:lang w:val="en-US" w:eastAsia="en-US"/>
    </w:rPr>
  </w:style>
  <w:style w:type="character" w:customStyle="1" w:styleId="CitaviBibliographySubheading2Char">
    <w:name w:val="Citavi Bibliography Subheading 2 Char"/>
    <w:basedOn w:val="DefaultParagraphFont"/>
    <w:link w:val="CitaviBibliographySubheading2"/>
    <w:rsid w:val="00151DC1"/>
    <w:rPr>
      <w:rFonts w:ascii="Cambria" w:eastAsiaTheme="majorEastAsia" w:hAnsi="Cambria" w:cstheme="majorBidi"/>
      <w:color w:val="243F60"/>
      <w:sz w:val="26"/>
      <w:szCs w:val="24"/>
      <w:lang w:val="en-US"/>
    </w:rPr>
  </w:style>
  <w:style w:type="paragraph" w:customStyle="1" w:styleId="CitaviBibliographySubheading3">
    <w:name w:val="Citavi Bibliography Subheading 3"/>
    <w:basedOn w:val="Heading4"/>
    <w:link w:val="CitaviBibliographySubheading3Char"/>
    <w:rsid w:val="00151DC1"/>
    <w:pPr>
      <w:spacing w:line="259" w:lineRule="auto"/>
      <w:jc w:val="left"/>
      <w:outlineLvl w:val="9"/>
    </w:pPr>
    <w:rPr>
      <w:b/>
      <w:i w:val="0"/>
      <w:sz w:val="26"/>
      <w:szCs w:val="22"/>
      <w:lang w:val="en-US" w:eastAsia="en-US"/>
    </w:rPr>
  </w:style>
  <w:style w:type="character" w:customStyle="1" w:styleId="CitaviBibliographySubheading3Char">
    <w:name w:val="Citavi Bibliography Subheading 3 Char"/>
    <w:basedOn w:val="DefaultParagraphFont"/>
    <w:link w:val="CitaviBibliographySubheading3"/>
    <w:rsid w:val="00151DC1"/>
    <w:rPr>
      <w:rFonts w:asciiTheme="majorHAnsi" w:eastAsiaTheme="majorEastAsia" w:hAnsiTheme="majorHAnsi" w:cstheme="majorBidi"/>
      <w:b/>
      <w:iCs/>
      <w:color w:val="2F5496" w:themeColor="accent1" w:themeShade="BF"/>
      <w:sz w:val="26"/>
      <w:lang w:val="en-US"/>
    </w:rPr>
  </w:style>
  <w:style w:type="paragraph" w:customStyle="1" w:styleId="CitaviBibliographySubheading4">
    <w:name w:val="Citavi Bibliography Subheading 4"/>
    <w:basedOn w:val="Heading5"/>
    <w:link w:val="CitaviBibliographySubheading4Char"/>
    <w:rsid w:val="00151DC1"/>
    <w:pPr>
      <w:spacing w:line="259" w:lineRule="auto"/>
      <w:jc w:val="left"/>
      <w:outlineLvl w:val="9"/>
    </w:pPr>
    <w:rPr>
      <w:sz w:val="22"/>
      <w:szCs w:val="22"/>
      <w:lang w:val="en-US" w:eastAsia="en-US"/>
    </w:rPr>
  </w:style>
  <w:style w:type="character" w:customStyle="1" w:styleId="CitaviBibliographySubheading4Char">
    <w:name w:val="Citavi Bibliography Subheading 4 Char"/>
    <w:basedOn w:val="DefaultParagraphFont"/>
    <w:link w:val="CitaviBibliographySubheading4"/>
    <w:rsid w:val="00151DC1"/>
    <w:rPr>
      <w:rFonts w:asciiTheme="majorHAnsi" w:eastAsiaTheme="majorEastAsia" w:hAnsiTheme="majorHAnsi" w:cstheme="majorBidi"/>
      <w:color w:val="2F5496" w:themeColor="accent1" w:themeShade="BF"/>
      <w:lang w:val="en-US"/>
    </w:rPr>
  </w:style>
  <w:style w:type="paragraph" w:customStyle="1" w:styleId="CitaviBibliographySubheading5">
    <w:name w:val="Citavi Bibliography Subheading 5"/>
    <w:basedOn w:val="Heading6"/>
    <w:link w:val="CitaviBibliographySubheading5Char"/>
    <w:rsid w:val="00151DC1"/>
    <w:pPr>
      <w:spacing w:line="259" w:lineRule="auto"/>
      <w:jc w:val="left"/>
      <w:outlineLvl w:val="9"/>
    </w:pPr>
    <w:rPr>
      <w:sz w:val="26"/>
      <w:szCs w:val="22"/>
      <w:lang w:val="en-US" w:eastAsia="en-US"/>
    </w:rPr>
  </w:style>
  <w:style w:type="character" w:customStyle="1" w:styleId="CitaviBibliographySubheading5Char">
    <w:name w:val="Citavi Bibliography Subheading 5 Char"/>
    <w:basedOn w:val="DefaultParagraphFont"/>
    <w:link w:val="CitaviBibliographySubheading5"/>
    <w:rsid w:val="00151DC1"/>
    <w:rPr>
      <w:rFonts w:asciiTheme="majorHAnsi" w:eastAsiaTheme="majorEastAsia" w:hAnsiTheme="majorHAnsi" w:cstheme="majorBidi"/>
      <w:color w:val="1F3763" w:themeColor="accent1" w:themeShade="7F"/>
      <w:sz w:val="26"/>
      <w:lang w:val="en-US"/>
    </w:rPr>
  </w:style>
  <w:style w:type="paragraph" w:customStyle="1" w:styleId="CitaviBibliographySubheading6">
    <w:name w:val="Citavi Bibliography Subheading 6"/>
    <w:basedOn w:val="Heading7"/>
    <w:link w:val="CitaviBibliographySubheading6Char"/>
    <w:rsid w:val="00151DC1"/>
    <w:pPr>
      <w:keepNext/>
      <w:keepLines/>
      <w:tabs>
        <w:tab w:val="clear" w:pos="1296"/>
      </w:tabs>
      <w:spacing w:before="40" w:after="0" w:line="259" w:lineRule="auto"/>
      <w:ind w:left="0" w:firstLine="0"/>
      <w:jc w:val="left"/>
      <w:outlineLvl w:val="9"/>
    </w:pPr>
    <w:rPr>
      <w:rFonts w:ascii="Cambria" w:hAnsi="Cambria"/>
      <w:i/>
      <w:iCs/>
      <w:color w:val="243F60"/>
      <w:sz w:val="22"/>
      <w:szCs w:val="22"/>
      <w:lang w:val="en-US" w:eastAsia="en-US"/>
    </w:rPr>
  </w:style>
  <w:style w:type="character" w:customStyle="1" w:styleId="CitaviBibliographySubheading6Char">
    <w:name w:val="Citavi Bibliography Subheading 6 Char"/>
    <w:basedOn w:val="DefaultParagraphFont"/>
    <w:link w:val="CitaviBibliographySubheading6"/>
    <w:rsid w:val="00151DC1"/>
    <w:rPr>
      <w:rFonts w:ascii="Cambria" w:eastAsia="Times New Roman" w:hAnsi="Cambria" w:cs="Times New Roman"/>
      <w:i/>
      <w:iCs/>
      <w:color w:val="243F60"/>
      <w:lang w:val="en-US"/>
    </w:rPr>
  </w:style>
  <w:style w:type="paragraph" w:customStyle="1" w:styleId="CitaviBibliographySubheading7">
    <w:name w:val="Citavi Bibliography Subheading 7"/>
    <w:basedOn w:val="Heading8"/>
    <w:link w:val="CitaviBibliographySubheading7Char"/>
    <w:rsid w:val="00151DC1"/>
    <w:pPr>
      <w:keepNext/>
      <w:keepLines/>
      <w:tabs>
        <w:tab w:val="clear" w:pos="1440"/>
      </w:tabs>
      <w:spacing w:before="40" w:after="0" w:line="259" w:lineRule="auto"/>
      <w:ind w:left="0" w:firstLine="0"/>
      <w:jc w:val="left"/>
      <w:outlineLvl w:val="9"/>
    </w:pPr>
    <w:rPr>
      <w:rFonts w:ascii="Cambria" w:hAnsi="Cambria"/>
      <w:i w:val="0"/>
      <w:iCs w:val="0"/>
      <w:color w:val="272727"/>
      <w:sz w:val="21"/>
      <w:szCs w:val="21"/>
      <w:lang w:val="en-US" w:eastAsia="en-US"/>
    </w:rPr>
  </w:style>
  <w:style w:type="character" w:customStyle="1" w:styleId="CitaviBibliographySubheading7Char">
    <w:name w:val="Citavi Bibliography Subheading 7 Char"/>
    <w:basedOn w:val="DefaultParagraphFont"/>
    <w:link w:val="CitaviBibliographySubheading7"/>
    <w:rsid w:val="00151DC1"/>
    <w:rPr>
      <w:rFonts w:ascii="Cambria" w:eastAsia="Times New Roman" w:hAnsi="Cambria" w:cs="Times New Roman"/>
      <w:color w:val="272727"/>
      <w:sz w:val="21"/>
      <w:szCs w:val="21"/>
      <w:lang w:val="en-US"/>
    </w:rPr>
  </w:style>
  <w:style w:type="paragraph" w:customStyle="1" w:styleId="CitaviBibliographySubheading8">
    <w:name w:val="Citavi Bibliography Subheading 8"/>
    <w:basedOn w:val="Heading9"/>
    <w:link w:val="CitaviBibliographySubheading8Char"/>
    <w:rsid w:val="00151DC1"/>
    <w:pPr>
      <w:keepNext/>
      <w:keepLines/>
      <w:tabs>
        <w:tab w:val="clear" w:pos="1584"/>
      </w:tabs>
      <w:spacing w:before="40" w:after="0" w:line="259" w:lineRule="auto"/>
      <w:ind w:left="0" w:firstLine="0"/>
      <w:jc w:val="left"/>
      <w:outlineLvl w:val="9"/>
    </w:pPr>
    <w:rPr>
      <w:rFonts w:ascii="Cambria" w:hAnsi="Cambria" w:cs="Times New Roman"/>
      <w:i/>
      <w:iCs/>
      <w:color w:val="272727"/>
      <w:sz w:val="21"/>
      <w:szCs w:val="21"/>
      <w:lang w:val="en-US" w:eastAsia="en-US"/>
    </w:rPr>
  </w:style>
  <w:style w:type="character" w:customStyle="1" w:styleId="CitaviBibliographySubheading8Char">
    <w:name w:val="Citavi Bibliography Subheading 8 Char"/>
    <w:basedOn w:val="DefaultParagraphFont"/>
    <w:link w:val="CitaviBibliographySubheading8"/>
    <w:rsid w:val="00151DC1"/>
    <w:rPr>
      <w:rFonts w:ascii="Cambria" w:eastAsia="Times New Roman" w:hAnsi="Cambria" w:cs="Times New Roman"/>
      <w:i/>
      <w:iCs/>
      <w:color w:val="272727"/>
      <w:sz w:val="21"/>
      <w:szCs w:val="21"/>
      <w:lang w:val="en-US"/>
    </w:rPr>
  </w:style>
  <w:style w:type="character" w:customStyle="1" w:styleId="shorttext">
    <w:name w:val="short_text"/>
    <w:basedOn w:val="DefaultParagraphFont"/>
    <w:rsid w:val="00151DC1"/>
  </w:style>
  <w:style w:type="paragraph" w:customStyle="1" w:styleId="textbox">
    <w:name w:val="textbox"/>
    <w:basedOn w:val="Normal"/>
    <w:rsid w:val="00151DC1"/>
    <w:pPr>
      <w:spacing w:before="100" w:beforeAutospacing="1" w:after="100" w:afterAutospacing="1" w:line="240" w:lineRule="auto"/>
      <w:jc w:val="left"/>
    </w:pPr>
    <w:rPr>
      <w:rFonts w:eastAsia="Times New Roman"/>
    </w:rPr>
  </w:style>
  <w:style w:type="paragraph" w:customStyle="1" w:styleId="HeadingstyleA">
    <w:name w:val="Heading style A"/>
    <w:basedOn w:val="Normal"/>
    <w:next w:val="Normal"/>
    <w:qFormat/>
    <w:rsid w:val="00151DC1"/>
    <w:pPr>
      <w:spacing w:before="600" w:after="240" w:line="240" w:lineRule="auto"/>
      <w:jc w:val="left"/>
    </w:pPr>
    <w:rPr>
      <w:rFonts w:eastAsia="Times New Roman"/>
      <w:b/>
      <w:szCs w:val="20"/>
      <w:lang w:eastAsia="en-US"/>
    </w:rPr>
  </w:style>
  <w:style w:type="paragraph" w:customStyle="1" w:styleId="BodyTextRDM">
    <w:name w:val="Body Text R&amp;DM"/>
    <w:basedOn w:val="Normal"/>
    <w:rsid w:val="00151DC1"/>
    <w:pPr>
      <w:widowControl w:val="0"/>
      <w:spacing w:before="0" w:after="0" w:line="240" w:lineRule="exact"/>
      <w:ind w:firstLine="227"/>
    </w:pPr>
    <w:rPr>
      <w:rFonts w:eastAsia="Times New Roman"/>
      <w:sz w:val="20"/>
      <w:szCs w:val="20"/>
      <w:lang w:eastAsia="en-US"/>
    </w:rPr>
  </w:style>
  <w:style w:type="paragraph" w:customStyle="1" w:styleId="berschrift11">
    <w:name w:val="Überschrift 11"/>
    <w:basedOn w:val="Normal"/>
    <w:next w:val="Text"/>
    <w:rsid w:val="00151DC1"/>
    <w:pPr>
      <w:spacing w:before="0" w:after="240" w:line="480" w:lineRule="auto"/>
      <w:jc w:val="left"/>
    </w:pPr>
    <w:rPr>
      <w:rFonts w:eastAsia="Times New Roman"/>
      <w:b/>
      <w:sz w:val="36"/>
      <w:szCs w:val="20"/>
      <w:lang w:eastAsia="ko-KR"/>
    </w:rPr>
  </w:style>
  <w:style w:type="paragraph" w:customStyle="1" w:styleId="Text">
    <w:name w:val="Text"/>
    <w:basedOn w:val="Normal"/>
    <w:rsid w:val="00151DC1"/>
    <w:pPr>
      <w:spacing w:before="0" w:line="480" w:lineRule="auto"/>
      <w:jc w:val="left"/>
    </w:pPr>
    <w:rPr>
      <w:rFonts w:eastAsia="Times New Roman"/>
      <w:sz w:val="20"/>
      <w:szCs w:val="20"/>
      <w:lang w:val="en-US" w:eastAsia="ko-KR"/>
    </w:rPr>
  </w:style>
  <w:style w:type="paragraph" w:customStyle="1" w:styleId="heading10">
    <w:name w:val="heading1"/>
    <w:basedOn w:val="Heading1"/>
    <w:next w:val="Normal"/>
    <w:rsid w:val="00151DC1"/>
    <w:pPr>
      <w:numPr>
        <w:numId w:val="37"/>
      </w:numPr>
      <w:suppressAutoHyphens/>
      <w:overflowPunct w:val="0"/>
      <w:autoSpaceDE w:val="0"/>
      <w:autoSpaceDN w:val="0"/>
      <w:adjustRightInd w:val="0"/>
      <w:spacing w:before="360" w:after="120" w:line="300" w:lineRule="atLeast"/>
      <w:jc w:val="left"/>
      <w:textAlignment w:val="baseline"/>
    </w:pPr>
    <w:rPr>
      <w:rFonts w:eastAsia="Times New Roman" w:cs="Times New Roman"/>
      <w:b/>
      <w:bCs/>
      <w:sz w:val="24"/>
      <w:szCs w:val="20"/>
      <w:lang w:val="en-US" w:eastAsia="de-DE"/>
    </w:rPr>
  </w:style>
  <w:style w:type="paragraph" w:customStyle="1" w:styleId="heading20">
    <w:name w:val="heading2"/>
    <w:basedOn w:val="Heading2"/>
    <w:next w:val="Normal"/>
    <w:rsid w:val="00151DC1"/>
    <w:pPr>
      <w:numPr>
        <w:numId w:val="37"/>
      </w:numPr>
      <w:suppressAutoHyphens/>
      <w:overflowPunct w:val="0"/>
      <w:autoSpaceDE w:val="0"/>
      <w:autoSpaceDN w:val="0"/>
      <w:adjustRightInd w:val="0"/>
      <w:spacing w:before="360" w:after="160" w:line="240" w:lineRule="atLeast"/>
      <w:textAlignment w:val="baseline"/>
    </w:pPr>
    <w:rPr>
      <w:rFonts w:eastAsia="Times New Roman" w:cs="Times New Roman"/>
      <w:b/>
      <w:bCs/>
      <w:iCs/>
      <w:color w:val="auto"/>
      <w:sz w:val="20"/>
      <w:szCs w:val="20"/>
      <w:lang w:val="en-US" w:eastAsia="de-DE"/>
    </w:rPr>
  </w:style>
  <w:style w:type="numbering" w:customStyle="1" w:styleId="headings">
    <w:name w:val="headings"/>
    <w:basedOn w:val="NoList"/>
    <w:rsid w:val="00151DC1"/>
    <w:pPr>
      <w:numPr>
        <w:numId w:val="37"/>
      </w:numPr>
    </w:pPr>
  </w:style>
  <w:style w:type="paragraph" w:customStyle="1" w:styleId="Tabelle">
    <w:name w:val="Tabelle"/>
    <w:basedOn w:val="Normal"/>
    <w:link w:val="TabelleZchn"/>
    <w:qFormat/>
    <w:rsid w:val="00151DC1"/>
    <w:pPr>
      <w:spacing w:before="0" w:after="0" w:line="264" w:lineRule="auto"/>
      <w:contextualSpacing/>
      <w:jc w:val="center"/>
    </w:pPr>
    <w:rPr>
      <w:rFonts w:eastAsia="SimSun" w:cs="Calibri"/>
      <w:color w:val="000000"/>
      <w:sz w:val="20"/>
      <w:szCs w:val="20"/>
      <w:lang w:val="en-US" w:eastAsia="zh-CN"/>
    </w:rPr>
  </w:style>
  <w:style w:type="character" w:customStyle="1" w:styleId="TabelleZchn">
    <w:name w:val="Tabelle Zchn"/>
    <w:basedOn w:val="DefaultParagraphFont"/>
    <w:link w:val="Tabelle"/>
    <w:rsid w:val="00151DC1"/>
    <w:rPr>
      <w:rFonts w:ascii="Times New Roman" w:eastAsia="SimSun" w:hAnsi="Times New Roman" w:cs="Calibri"/>
      <w:color w:val="000000"/>
      <w:sz w:val="20"/>
      <w:szCs w:val="20"/>
      <w:lang w:val="en-US" w:eastAsia="zh-CN"/>
    </w:rPr>
  </w:style>
  <w:style w:type="paragraph" w:customStyle="1" w:styleId="bulletitem">
    <w:name w:val="bulletitem"/>
    <w:basedOn w:val="Normal"/>
    <w:qFormat/>
    <w:rsid w:val="00151DC1"/>
    <w:pPr>
      <w:numPr>
        <w:numId w:val="39"/>
      </w:numPr>
      <w:overflowPunct w:val="0"/>
      <w:autoSpaceDE w:val="0"/>
      <w:autoSpaceDN w:val="0"/>
      <w:adjustRightInd w:val="0"/>
      <w:spacing w:before="160" w:after="240" w:line="240" w:lineRule="atLeast"/>
      <w:textAlignment w:val="baseline"/>
    </w:pPr>
    <w:rPr>
      <w:rFonts w:eastAsia="Times New Roman"/>
      <w:sz w:val="22"/>
      <w:szCs w:val="20"/>
      <w:lang w:val="en-US" w:eastAsia="de-DE"/>
    </w:rPr>
  </w:style>
  <w:style w:type="numbering" w:customStyle="1" w:styleId="itemization1">
    <w:name w:val="itemization1"/>
    <w:basedOn w:val="NoList"/>
    <w:rsid w:val="00151DC1"/>
    <w:pPr>
      <w:numPr>
        <w:numId w:val="39"/>
      </w:numPr>
    </w:pPr>
  </w:style>
  <w:style w:type="numbering" w:customStyle="1" w:styleId="1111111">
    <w:name w:val="1 / 1.1 / 1.1.11"/>
    <w:basedOn w:val="NoList"/>
    <w:next w:val="111111"/>
    <w:uiPriority w:val="99"/>
    <w:semiHidden/>
    <w:unhideWhenUsed/>
    <w:locked/>
    <w:rsid w:val="00151DC1"/>
  </w:style>
  <w:style w:type="numbering" w:customStyle="1" w:styleId="Style8import">
    <w:name w:val="Style 8 importé"/>
    <w:rsid w:val="00151DC1"/>
    <w:pPr>
      <w:numPr>
        <w:numId w:val="46"/>
      </w:numPr>
    </w:pPr>
  </w:style>
  <w:style w:type="character" w:customStyle="1" w:styleId="Hyperlink3">
    <w:name w:val="Hyperlink.3"/>
    <w:basedOn w:val="DefaultParagraphFont"/>
    <w:rsid w:val="00151DC1"/>
    <w:rPr>
      <w:rFonts w:ascii="Times New Roman" w:eastAsia="Times New Roman" w:hAnsi="Times New Roman" w:cs="Times New Roman"/>
      <w:color w:val="0563C1"/>
      <w:u w:val="none" w:color="0563C1"/>
    </w:rPr>
  </w:style>
  <w:style w:type="numbering" w:customStyle="1" w:styleId="Style12import">
    <w:name w:val="Style 12 importé"/>
    <w:rsid w:val="00151DC1"/>
    <w:pPr>
      <w:numPr>
        <w:numId w:val="47"/>
      </w:numPr>
    </w:pPr>
  </w:style>
  <w:style w:type="numbering" w:customStyle="1" w:styleId="Style3import">
    <w:name w:val="Style 3 importé"/>
    <w:rsid w:val="00151DC1"/>
    <w:pPr>
      <w:numPr>
        <w:numId w:val="48"/>
      </w:numPr>
    </w:pPr>
  </w:style>
  <w:style w:type="character" w:customStyle="1" w:styleId="Hyperlink4">
    <w:name w:val="Hyperlink.4"/>
    <w:basedOn w:val="DefaultParagraphFont"/>
    <w:rsid w:val="00151DC1"/>
    <w:rPr>
      <w:rFonts w:ascii="Times New Roman" w:eastAsia="Times New Roman" w:hAnsi="Times New Roman" w:cs="Times New Roman"/>
      <w:color w:val="EA5A43"/>
      <w:u w:val="none" w:color="0563C1"/>
    </w:rPr>
  </w:style>
  <w:style w:type="character" w:customStyle="1" w:styleId="Hyperlink5">
    <w:name w:val="Hyperlink.5"/>
    <w:basedOn w:val="DefaultParagraphFont"/>
    <w:rsid w:val="00151DC1"/>
    <w:rPr>
      <w:rFonts w:ascii="Times New Roman" w:eastAsia="Times New Roman" w:hAnsi="Times New Roman" w:cs="Times New Roman"/>
      <w:color w:val="EA5A43"/>
      <w:u w:val="single" w:color="0563C1"/>
    </w:rPr>
  </w:style>
  <w:style w:type="character" w:customStyle="1" w:styleId="Hyperlink0">
    <w:name w:val="Hyperlink.0"/>
    <w:basedOn w:val="DefaultParagraphFont"/>
    <w:rsid w:val="00151DC1"/>
    <w:rPr>
      <w:rFonts w:ascii="Times New Roman" w:eastAsia="Times New Roman" w:hAnsi="Times New Roman" w:cs="Times New Roman"/>
      <w:color w:val="0563C1"/>
      <w:u w:val="single" w:color="0563C1"/>
    </w:rPr>
  </w:style>
  <w:style w:type="character" w:customStyle="1" w:styleId="Lien">
    <w:name w:val="Lien"/>
    <w:rsid w:val="00151DC1"/>
    <w:rPr>
      <w:color w:val="0563C1"/>
      <w:u w:val="single" w:color="0563C1"/>
    </w:rPr>
  </w:style>
  <w:style w:type="paragraph" w:customStyle="1" w:styleId="xl65">
    <w:name w:val="xl65"/>
    <w:basedOn w:val="Normal"/>
    <w:rsid w:val="00151DC1"/>
    <w:pPr>
      <w:shd w:val="clear" w:color="000000" w:fill="C65911"/>
      <w:spacing w:before="100" w:beforeAutospacing="1" w:after="100" w:afterAutospacing="1" w:line="240" w:lineRule="auto"/>
      <w:jc w:val="left"/>
    </w:pPr>
    <w:rPr>
      <w:sz w:val="22"/>
      <w:lang w:val="en-US" w:eastAsia="en-US"/>
    </w:rPr>
  </w:style>
  <w:style w:type="paragraph" w:customStyle="1" w:styleId="xl66">
    <w:name w:val="xl66"/>
    <w:basedOn w:val="Normal"/>
    <w:rsid w:val="00151DC1"/>
    <w:pPr>
      <w:spacing w:before="100" w:beforeAutospacing="1" w:after="100" w:afterAutospacing="1" w:line="240" w:lineRule="auto"/>
      <w:jc w:val="left"/>
    </w:pPr>
    <w:rPr>
      <w:b/>
      <w:bCs/>
      <w:sz w:val="22"/>
      <w:lang w:val="en-US" w:eastAsia="en-US"/>
    </w:rPr>
  </w:style>
  <w:style w:type="paragraph" w:customStyle="1" w:styleId="xl67">
    <w:name w:val="xl67"/>
    <w:basedOn w:val="Normal"/>
    <w:rsid w:val="00151D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b/>
      <w:bCs/>
      <w:sz w:val="22"/>
      <w:lang w:val="en-US" w:eastAsia="en-US"/>
    </w:rPr>
  </w:style>
  <w:style w:type="paragraph" w:customStyle="1" w:styleId="xl68">
    <w:name w:val="xl68"/>
    <w:basedOn w:val="Normal"/>
    <w:rsid w:val="00151D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sz w:val="22"/>
      <w:lang w:val="en-US" w:eastAsia="en-US"/>
    </w:rPr>
  </w:style>
  <w:style w:type="paragraph" w:customStyle="1" w:styleId="xl69">
    <w:name w:val="xl69"/>
    <w:basedOn w:val="Normal"/>
    <w:rsid w:val="00151D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color w:val="0563C1"/>
      <w:sz w:val="22"/>
      <w:u w:val="single"/>
      <w:lang w:val="en-US" w:eastAsia="en-US"/>
    </w:rPr>
  </w:style>
  <w:style w:type="paragraph" w:customStyle="1" w:styleId="xl70">
    <w:name w:val="xl70"/>
    <w:basedOn w:val="Normal"/>
    <w:rsid w:val="00151D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Calibri" w:hAnsi="Calibri"/>
      <w:i/>
      <w:iCs/>
      <w:sz w:val="22"/>
      <w:lang w:val="en-US" w:eastAsia="en-US"/>
    </w:rPr>
  </w:style>
  <w:style w:type="paragraph" w:customStyle="1" w:styleId="xl71">
    <w:name w:val="xl71"/>
    <w:basedOn w:val="Normal"/>
    <w:rsid w:val="00151D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color w:val="FF0000"/>
      <w:sz w:val="22"/>
      <w:lang w:val="en-US" w:eastAsia="en-US"/>
    </w:rPr>
  </w:style>
  <w:style w:type="character" w:customStyle="1" w:styleId="UnresolvedMention1">
    <w:name w:val="Unresolved Mention1"/>
    <w:basedOn w:val="DefaultParagraphFont"/>
    <w:uiPriority w:val="99"/>
    <w:semiHidden/>
    <w:unhideWhenUsed/>
    <w:rsid w:val="00151DC1"/>
    <w:rPr>
      <w:color w:val="605E5C"/>
      <w:shd w:val="clear" w:color="auto" w:fill="E1DFDD"/>
    </w:rPr>
  </w:style>
  <w:style w:type="character" w:styleId="IntenseReference">
    <w:name w:val="Intense Reference"/>
    <w:basedOn w:val="DefaultParagraphFont"/>
    <w:uiPriority w:val="32"/>
    <w:qFormat/>
    <w:rsid w:val="00151DC1"/>
    <w:rPr>
      <w:b/>
      <w:bCs/>
      <w:smallCaps/>
      <w:color w:val="4472C4" w:themeColor="accent1"/>
      <w:spacing w:val="5"/>
    </w:rPr>
  </w:style>
  <w:style w:type="character" w:styleId="SubtleReference">
    <w:name w:val="Subtle Reference"/>
    <w:basedOn w:val="DefaultParagraphFont"/>
    <w:uiPriority w:val="31"/>
    <w:qFormat/>
    <w:rsid w:val="00151DC1"/>
    <w:rPr>
      <w:smallCaps/>
      <w:color w:val="5A5A5A" w:themeColor="text1" w:themeTint="A5"/>
    </w:rPr>
  </w:style>
  <w:style w:type="character" w:styleId="IntenseEmphasis">
    <w:name w:val="Intense Emphasis"/>
    <w:basedOn w:val="DefaultParagraphFont"/>
    <w:uiPriority w:val="21"/>
    <w:qFormat/>
    <w:rsid w:val="00151DC1"/>
    <w:rPr>
      <w:i/>
      <w:iCs/>
      <w:color w:val="4472C4" w:themeColor="accent1"/>
    </w:rPr>
  </w:style>
  <w:style w:type="character" w:styleId="SubtleEmphasis">
    <w:name w:val="Subtle Emphasis"/>
    <w:basedOn w:val="DefaultParagraphFont"/>
    <w:uiPriority w:val="19"/>
    <w:qFormat/>
    <w:rsid w:val="00151DC1"/>
    <w:rPr>
      <w:i/>
      <w:iCs/>
      <w:color w:val="404040" w:themeColor="text1" w:themeTint="BF"/>
    </w:rPr>
  </w:style>
  <w:style w:type="paragraph" w:styleId="IntenseQuote">
    <w:name w:val="Intense Quote"/>
    <w:basedOn w:val="Normal"/>
    <w:next w:val="Normal"/>
    <w:link w:val="IntenseQuoteChar"/>
    <w:uiPriority w:val="30"/>
    <w:qFormat/>
    <w:rsid w:val="00151DC1"/>
    <w:pPr>
      <w:pBdr>
        <w:top w:val="single" w:sz="4" w:space="10" w:color="4472C4" w:themeColor="accent1"/>
        <w:bottom w:val="single" w:sz="4" w:space="10" w:color="4472C4" w:themeColor="accent1"/>
      </w:pBdr>
      <w:spacing w:before="360" w:after="360"/>
      <w:ind w:left="864" w:right="864"/>
      <w:jc w:val="center"/>
    </w:pPr>
    <w:rPr>
      <w:rFonts w:asciiTheme="minorHAnsi" w:hAnsiTheme="minorHAnsi" w:cstheme="minorBidi"/>
      <w:i/>
      <w:iCs/>
      <w:color w:val="4F81BD"/>
      <w:sz w:val="22"/>
      <w:lang w:eastAsia="de-DE"/>
    </w:rPr>
  </w:style>
  <w:style w:type="character" w:customStyle="1" w:styleId="IntenseQuoteChar1">
    <w:name w:val="Intense Quote Char1"/>
    <w:basedOn w:val="DefaultParagraphFont"/>
    <w:uiPriority w:val="30"/>
    <w:rsid w:val="00151DC1"/>
    <w:rPr>
      <w:rFonts w:ascii="Times New Roman" w:hAnsi="Times New Roman" w:cs="Times New Roman"/>
      <w:i/>
      <w:iCs/>
      <w:color w:val="4472C4" w:themeColor="accent1"/>
      <w:sz w:val="24"/>
      <w:szCs w:val="24"/>
      <w:lang w:eastAsia="en-GB"/>
    </w:rPr>
  </w:style>
  <w:style w:type="table" w:styleId="MediumList1-Accent1">
    <w:name w:val="Medium List 1 Accent 1"/>
    <w:basedOn w:val="TableNormal"/>
    <w:uiPriority w:val="65"/>
    <w:semiHidden/>
    <w:unhideWhenUsed/>
    <w:rsid w:val="00151DC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Shading2-Accent1">
    <w:name w:val="Medium Shading 2 Accent 1"/>
    <w:basedOn w:val="TableNormal"/>
    <w:uiPriority w:val="64"/>
    <w:semiHidden/>
    <w:unhideWhenUsed/>
    <w:rsid w:val="00151D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1-Accent1">
    <w:name w:val="Medium Shading 1 Accent 1"/>
    <w:basedOn w:val="TableNormal"/>
    <w:uiPriority w:val="63"/>
    <w:semiHidden/>
    <w:unhideWhenUsed/>
    <w:rsid w:val="00151DC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semiHidden/>
    <w:unhideWhenUsed/>
    <w:rsid w:val="00151DC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List-Accent1">
    <w:name w:val="Light List Accent 1"/>
    <w:basedOn w:val="TableNormal"/>
    <w:uiPriority w:val="61"/>
    <w:semiHidden/>
    <w:unhideWhenUsed/>
    <w:rsid w:val="00151DC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Shading-Accent1">
    <w:name w:val="Light Shading Accent 1"/>
    <w:basedOn w:val="TableNormal"/>
    <w:uiPriority w:val="60"/>
    <w:semiHidden/>
    <w:unhideWhenUsed/>
    <w:rsid w:val="00151DC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ColorfulGrid">
    <w:name w:val="Colorful Grid"/>
    <w:basedOn w:val="TableNormal"/>
    <w:uiPriority w:val="73"/>
    <w:semiHidden/>
    <w:unhideWhenUsed/>
    <w:rsid w:val="00151DC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151DC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151DC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51DC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uiPriority w:val="69"/>
    <w:semiHidden/>
    <w:unhideWhenUsed/>
    <w:rsid w:val="00151DC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uiPriority w:val="68"/>
    <w:semiHidden/>
    <w:unhideWhenUsed/>
    <w:rsid w:val="00151D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uiPriority w:val="67"/>
    <w:semiHidden/>
    <w:unhideWhenUsed/>
    <w:rsid w:val="00151DC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semiHidden/>
    <w:unhideWhenUsed/>
    <w:rsid w:val="00151DC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semiHidden/>
    <w:unhideWhenUsed/>
    <w:rsid w:val="00151DC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uiPriority w:val="64"/>
    <w:semiHidden/>
    <w:unhideWhenUsed/>
    <w:rsid w:val="00151DC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1">
    <w:name w:val="Medium Shading 1"/>
    <w:basedOn w:val="TableNormal"/>
    <w:uiPriority w:val="63"/>
    <w:semiHidden/>
    <w:unhideWhenUsed/>
    <w:rsid w:val="00151DC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151D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semiHidden/>
    <w:unhideWhenUsed/>
    <w:rsid w:val="00151D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semiHidden/>
    <w:unhideWhenUsed/>
    <w:rsid w:val="00151DC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lockText">
    <w:name w:val="Block Text"/>
    <w:basedOn w:val="Normal"/>
    <w:uiPriority w:val="99"/>
    <w:semiHidden/>
    <w:unhideWhenUsed/>
    <w:rsid w:val="00151DC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MessageHeader">
    <w:name w:val="Message Header"/>
    <w:basedOn w:val="Normal"/>
    <w:link w:val="MessageHeaderChar1"/>
    <w:uiPriority w:val="99"/>
    <w:semiHidden/>
    <w:unhideWhenUsed/>
    <w:rsid w:val="00151DC1"/>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rPr>
  </w:style>
  <w:style w:type="character" w:customStyle="1" w:styleId="MessageHeaderChar1">
    <w:name w:val="Message Header Char1"/>
    <w:basedOn w:val="DefaultParagraphFont"/>
    <w:link w:val="MessageHeader"/>
    <w:uiPriority w:val="99"/>
    <w:semiHidden/>
    <w:rsid w:val="00151DC1"/>
    <w:rPr>
      <w:rFonts w:asciiTheme="majorHAnsi" w:eastAsiaTheme="majorEastAsia" w:hAnsiTheme="majorHAnsi" w:cstheme="majorBidi"/>
      <w:sz w:val="24"/>
      <w:szCs w:val="24"/>
      <w:shd w:val="pct20" w:color="auto" w:fill="auto"/>
      <w:lang w:eastAsia="en-GB"/>
    </w:rPr>
  </w:style>
  <w:style w:type="paragraph" w:styleId="EnvelopeReturn">
    <w:name w:val="envelope return"/>
    <w:basedOn w:val="Normal"/>
    <w:uiPriority w:val="99"/>
    <w:semiHidden/>
    <w:unhideWhenUsed/>
    <w:rsid w:val="00151DC1"/>
    <w:pPr>
      <w:spacing w:before="0" w:after="0" w:line="240" w:lineRule="auto"/>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151DC1"/>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table" w:styleId="PlainTable5">
    <w:name w:val="Plain Table 5"/>
    <w:basedOn w:val="TableNormal"/>
    <w:uiPriority w:val="45"/>
    <w:rsid w:val="00151DC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151DC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151DC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5560">
      <w:bodyDiv w:val="1"/>
      <w:marLeft w:val="0"/>
      <w:marRight w:val="0"/>
      <w:marTop w:val="0"/>
      <w:marBottom w:val="0"/>
      <w:divBdr>
        <w:top w:val="none" w:sz="0" w:space="0" w:color="auto"/>
        <w:left w:val="none" w:sz="0" w:space="0" w:color="auto"/>
        <w:bottom w:val="none" w:sz="0" w:space="0" w:color="auto"/>
        <w:right w:val="none" w:sz="0" w:space="0" w:color="auto"/>
      </w:divBdr>
    </w:div>
    <w:div w:id="39715480">
      <w:bodyDiv w:val="1"/>
      <w:marLeft w:val="0"/>
      <w:marRight w:val="0"/>
      <w:marTop w:val="0"/>
      <w:marBottom w:val="0"/>
      <w:divBdr>
        <w:top w:val="none" w:sz="0" w:space="0" w:color="auto"/>
        <w:left w:val="none" w:sz="0" w:space="0" w:color="auto"/>
        <w:bottom w:val="none" w:sz="0" w:space="0" w:color="auto"/>
        <w:right w:val="none" w:sz="0" w:space="0" w:color="auto"/>
      </w:divBdr>
      <w:divsChild>
        <w:div w:id="496847401">
          <w:marLeft w:val="0"/>
          <w:marRight w:val="0"/>
          <w:marTop w:val="0"/>
          <w:marBottom w:val="0"/>
          <w:divBdr>
            <w:top w:val="none" w:sz="0" w:space="0" w:color="auto"/>
            <w:left w:val="none" w:sz="0" w:space="0" w:color="auto"/>
            <w:bottom w:val="none" w:sz="0" w:space="0" w:color="auto"/>
            <w:right w:val="none" w:sz="0" w:space="0" w:color="auto"/>
          </w:divBdr>
        </w:div>
        <w:div w:id="441153270">
          <w:marLeft w:val="0"/>
          <w:marRight w:val="0"/>
          <w:marTop w:val="0"/>
          <w:marBottom w:val="0"/>
          <w:divBdr>
            <w:top w:val="none" w:sz="0" w:space="0" w:color="auto"/>
            <w:left w:val="none" w:sz="0" w:space="0" w:color="auto"/>
            <w:bottom w:val="none" w:sz="0" w:space="0" w:color="auto"/>
            <w:right w:val="none" w:sz="0" w:space="0" w:color="auto"/>
          </w:divBdr>
        </w:div>
        <w:div w:id="1419711960">
          <w:marLeft w:val="0"/>
          <w:marRight w:val="0"/>
          <w:marTop w:val="0"/>
          <w:marBottom w:val="0"/>
          <w:divBdr>
            <w:top w:val="none" w:sz="0" w:space="0" w:color="auto"/>
            <w:left w:val="none" w:sz="0" w:space="0" w:color="auto"/>
            <w:bottom w:val="none" w:sz="0" w:space="0" w:color="auto"/>
            <w:right w:val="none" w:sz="0" w:space="0" w:color="auto"/>
          </w:divBdr>
        </w:div>
      </w:divsChild>
    </w:div>
    <w:div w:id="44187672">
      <w:bodyDiv w:val="1"/>
      <w:marLeft w:val="0"/>
      <w:marRight w:val="0"/>
      <w:marTop w:val="0"/>
      <w:marBottom w:val="0"/>
      <w:divBdr>
        <w:top w:val="none" w:sz="0" w:space="0" w:color="auto"/>
        <w:left w:val="none" w:sz="0" w:space="0" w:color="auto"/>
        <w:bottom w:val="none" w:sz="0" w:space="0" w:color="auto"/>
        <w:right w:val="none" w:sz="0" w:space="0" w:color="auto"/>
      </w:divBdr>
    </w:div>
    <w:div w:id="78066746">
      <w:bodyDiv w:val="1"/>
      <w:marLeft w:val="0"/>
      <w:marRight w:val="0"/>
      <w:marTop w:val="0"/>
      <w:marBottom w:val="0"/>
      <w:divBdr>
        <w:top w:val="none" w:sz="0" w:space="0" w:color="auto"/>
        <w:left w:val="none" w:sz="0" w:space="0" w:color="auto"/>
        <w:bottom w:val="none" w:sz="0" w:space="0" w:color="auto"/>
        <w:right w:val="none" w:sz="0" w:space="0" w:color="auto"/>
      </w:divBdr>
    </w:div>
    <w:div w:id="128014580">
      <w:bodyDiv w:val="1"/>
      <w:marLeft w:val="0"/>
      <w:marRight w:val="0"/>
      <w:marTop w:val="0"/>
      <w:marBottom w:val="0"/>
      <w:divBdr>
        <w:top w:val="none" w:sz="0" w:space="0" w:color="auto"/>
        <w:left w:val="none" w:sz="0" w:space="0" w:color="auto"/>
        <w:bottom w:val="none" w:sz="0" w:space="0" w:color="auto"/>
        <w:right w:val="none" w:sz="0" w:space="0" w:color="auto"/>
      </w:divBdr>
    </w:div>
    <w:div w:id="133838764">
      <w:bodyDiv w:val="1"/>
      <w:marLeft w:val="0"/>
      <w:marRight w:val="0"/>
      <w:marTop w:val="0"/>
      <w:marBottom w:val="0"/>
      <w:divBdr>
        <w:top w:val="none" w:sz="0" w:space="0" w:color="auto"/>
        <w:left w:val="none" w:sz="0" w:space="0" w:color="auto"/>
        <w:bottom w:val="none" w:sz="0" w:space="0" w:color="auto"/>
        <w:right w:val="none" w:sz="0" w:space="0" w:color="auto"/>
      </w:divBdr>
    </w:div>
    <w:div w:id="182288090">
      <w:bodyDiv w:val="1"/>
      <w:marLeft w:val="0"/>
      <w:marRight w:val="0"/>
      <w:marTop w:val="0"/>
      <w:marBottom w:val="0"/>
      <w:divBdr>
        <w:top w:val="none" w:sz="0" w:space="0" w:color="auto"/>
        <w:left w:val="none" w:sz="0" w:space="0" w:color="auto"/>
        <w:bottom w:val="none" w:sz="0" w:space="0" w:color="auto"/>
        <w:right w:val="none" w:sz="0" w:space="0" w:color="auto"/>
      </w:divBdr>
    </w:div>
    <w:div w:id="187835474">
      <w:bodyDiv w:val="1"/>
      <w:marLeft w:val="0"/>
      <w:marRight w:val="0"/>
      <w:marTop w:val="0"/>
      <w:marBottom w:val="0"/>
      <w:divBdr>
        <w:top w:val="none" w:sz="0" w:space="0" w:color="auto"/>
        <w:left w:val="none" w:sz="0" w:space="0" w:color="auto"/>
        <w:bottom w:val="none" w:sz="0" w:space="0" w:color="auto"/>
        <w:right w:val="none" w:sz="0" w:space="0" w:color="auto"/>
      </w:divBdr>
    </w:div>
    <w:div w:id="189877030">
      <w:bodyDiv w:val="1"/>
      <w:marLeft w:val="0"/>
      <w:marRight w:val="0"/>
      <w:marTop w:val="0"/>
      <w:marBottom w:val="0"/>
      <w:divBdr>
        <w:top w:val="none" w:sz="0" w:space="0" w:color="auto"/>
        <w:left w:val="none" w:sz="0" w:space="0" w:color="auto"/>
        <w:bottom w:val="none" w:sz="0" w:space="0" w:color="auto"/>
        <w:right w:val="none" w:sz="0" w:space="0" w:color="auto"/>
      </w:divBdr>
    </w:div>
    <w:div w:id="238177864">
      <w:bodyDiv w:val="1"/>
      <w:marLeft w:val="0"/>
      <w:marRight w:val="0"/>
      <w:marTop w:val="0"/>
      <w:marBottom w:val="0"/>
      <w:divBdr>
        <w:top w:val="none" w:sz="0" w:space="0" w:color="auto"/>
        <w:left w:val="none" w:sz="0" w:space="0" w:color="auto"/>
        <w:bottom w:val="none" w:sz="0" w:space="0" w:color="auto"/>
        <w:right w:val="none" w:sz="0" w:space="0" w:color="auto"/>
      </w:divBdr>
    </w:div>
    <w:div w:id="351804837">
      <w:bodyDiv w:val="1"/>
      <w:marLeft w:val="0"/>
      <w:marRight w:val="0"/>
      <w:marTop w:val="0"/>
      <w:marBottom w:val="0"/>
      <w:divBdr>
        <w:top w:val="none" w:sz="0" w:space="0" w:color="auto"/>
        <w:left w:val="none" w:sz="0" w:space="0" w:color="auto"/>
        <w:bottom w:val="none" w:sz="0" w:space="0" w:color="auto"/>
        <w:right w:val="none" w:sz="0" w:space="0" w:color="auto"/>
      </w:divBdr>
    </w:div>
    <w:div w:id="376976182">
      <w:bodyDiv w:val="1"/>
      <w:marLeft w:val="0"/>
      <w:marRight w:val="0"/>
      <w:marTop w:val="0"/>
      <w:marBottom w:val="0"/>
      <w:divBdr>
        <w:top w:val="none" w:sz="0" w:space="0" w:color="auto"/>
        <w:left w:val="none" w:sz="0" w:space="0" w:color="auto"/>
        <w:bottom w:val="none" w:sz="0" w:space="0" w:color="auto"/>
        <w:right w:val="none" w:sz="0" w:space="0" w:color="auto"/>
      </w:divBdr>
    </w:div>
    <w:div w:id="385375292">
      <w:bodyDiv w:val="1"/>
      <w:marLeft w:val="0"/>
      <w:marRight w:val="0"/>
      <w:marTop w:val="0"/>
      <w:marBottom w:val="0"/>
      <w:divBdr>
        <w:top w:val="none" w:sz="0" w:space="0" w:color="auto"/>
        <w:left w:val="none" w:sz="0" w:space="0" w:color="auto"/>
        <w:bottom w:val="none" w:sz="0" w:space="0" w:color="auto"/>
        <w:right w:val="none" w:sz="0" w:space="0" w:color="auto"/>
      </w:divBdr>
    </w:div>
    <w:div w:id="427189966">
      <w:bodyDiv w:val="1"/>
      <w:marLeft w:val="0"/>
      <w:marRight w:val="0"/>
      <w:marTop w:val="0"/>
      <w:marBottom w:val="0"/>
      <w:divBdr>
        <w:top w:val="none" w:sz="0" w:space="0" w:color="auto"/>
        <w:left w:val="none" w:sz="0" w:space="0" w:color="auto"/>
        <w:bottom w:val="none" w:sz="0" w:space="0" w:color="auto"/>
        <w:right w:val="none" w:sz="0" w:space="0" w:color="auto"/>
      </w:divBdr>
    </w:div>
    <w:div w:id="439566534">
      <w:bodyDiv w:val="1"/>
      <w:marLeft w:val="0"/>
      <w:marRight w:val="0"/>
      <w:marTop w:val="0"/>
      <w:marBottom w:val="0"/>
      <w:divBdr>
        <w:top w:val="none" w:sz="0" w:space="0" w:color="auto"/>
        <w:left w:val="none" w:sz="0" w:space="0" w:color="auto"/>
        <w:bottom w:val="none" w:sz="0" w:space="0" w:color="auto"/>
        <w:right w:val="none" w:sz="0" w:space="0" w:color="auto"/>
      </w:divBdr>
    </w:div>
    <w:div w:id="466705819">
      <w:bodyDiv w:val="1"/>
      <w:marLeft w:val="0"/>
      <w:marRight w:val="0"/>
      <w:marTop w:val="0"/>
      <w:marBottom w:val="0"/>
      <w:divBdr>
        <w:top w:val="none" w:sz="0" w:space="0" w:color="auto"/>
        <w:left w:val="none" w:sz="0" w:space="0" w:color="auto"/>
        <w:bottom w:val="none" w:sz="0" w:space="0" w:color="auto"/>
        <w:right w:val="none" w:sz="0" w:space="0" w:color="auto"/>
      </w:divBdr>
    </w:div>
    <w:div w:id="480999202">
      <w:bodyDiv w:val="1"/>
      <w:marLeft w:val="0"/>
      <w:marRight w:val="0"/>
      <w:marTop w:val="0"/>
      <w:marBottom w:val="0"/>
      <w:divBdr>
        <w:top w:val="none" w:sz="0" w:space="0" w:color="auto"/>
        <w:left w:val="none" w:sz="0" w:space="0" w:color="auto"/>
        <w:bottom w:val="none" w:sz="0" w:space="0" w:color="auto"/>
        <w:right w:val="none" w:sz="0" w:space="0" w:color="auto"/>
      </w:divBdr>
    </w:div>
    <w:div w:id="497574353">
      <w:bodyDiv w:val="1"/>
      <w:marLeft w:val="0"/>
      <w:marRight w:val="0"/>
      <w:marTop w:val="0"/>
      <w:marBottom w:val="0"/>
      <w:divBdr>
        <w:top w:val="none" w:sz="0" w:space="0" w:color="auto"/>
        <w:left w:val="none" w:sz="0" w:space="0" w:color="auto"/>
        <w:bottom w:val="none" w:sz="0" w:space="0" w:color="auto"/>
        <w:right w:val="none" w:sz="0" w:space="0" w:color="auto"/>
      </w:divBdr>
    </w:div>
    <w:div w:id="511994249">
      <w:bodyDiv w:val="1"/>
      <w:marLeft w:val="0"/>
      <w:marRight w:val="0"/>
      <w:marTop w:val="0"/>
      <w:marBottom w:val="0"/>
      <w:divBdr>
        <w:top w:val="none" w:sz="0" w:space="0" w:color="auto"/>
        <w:left w:val="none" w:sz="0" w:space="0" w:color="auto"/>
        <w:bottom w:val="none" w:sz="0" w:space="0" w:color="auto"/>
        <w:right w:val="none" w:sz="0" w:space="0" w:color="auto"/>
      </w:divBdr>
    </w:div>
    <w:div w:id="544803461">
      <w:bodyDiv w:val="1"/>
      <w:marLeft w:val="0"/>
      <w:marRight w:val="0"/>
      <w:marTop w:val="0"/>
      <w:marBottom w:val="0"/>
      <w:divBdr>
        <w:top w:val="none" w:sz="0" w:space="0" w:color="auto"/>
        <w:left w:val="none" w:sz="0" w:space="0" w:color="auto"/>
        <w:bottom w:val="none" w:sz="0" w:space="0" w:color="auto"/>
        <w:right w:val="none" w:sz="0" w:space="0" w:color="auto"/>
      </w:divBdr>
    </w:div>
    <w:div w:id="546529487">
      <w:bodyDiv w:val="1"/>
      <w:marLeft w:val="0"/>
      <w:marRight w:val="0"/>
      <w:marTop w:val="0"/>
      <w:marBottom w:val="0"/>
      <w:divBdr>
        <w:top w:val="none" w:sz="0" w:space="0" w:color="auto"/>
        <w:left w:val="none" w:sz="0" w:space="0" w:color="auto"/>
        <w:bottom w:val="none" w:sz="0" w:space="0" w:color="auto"/>
        <w:right w:val="none" w:sz="0" w:space="0" w:color="auto"/>
      </w:divBdr>
    </w:div>
    <w:div w:id="632910407">
      <w:bodyDiv w:val="1"/>
      <w:marLeft w:val="0"/>
      <w:marRight w:val="0"/>
      <w:marTop w:val="0"/>
      <w:marBottom w:val="0"/>
      <w:divBdr>
        <w:top w:val="none" w:sz="0" w:space="0" w:color="auto"/>
        <w:left w:val="none" w:sz="0" w:space="0" w:color="auto"/>
        <w:bottom w:val="none" w:sz="0" w:space="0" w:color="auto"/>
        <w:right w:val="none" w:sz="0" w:space="0" w:color="auto"/>
      </w:divBdr>
    </w:div>
    <w:div w:id="662859052">
      <w:bodyDiv w:val="1"/>
      <w:marLeft w:val="0"/>
      <w:marRight w:val="0"/>
      <w:marTop w:val="0"/>
      <w:marBottom w:val="0"/>
      <w:divBdr>
        <w:top w:val="none" w:sz="0" w:space="0" w:color="auto"/>
        <w:left w:val="none" w:sz="0" w:space="0" w:color="auto"/>
        <w:bottom w:val="none" w:sz="0" w:space="0" w:color="auto"/>
        <w:right w:val="none" w:sz="0" w:space="0" w:color="auto"/>
      </w:divBdr>
    </w:div>
    <w:div w:id="794755885">
      <w:bodyDiv w:val="1"/>
      <w:marLeft w:val="0"/>
      <w:marRight w:val="0"/>
      <w:marTop w:val="0"/>
      <w:marBottom w:val="0"/>
      <w:divBdr>
        <w:top w:val="none" w:sz="0" w:space="0" w:color="auto"/>
        <w:left w:val="none" w:sz="0" w:space="0" w:color="auto"/>
        <w:bottom w:val="none" w:sz="0" w:space="0" w:color="auto"/>
        <w:right w:val="none" w:sz="0" w:space="0" w:color="auto"/>
      </w:divBdr>
    </w:div>
    <w:div w:id="811754880">
      <w:bodyDiv w:val="1"/>
      <w:marLeft w:val="0"/>
      <w:marRight w:val="0"/>
      <w:marTop w:val="0"/>
      <w:marBottom w:val="0"/>
      <w:divBdr>
        <w:top w:val="none" w:sz="0" w:space="0" w:color="auto"/>
        <w:left w:val="none" w:sz="0" w:space="0" w:color="auto"/>
        <w:bottom w:val="none" w:sz="0" w:space="0" w:color="auto"/>
        <w:right w:val="none" w:sz="0" w:space="0" w:color="auto"/>
      </w:divBdr>
    </w:div>
    <w:div w:id="819034535">
      <w:bodyDiv w:val="1"/>
      <w:marLeft w:val="0"/>
      <w:marRight w:val="0"/>
      <w:marTop w:val="0"/>
      <w:marBottom w:val="0"/>
      <w:divBdr>
        <w:top w:val="none" w:sz="0" w:space="0" w:color="auto"/>
        <w:left w:val="none" w:sz="0" w:space="0" w:color="auto"/>
        <w:bottom w:val="none" w:sz="0" w:space="0" w:color="auto"/>
        <w:right w:val="none" w:sz="0" w:space="0" w:color="auto"/>
      </w:divBdr>
    </w:div>
    <w:div w:id="836195041">
      <w:bodyDiv w:val="1"/>
      <w:marLeft w:val="0"/>
      <w:marRight w:val="0"/>
      <w:marTop w:val="0"/>
      <w:marBottom w:val="0"/>
      <w:divBdr>
        <w:top w:val="none" w:sz="0" w:space="0" w:color="auto"/>
        <w:left w:val="none" w:sz="0" w:space="0" w:color="auto"/>
        <w:bottom w:val="none" w:sz="0" w:space="0" w:color="auto"/>
        <w:right w:val="none" w:sz="0" w:space="0" w:color="auto"/>
      </w:divBdr>
    </w:div>
    <w:div w:id="853105263">
      <w:bodyDiv w:val="1"/>
      <w:marLeft w:val="0"/>
      <w:marRight w:val="0"/>
      <w:marTop w:val="0"/>
      <w:marBottom w:val="0"/>
      <w:divBdr>
        <w:top w:val="none" w:sz="0" w:space="0" w:color="auto"/>
        <w:left w:val="none" w:sz="0" w:space="0" w:color="auto"/>
        <w:bottom w:val="none" w:sz="0" w:space="0" w:color="auto"/>
        <w:right w:val="none" w:sz="0" w:space="0" w:color="auto"/>
      </w:divBdr>
    </w:div>
    <w:div w:id="870802413">
      <w:bodyDiv w:val="1"/>
      <w:marLeft w:val="0"/>
      <w:marRight w:val="0"/>
      <w:marTop w:val="0"/>
      <w:marBottom w:val="0"/>
      <w:divBdr>
        <w:top w:val="none" w:sz="0" w:space="0" w:color="auto"/>
        <w:left w:val="none" w:sz="0" w:space="0" w:color="auto"/>
        <w:bottom w:val="none" w:sz="0" w:space="0" w:color="auto"/>
        <w:right w:val="none" w:sz="0" w:space="0" w:color="auto"/>
      </w:divBdr>
    </w:div>
    <w:div w:id="889222045">
      <w:bodyDiv w:val="1"/>
      <w:marLeft w:val="0"/>
      <w:marRight w:val="0"/>
      <w:marTop w:val="0"/>
      <w:marBottom w:val="0"/>
      <w:divBdr>
        <w:top w:val="none" w:sz="0" w:space="0" w:color="auto"/>
        <w:left w:val="none" w:sz="0" w:space="0" w:color="auto"/>
        <w:bottom w:val="none" w:sz="0" w:space="0" w:color="auto"/>
        <w:right w:val="none" w:sz="0" w:space="0" w:color="auto"/>
      </w:divBdr>
    </w:div>
    <w:div w:id="896160729">
      <w:bodyDiv w:val="1"/>
      <w:marLeft w:val="0"/>
      <w:marRight w:val="0"/>
      <w:marTop w:val="0"/>
      <w:marBottom w:val="0"/>
      <w:divBdr>
        <w:top w:val="none" w:sz="0" w:space="0" w:color="auto"/>
        <w:left w:val="none" w:sz="0" w:space="0" w:color="auto"/>
        <w:bottom w:val="none" w:sz="0" w:space="0" w:color="auto"/>
        <w:right w:val="none" w:sz="0" w:space="0" w:color="auto"/>
      </w:divBdr>
    </w:div>
    <w:div w:id="921794064">
      <w:bodyDiv w:val="1"/>
      <w:marLeft w:val="0"/>
      <w:marRight w:val="0"/>
      <w:marTop w:val="0"/>
      <w:marBottom w:val="0"/>
      <w:divBdr>
        <w:top w:val="none" w:sz="0" w:space="0" w:color="auto"/>
        <w:left w:val="none" w:sz="0" w:space="0" w:color="auto"/>
        <w:bottom w:val="none" w:sz="0" w:space="0" w:color="auto"/>
        <w:right w:val="none" w:sz="0" w:space="0" w:color="auto"/>
      </w:divBdr>
    </w:div>
    <w:div w:id="935289822">
      <w:bodyDiv w:val="1"/>
      <w:marLeft w:val="0"/>
      <w:marRight w:val="0"/>
      <w:marTop w:val="0"/>
      <w:marBottom w:val="0"/>
      <w:divBdr>
        <w:top w:val="none" w:sz="0" w:space="0" w:color="auto"/>
        <w:left w:val="none" w:sz="0" w:space="0" w:color="auto"/>
        <w:bottom w:val="none" w:sz="0" w:space="0" w:color="auto"/>
        <w:right w:val="none" w:sz="0" w:space="0" w:color="auto"/>
      </w:divBdr>
    </w:div>
    <w:div w:id="941497497">
      <w:bodyDiv w:val="1"/>
      <w:marLeft w:val="0"/>
      <w:marRight w:val="0"/>
      <w:marTop w:val="0"/>
      <w:marBottom w:val="0"/>
      <w:divBdr>
        <w:top w:val="none" w:sz="0" w:space="0" w:color="auto"/>
        <w:left w:val="none" w:sz="0" w:space="0" w:color="auto"/>
        <w:bottom w:val="none" w:sz="0" w:space="0" w:color="auto"/>
        <w:right w:val="none" w:sz="0" w:space="0" w:color="auto"/>
      </w:divBdr>
    </w:div>
    <w:div w:id="989292605">
      <w:bodyDiv w:val="1"/>
      <w:marLeft w:val="0"/>
      <w:marRight w:val="0"/>
      <w:marTop w:val="0"/>
      <w:marBottom w:val="0"/>
      <w:divBdr>
        <w:top w:val="none" w:sz="0" w:space="0" w:color="auto"/>
        <w:left w:val="none" w:sz="0" w:space="0" w:color="auto"/>
        <w:bottom w:val="none" w:sz="0" w:space="0" w:color="auto"/>
        <w:right w:val="none" w:sz="0" w:space="0" w:color="auto"/>
      </w:divBdr>
    </w:div>
    <w:div w:id="993800775">
      <w:bodyDiv w:val="1"/>
      <w:marLeft w:val="0"/>
      <w:marRight w:val="0"/>
      <w:marTop w:val="0"/>
      <w:marBottom w:val="0"/>
      <w:divBdr>
        <w:top w:val="none" w:sz="0" w:space="0" w:color="auto"/>
        <w:left w:val="none" w:sz="0" w:space="0" w:color="auto"/>
        <w:bottom w:val="none" w:sz="0" w:space="0" w:color="auto"/>
        <w:right w:val="none" w:sz="0" w:space="0" w:color="auto"/>
      </w:divBdr>
    </w:div>
    <w:div w:id="994645967">
      <w:bodyDiv w:val="1"/>
      <w:marLeft w:val="0"/>
      <w:marRight w:val="0"/>
      <w:marTop w:val="0"/>
      <w:marBottom w:val="0"/>
      <w:divBdr>
        <w:top w:val="none" w:sz="0" w:space="0" w:color="auto"/>
        <w:left w:val="none" w:sz="0" w:space="0" w:color="auto"/>
        <w:bottom w:val="none" w:sz="0" w:space="0" w:color="auto"/>
        <w:right w:val="none" w:sz="0" w:space="0" w:color="auto"/>
      </w:divBdr>
    </w:div>
    <w:div w:id="1086532531">
      <w:bodyDiv w:val="1"/>
      <w:marLeft w:val="0"/>
      <w:marRight w:val="0"/>
      <w:marTop w:val="0"/>
      <w:marBottom w:val="0"/>
      <w:divBdr>
        <w:top w:val="none" w:sz="0" w:space="0" w:color="auto"/>
        <w:left w:val="none" w:sz="0" w:space="0" w:color="auto"/>
        <w:bottom w:val="none" w:sz="0" w:space="0" w:color="auto"/>
        <w:right w:val="none" w:sz="0" w:space="0" w:color="auto"/>
      </w:divBdr>
    </w:div>
    <w:div w:id="1224172727">
      <w:bodyDiv w:val="1"/>
      <w:marLeft w:val="0"/>
      <w:marRight w:val="0"/>
      <w:marTop w:val="0"/>
      <w:marBottom w:val="0"/>
      <w:divBdr>
        <w:top w:val="none" w:sz="0" w:space="0" w:color="auto"/>
        <w:left w:val="none" w:sz="0" w:space="0" w:color="auto"/>
        <w:bottom w:val="none" w:sz="0" w:space="0" w:color="auto"/>
        <w:right w:val="none" w:sz="0" w:space="0" w:color="auto"/>
      </w:divBdr>
    </w:div>
    <w:div w:id="1230731255">
      <w:bodyDiv w:val="1"/>
      <w:marLeft w:val="0"/>
      <w:marRight w:val="0"/>
      <w:marTop w:val="0"/>
      <w:marBottom w:val="0"/>
      <w:divBdr>
        <w:top w:val="none" w:sz="0" w:space="0" w:color="auto"/>
        <w:left w:val="none" w:sz="0" w:space="0" w:color="auto"/>
        <w:bottom w:val="none" w:sz="0" w:space="0" w:color="auto"/>
        <w:right w:val="none" w:sz="0" w:space="0" w:color="auto"/>
      </w:divBdr>
    </w:div>
    <w:div w:id="1244487492">
      <w:bodyDiv w:val="1"/>
      <w:marLeft w:val="0"/>
      <w:marRight w:val="0"/>
      <w:marTop w:val="0"/>
      <w:marBottom w:val="0"/>
      <w:divBdr>
        <w:top w:val="none" w:sz="0" w:space="0" w:color="auto"/>
        <w:left w:val="none" w:sz="0" w:space="0" w:color="auto"/>
        <w:bottom w:val="none" w:sz="0" w:space="0" w:color="auto"/>
        <w:right w:val="none" w:sz="0" w:space="0" w:color="auto"/>
      </w:divBdr>
      <w:divsChild>
        <w:div w:id="971785182">
          <w:marLeft w:val="0"/>
          <w:marRight w:val="0"/>
          <w:marTop w:val="0"/>
          <w:marBottom w:val="0"/>
          <w:divBdr>
            <w:top w:val="none" w:sz="0" w:space="0" w:color="auto"/>
            <w:left w:val="none" w:sz="0" w:space="0" w:color="auto"/>
            <w:bottom w:val="none" w:sz="0" w:space="0" w:color="auto"/>
            <w:right w:val="none" w:sz="0" w:space="0" w:color="auto"/>
          </w:divBdr>
        </w:div>
      </w:divsChild>
    </w:div>
    <w:div w:id="1261185172">
      <w:bodyDiv w:val="1"/>
      <w:marLeft w:val="0"/>
      <w:marRight w:val="0"/>
      <w:marTop w:val="0"/>
      <w:marBottom w:val="0"/>
      <w:divBdr>
        <w:top w:val="none" w:sz="0" w:space="0" w:color="auto"/>
        <w:left w:val="none" w:sz="0" w:space="0" w:color="auto"/>
        <w:bottom w:val="none" w:sz="0" w:space="0" w:color="auto"/>
        <w:right w:val="none" w:sz="0" w:space="0" w:color="auto"/>
      </w:divBdr>
    </w:div>
    <w:div w:id="1288197116">
      <w:bodyDiv w:val="1"/>
      <w:marLeft w:val="0"/>
      <w:marRight w:val="0"/>
      <w:marTop w:val="0"/>
      <w:marBottom w:val="0"/>
      <w:divBdr>
        <w:top w:val="none" w:sz="0" w:space="0" w:color="auto"/>
        <w:left w:val="none" w:sz="0" w:space="0" w:color="auto"/>
        <w:bottom w:val="none" w:sz="0" w:space="0" w:color="auto"/>
        <w:right w:val="none" w:sz="0" w:space="0" w:color="auto"/>
      </w:divBdr>
    </w:div>
    <w:div w:id="1295911253">
      <w:bodyDiv w:val="1"/>
      <w:marLeft w:val="0"/>
      <w:marRight w:val="0"/>
      <w:marTop w:val="0"/>
      <w:marBottom w:val="0"/>
      <w:divBdr>
        <w:top w:val="none" w:sz="0" w:space="0" w:color="auto"/>
        <w:left w:val="none" w:sz="0" w:space="0" w:color="auto"/>
        <w:bottom w:val="none" w:sz="0" w:space="0" w:color="auto"/>
        <w:right w:val="none" w:sz="0" w:space="0" w:color="auto"/>
      </w:divBdr>
    </w:div>
    <w:div w:id="1301688994">
      <w:bodyDiv w:val="1"/>
      <w:marLeft w:val="0"/>
      <w:marRight w:val="0"/>
      <w:marTop w:val="0"/>
      <w:marBottom w:val="0"/>
      <w:divBdr>
        <w:top w:val="none" w:sz="0" w:space="0" w:color="auto"/>
        <w:left w:val="none" w:sz="0" w:space="0" w:color="auto"/>
        <w:bottom w:val="none" w:sz="0" w:space="0" w:color="auto"/>
        <w:right w:val="none" w:sz="0" w:space="0" w:color="auto"/>
      </w:divBdr>
    </w:div>
    <w:div w:id="1309213349">
      <w:bodyDiv w:val="1"/>
      <w:marLeft w:val="0"/>
      <w:marRight w:val="0"/>
      <w:marTop w:val="0"/>
      <w:marBottom w:val="0"/>
      <w:divBdr>
        <w:top w:val="none" w:sz="0" w:space="0" w:color="auto"/>
        <w:left w:val="none" w:sz="0" w:space="0" w:color="auto"/>
        <w:bottom w:val="none" w:sz="0" w:space="0" w:color="auto"/>
        <w:right w:val="none" w:sz="0" w:space="0" w:color="auto"/>
      </w:divBdr>
    </w:div>
    <w:div w:id="1316761803">
      <w:bodyDiv w:val="1"/>
      <w:marLeft w:val="0"/>
      <w:marRight w:val="0"/>
      <w:marTop w:val="0"/>
      <w:marBottom w:val="0"/>
      <w:divBdr>
        <w:top w:val="none" w:sz="0" w:space="0" w:color="auto"/>
        <w:left w:val="none" w:sz="0" w:space="0" w:color="auto"/>
        <w:bottom w:val="none" w:sz="0" w:space="0" w:color="auto"/>
        <w:right w:val="none" w:sz="0" w:space="0" w:color="auto"/>
      </w:divBdr>
    </w:div>
    <w:div w:id="1348483451">
      <w:bodyDiv w:val="1"/>
      <w:marLeft w:val="0"/>
      <w:marRight w:val="0"/>
      <w:marTop w:val="0"/>
      <w:marBottom w:val="0"/>
      <w:divBdr>
        <w:top w:val="none" w:sz="0" w:space="0" w:color="auto"/>
        <w:left w:val="none" w:sz="0" w:space="0" w:color="auto"/>
        <w:bottom w:val="none" w:sz="0" w:space="0" w:color="auto"/>
        <w:right w:val="none" w:sz="0" w:space="0" w:color="auto"/>
      </w:divBdr>
      <w:divsChild>
        <w:div w:id="1715273944">
          <w:marLeft w:val="0"/>
          <w:marRight w:val="0"/>
          <w:marTop w:val="0"/>
          <w:marBottom w:val="0"/>
          <w:divBdr>
            <w:top w:val="none" w:sz="0" w:space="0" w:color="auto"/>
            <w:left w:val="none" w:sz="0" w:space="0" w:color="auto"/>
            <w:bottom w:val="none" w:sz="0" w:space="0" w:color="auto"/>
            <w:right w:val="none" w:sz="0" w:space="0" w:color="auto"/>
          </w:divBdr>
        </w:div>
        <w:div w:id="1782339586">
          <w:marLeft w:val="0"/>
          <w:marRight w:val="0"/>
          <w:marTop w:val="0"/>
          <w:marBottom w:val="0"/>
          <w:divBdr>
            <w:top w:val="none" w:sz="0" w:space="0" w:color="auto"/>
            <w:left w:val="none" w:sz="0" w:space="0" w:color="auto"/>
            <w:bottom w:val="none" w:sz="0" w:space="0" w:color="auto"/>
            <w:right w:val="none" w:sz="0" w:space="0" w:color="auto"/>
          </w:divBdr>
        </w:div>
        <w:div w:id="1481923773">
          <w:marLeft w:val="0"/>
          <w:marRight w:val="0"/>
          <w:marTop w:val="0"/>
          <w:marBottom w:val="0"/>
          <w:divBdr>
            <w:top w:val="none" w:sz="0" w:space="0" w:color="auto"/>
            <w:left w:val="none" w:sz="0" w:space="0" w:color="auto"/>
            <w:bottom w:val="none" w:sz="0" w:space="0" w:color="auto"/>
            <w:right w:val="none" w:sz="0" w:space="0" w:color="auto"/>
          </w:divBdr>
        </w:div>
      </w:divsChild>
    </w:div>
    <w:div w:id="1374159029">
      <w:bodyDiv w:val="1"/>
      <w:marLeft w:val="0"/>
      <w:marRight w:val="0"/>
      <w:marTop w:val="0"/>
      <w:marBottom w:val="0"/>
      <w:divBdr>
        <w:top w:val="none" w:sz="0" w:space="0" w:color="auto"/>
        <w:left w:val="none" w:sz="0" w:space="0" w:color="auto"/>
        <w:bottom w:val="none" w:sz="0" w:space="0" w:color="auto"/>
        <w:right w:val="none" w:sz="0" w:space="0" w:color="auto"/>
      </w:divBdr>
    </w:div>
    <w:div w:id="1375619268">
      <w:bodyDiv w:val="1"/>
      <w:marLeft w:val="0"/>
      <w:marRight w:val="0"/>
      <w:marTop w:val="0"/>
      <w:marBottom w:val="0"/>
      <w:divBdr>
        <w:top w:val="none" w:sz="0" w:space="0" w:color="auto"/>
        <w:left w:val="none" w:sz="0" w:space="0" w:color="auto"/>
        <w:bottom w:val="none" w:sz="0" w:space="0" w:color="auto"/>
        <w:right w:val="none" w:sz="0" w:space="0" w:color="auto"/>
      </w:divBdr>
    </w:div>
    <w:div w:id="1421096127">
      <w:bodyDiv w:val="1"/>
      <w:marLeft w:val="0"/>
      <w:marRight w:val="0"/>
      <w:marTop w:val="0"/>
      <w:marBottom w:val="0"/>
      <w:divBdr>
        <w:top w:val="none" w:sz="0" w:space="0" w:color="auto"/>
        <w:left w:val="none" w:sz="0" w:space="0" w:color="auto"/>
        <w:bottom w:val="none" w:sz="0" w:space="0" w:color="auto"/>
        <w:right w:val="none" w:sz="0" w:space="0" w:color="auto"/>
      </w:divBdr>
    </w:div>
    <w:div w:id="1497723632">
      <w:bodyDiv w:val="1"/>
      <w:marLeft w:val="0"/>
      <w:marRight w:val="0"/>
      <w:marTop w:val="0"/>
      <w:marBottom w:val="0"/>
      <w:divBdr>
        <w:top w:val="none" w:sz="0" w:space="0" w:color="auto"/>
        <w:left w:val="none" w:sz="0" w:space="0" w:color="auto"/>
        <w:bottom w:val="none" w:sz="0" w:space="0" w:color="auto"/>
        <w:right w:val="none" w:sz="0" w:space="0" w:color="auto"/>
      </w:divBdr>
    </w:div>
    <w:div w:id="1511219225">
      <w:bodyDiv w:val="1"/>
      <w:marLeft w:val="0"/>
      <w:marRight w:val="0"/>
      <w:marTop w:val="0"/>
      <w:marBottom w:val="0"/>
      <w:divBdr>
        <w:top w:val="none" w:sz="0" w:space="0" w:color="auto"/>
        <w:left w:val="none" w:sz="0" w:space="0" w:color="auto"/>
        <w:bottom w:val="none" w:sz="0" w:space="0" w:color="auto"/>
        <w:right w:val="none" w:sz="0" w:space="0" w:color="auto"/>
      </w:divBdr>
    </w:div>
    <w:div w:id="1529562013">
      <w:bodyDiv w:val="1"/>
      <w:marLeft w:val="0"/>
      <w:marRight w:val="0"/>
      <w:marTop w:val="0"/>
      <w:marBottom w:val="0"/>
      <w:divBdr>
        <w:top w:val="none" w:sz="0" w:space="0" w:color="auto"/>
        <w:left w:val="none" w:sz="0" w:space="0" w:color="auto"/>
        <w:bottom w:val="none" w:sz="0" w:space="0" w:color="auto"/>
        <w:right w:val="none" w:sz="0" w:space="0" w:color="auto"/>
      </w:divBdr>
    </w:div>
    <w:div w:id="1596592320">
      <w:bodyDiv w:val="1"/>
      <w:marLeft w:val="0"/>
      <w:marRight w:val="0"/>
      <w:marTop w:val="0"/>
      <w:marBottom w:val="0"/>
      <w:divBdr>
        <w:top w:val="none" w:sz="0" w:space="0" w:color="auto"/>
        <w:left w:val="none" w:sz="0" w:space="0" w:color="auto"/>
        <w:bottom w:val="none" w:sz="0" w:space="0" w:color="auto"/>
        <w:right w:val="none" w:sz="0" w:space="0" w:color="auto"/>
      </w:divBdr>
    </w:div>
    <w:div w:id="1598059843">
      <w:bodyDiv w:val="1"/>
      <w:marLeft w:val="0"/>
      <w:marRight w:val="0"/>
      <w:marTop w:val="0"/>
      <w:marBottom w:val="0"/>
      <w:divBdr>
        <w:top w:val="none" w:sz="0" w:space="0" w:color="auto"/>
        <w:left w:val="none" w:sz="0" w:space="0" w:color="auto"/>
        <w:bottom w:val="none" w:sz="0" w:space="0" w:color="auto"/>
        <w:right w:val="none" w:sz="0" w:space="0" w:color="auto"/>
      </w:divBdr>
    </w:div>
    <w:div w:id="1619797569">
      <w:bodyDiv w:val="1"/>
      <w:marLeft w:val="0"/>
      <w:marRight w:val="0"/>
      <w:marTop w:val="0"/>
      <w:marBottom w:val="0"/>
      <w:divBdr>
        <w:top w:val="none" w:sz="0" w:space="0" w:color="auto"/>
        <w:left w:val="none" w:sz="0" w:space="0" w:color="auto"/>
        <w:bottom w:val="none" w:sz="0" w:space="0" w:color="auto"/>
        <w:right w:val="none" w:sz="0" w:space="0" w:color="auto"/>
      </w:divBdr>
    </w:div>
    <w:div w:id="1642732065">
      <w:bodyDiv w:val="1"/>
      <w:marLeft w:val="0"/>
      <w:marRight w:val="0"/>
      <w:marTop w:val="0"/>
      <w:marBottom w:val="0"/>
      <w:divBdr>
        <w:top w:val="none" w:sz="0" w:space="0" w:color="auto"/>
        <w:left w:val="none" w:sz="0" w:space="0" w:color="auto"/>
        <w:bottom w:val="none" w:sz="0" w:space="0" w:color="auto"/>
        <w:right w:val="none" w:sz="0" w:space="0" w:color="auto"/>
      </w:divBdr>
    </w:div>
    <w:div w:id="1690334941">
      <w:bodyDiv w:val="1"/>
      <w:marLeft w:val="0"/>
      <w:marRight w:val="0"/>
      <w:marTop w:val="0"/>
      <w:marBottom w:val="0"/>
      <w:divBdr>
        <w:top w:val="none" w:sz="0" w:space="0" w:color="auto"/>
        <w:left w:val="none" w:sz="0" w:space="0" w:color="auto"/>
        <w:bottom w:val="none" w:sz="0" w:space="0" w:color="auto"/>
        <w:right w:val="none" w:sz="0" w:space="0" w:color="auto"/>
      </w:divBdr>
    </w:div>
    <w:div w:id="1708792289">
      <w:bodyDiv w:val="1"/>
      <w:marLeft w:val="0"/>
      <w:marRight w:val="0"/>
      <w:marTop w:val="0"/>
      <w:marBottom w:val="0"/>
      <w:divBdr>
        <w:top w:val="none" w:sz="0" w:space="0" w:color="auto"/>
        <w:left w:val="none" w:sz="0" w:space="0" w:color="auto"/>
        <w:bottom w:val="none" w:sz="0" w:space="0" w:color="auto"/>
        <w:right w:val="none" w:sz="0" w:space="0" w:color="auto"/>
      </w:divBdr>
    </w:div>
    <w:div w:id="1741441967">
      <w:bodyDiv w:val="1"/>
      <w:marLeft w:val="0"/>
      <w:marRight w:val="0"/>
      <w:marTop w:val="0"/>
      <w:marBottom w:val="0"/>
      <w:divBdr>
        <w:top w:val="none" w:sz="0" w:space="0" w:color="auto"/>
        <w:left w:val="none" w:sz="0" w:space="0" w:color="auto"/>
        <w:bottom w:val="none" w:sz="0" w:space="0" w:color="auto"/>
        <w:right w:val="none" w:sz="0" w:space="0" w:color="auto"/>
      </w:divBdr>
    </w:div>
    <w:div w:id="1804038439">
      <w:bodyDiv w:val="1"/>
      <w:marLeft w:val="0"/>
      <w:marRight w:val="0"/>
      <w:marTop w:val="0"/>
      <w:marBottom w:val="0"/>
      <w:divBdr>
        <w:top w:val="none" w:sz="0" w:space="0" w:color="auto"/>
        <w:left w:val="none" w:sz="0" w:space="0" w:color="auto"/>
        <w:bottom w:val="none" w:sz="0" w:space="0" w:color="auto"/>
        <w:right w:val="none" w:sz="0" w:space="0" w:color="auto"/>
      </w:divBdr>
      <w:divsChild>
        <w:div w:id="1492524258">
          <w:marLeft w:val="0"/>
          <w:marRight w:val="0"/>
          <w:marTop w:val="0"/>
          <w:marBottom w:val="0"/>
          <w:divBdr>
            <w:top w:val="none" w:sz="0" w:space="0" w:color="auto"/>
            <w:left w:val="none" w:sz="0" w:space="0" w:color="auto"/>
            <w:bottom w:val="none" w:sz="0" w:space="0" w:color="auto"/>
            <w:right w:val="none" w:sz="0" w:space="0" w:color="auto"/>
          </w:divBdr>
        </w:div>
        <w:div w:id="196938123">
          <w:marLeft w:val="0"/>
          <w:marRight w:val="0"/>
          <w:marTop w:val="0"/>
          <w:marBottom w:val="0"/>
          <w:divBdr>
            <w:top w:val="none" w:sz="0" w:space="0" w:color="auto"/>
            <w:left w:val="none" w:sz="0" w:space="0" w:color="auto"/>
            <w:bottom w:val="none" w:sz="0" w:space="0" w:color="auto"/>
            <w:right w:val="none" w:sz="0" w:space="0" w:color="auto"/>
          </w:divBdr>
        </w:div>
        <w:div w:id="409355439">
          <w:marLeft w:val="0"/>
          <w:marRight w:val="0"/>
          <w:marTop w:val="0"/>
          <w:marBottom w:val="0"/>
          <w:divBdr>
            <w:top w:val="none" w:sz="0" w:space="0" w:color="auto"/>
            <w:left w:val="none" w:sz="0" w:space="0" w:color="auto"/>
            <w:bottom w:val="none" w:sz="0" w:space="0" w:color="auto"/>
            <w:right w:val="none" w:sz="0" w:space="0" w:color="auto"/>
          </w:divBdr>
        </w:div>
      </w:divsChild>
    </w:div>
    <w:div w:id="1811363309">
      <w:bodyDiv w:val="1"/>
      <w:marLeft w:val="0"/>
      <w:marRight w:val="0"/>
      <w:marTop w:val="0"/>
      <w:marBottom w:val="0"/>
      <w:divBdr>
        <w:top w:val="none" w:sz="0" w:space="0" w:color="auto"/>
        <w:left w:val="none" w:sz="0" w:space="0" w:color="auto"/>
        <w:bottom w:val="none" w:sz="0" w:space="0" w:color="auto"/>
        <w:right w:val="none" w:sz="0" w:space="0" w:color="auto"/>
      </w:divBdr>
    </w:div>
    <w:div w:id="1814760539">
      <w:bodyDiv w:val="1"/>
      <w:marLeft w:val="0"/>
      <w:marRight w:val="0"/>
      <w:marTop w:val="0"/>
      <w:marBottom w:val="0"/>
      <w:divBdr>
        <w:top w:val="none" w:sz="0" w:space="0" w:color="auto"/>
        <w:left w:val="none" w:sz="0" w:space="0" w:color="auto"/>
        <w:bottom w:val="none" w:sz="0" w:space="0" w:color="auto"/>
        <w:right w:val="none" w:sz="0" w:space="0" w:color="auto"/>
      </w:divBdr>
    </w:div>
    <w:div w:id="1827352597">
      <w:bodyDiv w:val="1"/>
      <w:marLeft w:val="0"/>
      <w:marRight w:val="0"/>
      <w:marTop w:val="0"/>
      <w:marBottom w:val="0"/>
      <w:divBdr>
        <w:top w:val="none" w:sz="0" w:space="0" w:color="auto"/>
        <w:left w:val="none" w:sz="0" w:space="0" w:color="auto"/>
        <w:bottom w:val="none" w:sz="0" w:space="0" w:color="auto"/>
        <w:right w:val="none" w:sz="0" w:space="0" w:color="auto"/>
      </w:divBdr>
    </w:div>
    <w:div w:id="1846045494">
      <w:bodyDiv w:val="1"/>
      <w:marLeft w:val="0"/>
      <w:marRight w:val="0"/>
      <w:marTop w:val="0"/>
      <w:marBottom w:val="0"/>
      <w:divBdr>
        <w:top w:val="none" w:sz="0" w:space="0" w:color="auto"/>
        <w:left w:val="none" w:sz="0" w:space="0" w:color="auto"/>
        <w:bottom w:val="none" w:sz="0" w:space="0" w:color="auto"/>
        <w:right w:val="none" w:sz="0" w:space="0" w:color="auto"/>
      </w:divBdr>
    </w:div>
    <w:div w:id="1883594205">
      <w:bodyDiv w:val="1"/>
      <w:marLeft w:val="0"/>
      <w:marRight w:val="0"/>
      <w:marTop w:val="0"/>
      <w:marBottom w:val="0"/>
      <w:divBdr>
        <w:top w:val="none" w:sz="0" w:space="0" w:color="auto"/>
        <w:left w:val="none" w:sz="0" w:space="0" w:color="auto"/>
        <w:bottom w:val="none" w:sz="0" w:space="0" w:color="auto"/>
        <w:right w:val="none" w:sz="0" w:space="0" w:color="auto"/>
      </w:divBdr>
    </w:div>
    <w:div w:id="1925069731">
      <w:bodyDiv w:val="1"/>
      <w:marLeft w:val="0"/>
      <w:marRight w:val="0"/>
      <w:marTop w:val="0"/>
      <w:marBottom w:val="0"/>
      <w:divBdr>
        <w:top w:val="none" w:sz="0" w:space="0" w:color="auto"/>
        <w:left w:val="none" w:sz="0" w:space="0" w:color="auto"/>
        <w:bottom w:val="none" w:sz="0" w:space="0" w:color="auto"/>
        <w:right w:val="none" w:sz="0" w:space="0" w:color="auto"/>
      </w:divBdr>
    </w:div>
    <w:div w:id="1960069329">
      <w:bodyDiv w:val="1"/>
      <w:marLeft w:val="0"/>
      <w:marRight w:val="0"/>
      <w:marTop w:val="0"/>
      <w:marBottom w:val="0"/>
      <w:divBdr>
        <w:top w:val="none" w:sz="0" w:space="0" w:color="auto"/>
        <w:left w:val="none" w:sz="0" w:space="0" w:color="auto"/>
        <w:bottom w:val="none" w:sz="0" w:space="0" w:color="auto"/>
        <w:right w:val="none" w:sz="0" w:space="0" w:color="auto"/>
      </w:divBdr>
    </w:div>
    <w:div w:id="1961644832">
      <w:bodyDiv w:val="1"/>
      <w:marLeft w:val="0"/>
      <w:marRight w:val="0"/>
      <w:marTop w:val="0"/>
      <w:marBottom w:val="0"/>
      <w:divBdr>
        <w:top w:val="none" w:sz="0" w:space="0" w:color="auto"/>
        <w:left w:val="none" w:sz="0" w:space="0" w:color="auto"/>
        <w:bottom w:val="none" w:sz="0" w:space="0" w:color="auto"/>
        <w:right w:val="none" w:sz="0" w:space="0" w:color="auto"/>
      </w:divBdr>
    </w:div>
    <w:div w:id="1982997293">
      <w:bodyDiv w:val="1"/>
      <w:marLeft w:val="0"/>
      <w:marRight w:val="0"/>
      <w:marTop w:val="0"/>
      <w:marBottom w:val="0"/>
      <w:divBdr>
        <w:top w:val="none" w:sz="0" w:space="0" w:color="auto"/>
        <w:left w:val="none" w:sz="0" w:space="0" w:color="auto"/>
        <w:bottom w:val="none" w:sz="0" w:space="0" w:color="auto"/>
        <w:right w:val="none" w:sz="0" w:space="0" w:color="auto"/>
      </w:divBdr>
    </w:div>
    <w:div w:id="2066685752">
      <w:bodyDiv w:val="1"/>
      <w:marLeft w:val="0"/>
      <w:marRight w:val="0"/>
      <w:marTop w:val="0"/>
      <w:marBottom w:val="0"/>
      <w:divBdr>
        <w:top w:val="none" w:sz="0" w:space="0" w:color="auto"/>
        <w:left w:val="none" w:sz="0" w:space="0" w:color="auto"/>
        <w:bottom w:val="none" w:sz="0" w:space="0" w:color="auto"/>
        <w:right w:val="none" w:sz="0" w:space="0" w:color="auto"/>
      </w:divBdr>
    </w:div>
    <w:div w:id="2071416977">
      <w:bodyDiv w:val="1"/>
      <w:marLeft w:val="0"/>
      <w:marRight w:val="0"/>
      <w:marTop w:val="0"/>
      <w:marBottom w:val="0"/>
      <w:divBdr>
        <w:top w:val="none" w:sz="0" w:space="0" w:color="auto"/>
        <w:left w:val="none" w:sz="0" w:space="0" w:color="auto"/>
        <w:bottom w:val="none" w:sz="0" w:space="0" w:color="auto"/>
        <w:right w:val="none" w:sz="0" w:space="0" w:color="auto"/>
      </w:divBdr>
    </w:div>
    <w:div w:id="2073775711">
      <w:bodyDiv w:val="1"/>
      <w:marLeft w:val="0"/>
      <w:marRight w:val="0"/>
      <w:marTop w:val="0"/>
      <w:marBottom w:val="0"/>
      <w:divBdr>
        <w:top w:val="none" w:sz="0" w:space="0" w:color="auto"/>
        <w:left w:val="none" w:sz="0" w:space="0" w:color="auto"/>
        <w:bottom w:val="none" w:sz="0" w:space="0" w:color="auto"/>
        <w:right w:val="none" w:sz="0" w:space="0" w:color="auto"/>
      </w:divBdr>
    </w:div>
    <w:div w:id="2082019388">
      <w:bodyDiv w:val="1"/>
      <w:marLeft w:val="0"/>
      <w:marRight w:val="0"/>
      <w:marTop w:val="0"/>
      <w:marBottom w:val="0"/>
      <w:divBdr>
        <w:top w:val="none" w:sz="0" w:space="0" w:color="auto"/>
        <w:left w:val="none" w:sz="0" w:space="0" w:color="auto"/>
        <w:bottom w:val="none" w:sz="0" w:space="0" w:color="auto"/>
        <w:right w:val="none" w:sz="0" w:space="0" w:color="auto"/>
      </w:divBdr>
    </w:div>
    <w:div w:id="2118674113">
      <w:bodyDiv w:val="1"/>
      <w:marLeft w:val="0"/>
      <w:marRight w:val="0"/>
      <w:marTop w:val="0"/>
      <w:marBottom w:val="0"/>
      <w:divBdr>
        <w:top w:val="none" w:sz="0" w:space="0" w:color="auto"/>
        <w:left w:val="none" w:sz="0" w:space="0" w:color="auto"/>
        <w:bottom w:val="none" w:sz="0" w:space="0" w:color="auto"/>
        <w:right w:val="none" w:sz="0" w:space="0" w:color="auto"/>
      </w:divBdr>
    </w:div>
    <w:div w:id="2123570757">
      <w:bodyDiv w:val="1"/>
      <w:marLeft w:val="0"/>
      <w:marRight w:val="0"/>
      <w:marTop w:val="0"/>
      <w:marBottom w:val="0"/>
      <w:divBdr>
        <w:top w:val="none" w:sz="0" w:space="0" w:color="auto"/>
        <w:left w:val="none" w:sz="0" w:space="0" w:color="auto"/>
        <w:bottom w:val="none" w:sz="0" w:space="0" w:color="auto"/>
        <w:right w:val="none" w:sz="0" w:space="0" w:color="auto"/>
      </w:divBdr>
    </w:div>
    <w:div w:id="2127654701">
      <w:bodyDiv w:val="1"/>
      <w:marLeft w:val="0"/>
      <w:marRight w:val="0"/>
      <w:marTop w:val="0"/>
      <w:marBottom w:val="0"/>
      <w:divBdr>
        <w:top w:val="none" w:sz="0" w:space="0" w:color="auto"/>
        <w:left w:val="none" w:sz="0" w:space="0" w:color="auto"/>
        <w:bottom w:val="none" w:sz="0" w:space="0" w:color="auto"/>
        <w:right w:val="none" w:sz="0" w:space="0" w:color="auto"/>
      </w:divBdr>
    </w:div>
    <w:div w:id="214496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m/Library/Group%20Containers/UBF8T346G9.Office/User%20Content.localized/Templates.localized/20181202%20-%20BMD%20Patter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332CE-0508-9F4D-AC1E-D01524B53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20181202 - BMD Pattern.dotx</Template>
  <TotalTime>3</TotalTime>
  <Pages>46</Pages>
  <Words>55849</Words>
  <Characters>318344</Characters>
  <Application>Microsoft Office Word</Application>
  <DocSecurity>0</DocSecurity>
  <Lines>2652</Lines>
  <Paragraphs>746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Moellers, Thomas</dc:creator>
  <cp:keywords/>
  <dc:description/>
  <cp:lastModifiedBy>Moellers, Thomas</cp:lastModifiedBy>
  <cp:revision>7</cp:revision>
  <cp:lastPrinted>2019-02-13T09:41:00Z</cp:lastPrinted>
  <dcterms:created xsi:type="dcterms:W3CDTF">2019-02-13T09:41:00Z</dcterms:created>
  <dcterms:modified xsi:type="dcterms:W3CDTF">2019-06-04T12:40:00Z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83dd721c-dff0-39d6-b251-73c1b4cec029</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http://www.zotero.org/styles/national-library-of-medicine</vt:lpwstr>
  </property>
  <property fmtid="{D5CDD505-2E9C-101B-9397-08002B2CF9AE}" pid="22" name="Mendeley Recent Style Name 8_1">
    <vt:lpwstr>National Library of Medicine</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