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93981" w14:textId="77777777" w:rsidR="006D75D3" w:rsidRPr="00B812AF" w:rsidRDefault="006D75D3" w:rsidP="006D75D3">
      <w:pPr>
        <w:pStyle w:val="Standard15"/>
      </w:pPr>
      <w:bookmarkStart w:id="0" w:name="_Toc484779395"/>
      <w:bookmarkStart w:id="1" w:name="_Toc484779453"/>
      <w:bookmarkStart w:id="2" w:name="_Toc484779394"/>
      <w:bookmarkStart w:id="3" w:name="_Toc484779452"/>
      <w:r>
        <w:t>Benjamin Schindler</w:t>
      </w:r>
      <w:r w:rsidRPr="00B812AF">
        <w:rPr>
          <w:rStyle w:val="Funotenzeichen"/>
          <w:sz w:val="32"/>
          <w:szCs w:val="32"/>
        </w:rPr>
        <w:footnoteReference w:customMarkFollows="1" w:id="1"/>
        <w:sym w:font="Symbol" w:char="F02A"/>
      </w:r>
      <w:bookmarkEnd w:id="0"/>
      <w:bookmarkEnd w:id="1"/>
    </w:p>
    <w:bookmarkEnd w:id="2"/>
    <w:bookmarkEnd w:id="3"/>
    <w:p w14:paraId="0EDB8037" w14:textId="78B3663F" w:rsidR="001A5B7C" w:rsidRDefault="001A5B7C" w:rsidP="007D7BB2">
      <w:pPr>
        <w:pStyle w:val="Standard15"/>
        <w:rPr>
          <w:b/>
          <w:bCs/>
          <w:sz w:val="28"/>
          <w:szCs w:val="28"/>
        </w:rPr>
      </w:pPr>
      <w:r>
        <w:rPr>
          <w:b/>
          <w:bCs/>
          <w:sz w:val="28"/>
          <w:szCs w:val="28"/>
        </w:rPr>
        <w:t>Interkantonale Straf</w:t>
      </w:r>
      <w:r w:rsidR="002B419C">
        <w:rPr>
          <w:b/>
          <w:bCs/>
          <w:sz w:val="28"/>
          <w:szCs w:val="28"/>
        </w:rPr>
        <w:t>verfolgungs</w:t>
      </w:r>
      <w:r>
        <w:rPr>
          <w:b/>
          <w:bCs/>
          <w:sz w:val="28"/>
          <w:szCs w:val="28"/>
        </w:rPr>
        <w:t>behörden – Möglichkeiten und Grenzen</w:t>
      </w:r>
    </w:p>
    <w:p w14:paraId="2A9AAE88" w14:textId="53325B36" w:rsidR="007D7BB2" w:rsidRPr="001A5B7C" w:rsidRDefault="001A5B7C" w:rsidP="007D7BB2">
      <w:pPr>
        <w:pStyle w:val="Standard15"/>
        <w:rPr>
          <w:b/>
          <w:sz w:val="24"/>
          <w:szCs w:val="24"/>
        </w:rPr>
      </w:pPr>
      <w:r w:rsidRPr="001A5B7C">
        <w:rPr>
          <w:b/>
          <w:bCs/>
          <w:sz w:val="24"/>
          <w:szCs w:val="24"/>
        </w:rPr>
        <w:t>E</w:t>
      </w:r>
      <w:r w:rsidR="00553F66" w:rsidRPr="001A5B7C">
        <w:rPr>
          <w:b/>
          <w:bCs/>
          <w:sz w:val="24"/>
          <w:szCs w:val="24"/>
        </w:rPr>
        <w:t>in Diskussionsbeitrag aus staats</w:t>
      </w:r>
      <w:r w:rsidR="00AE184D" w:rsidRPr="001A5B7C">
        <w:rPr>
          <w:b/>
          <w:bCs/>
          <w:sz w:val="24"/>
          <w:szCs w:val="24"/>
        </w:rPr>
        <w:t>- und verwaltungs</w:t>
      </w:r>
      <w:r w:rsidR="00553F66" w:rsidRPr="001A5B7C">
        <w:rPr>
          <w:b/>
          <w:bCs/>
          <w:sz w:val="24"/>
          <w:szCs w:val="24"/>
        </w:rPr>
        <w:t>rechtlicher Sicht</w:t>
      </w:r>
    </w:p>
    <w:p w14:paraId="2C79B3FC" w14:textId="77777777" w:rsidR="00F14639" w:rsidRPr="00B812AF" w:rsidRDefault="00F14639" w:rsidP="004C42C7">
      <w:pPr>
        <w:rPr>
          <w:rFonts w:cs="Times New Roman"/>
        </w:rPr>
      </w:pPr>
    </w:p>
    <w:p w14:paraId="53FA8F68" w14:textId="71237F88" w:rsidR="00F21580" w:rsidRPr="00E628AB" w:rsidRDefault="008715B9" w:rsidP="00E628AB">
      <w:pPr>
        <w:pStyle w:val="Standard15"/>
        <w:rPr>
          <w:i/>
        </w:rPr>
      </w:pPr>
      <w:r>
        <w:rPr>
          <w:i/>
        </w:rPr>
        <w:t>Kleine Kantone stossen vielfach an Grenzen bei der Rekrutierung von Personal und der Gewährleistung einer fachlich spezialisierten und unabhängigen Staatsanwaltschaft</w:t>
      </w:r>
      <w:r w:rsidR="00F21580" w:rsidRPr="00E628AB">
        <w:rPr>
          <w:i/>
        </w:rPr>
        <w:t>.</w:t>
      </w:r>
      <w:r>
        <w:rPr>
          <w:i/>
        </w:rPr>
        <w:t xml:space="preserve"> Eine verstärkte interkantonale Kooperation oder gar die Schaffung </w:t>
      </w:r>
      <w:r w:rsidR="0074624C">
        <w:rPr>
          <w:i/>
        </w:rPr>
        <w:t>gemeinsamer</w:t>
      </w:r>
      <w:r>
        <w:rPr>
          <w:i/>
        </w:rPr>
        <w:t xml:space="preserve"> Straf</w:t>
      </w:r>
      <w:r w:rsidR="008213AF">
        <w:rPr>
          <w:i/>
        </w:rPr>
        <w:t>verfolgungs</w:t>
      </w:r>
      <w:r>
        <w:rPr>
          <w:i/>
        </w:rPr>
        <w:t xml:space="preserve">behörden könnte hier Abhilfe schaffen. Der vorliegende Beitrag zeigt auf, welche verfassungsrechtlichen Vorgaben bei einer solchen Zusammenarbeit zu beachten sind und welche möglichen Modelle einer Ausgestaltung sich anbieten. Hierbei kann auf zahlreiche Beispiele </w:t>
      </w:r>
      <w:r w:rsidR="00A05266">
        <w:rPr>
          <w:i/>
        </w:rPr>
        <w:t xml:space="preserve">und Erfahrungen </w:t>
      </w:r>
      <w:r w:rsidR="0074624C">
        <w:rPr>
          <w:i/>
        </w:rPr>
        <w:t>aus dem</w:t>
      </w:r>
      <w:r w:rsidR="00A05266">
        <w:rPr>
          <w:i/>
        </w:rPr>
        <w:t xml:space="preserve"> kooperativen Föderalismus zurückgegriffen werden.</w:t>
      </w:r>
    </w:p>
    <w:p w14:paraId="4E5C5FD9" w14:textId="77777777" w:rsidR="00A04E00" w:rsidRPr="00E748C1" w:rsidRDefault="00A04E00" w:rsidP="006F158F">
      <w:pPr>
        <w:outlineLvl w:val="0"/>
        <w:rPr>
          <w:rFonts w:cs="Times New Roman"/>
          <w:b/>
          <w:szCs w:val="22"/>
        </w:rPr>
      </w:pPr>
    </w:p>
    <w:p w14:paraId="0501308F" w14:textId="7E3638EC" w:rsidR="00B12B06" w:rsidRDefault="0086484A">
      <w:pPr>
        <w:pStyle w:val="Verzeichnis1"/>
        <w:tabs>
          <w:tab w:val="left" w:pos="440"/>
          <w:tab w:val="right" w:leader="dot" w:pos="9394"/>
        </w:tabs>
        <w:rPr>
          <w:rFonts w:cstheme="minorBidi"/>
          <w:noProof/>
        </w:rPr>
      </w:pPr>
      <w:r w:rsidRPr="00E748C1">
        <w:rPr>
          <w:rFonts w:ascii="Times New Roman" w:hAnsi="Times New Roman"/>
          <w:sz w:val="21"/>
          <w:szCs w:val="21"/>
        </w:rPr>
        <w:fldChar w:fldCharType="begin"/>
      </w:r>
      <w:r w:rsidR="00E628AB" w:rsidRPr="00E748C1">
        <w:rPr>
          <w:rFonts w:ascii="Times New Roman" w:hAnsi="Times New Roman"/>
          <w:sz w:val="21"/>
          <w:szCs w:val="21"/>
        </w:rPr>
        <w:instrText xml:space="preserve"> TOC \o "1-2" \h \z \u </w:instrText>
      </w:r>
      <w:r w:rsidRPr="00E748C1">
        <w:rPr>
          <w:rFonts w:ascii="Times New Roman" w:hAnsi="Times New Roman"/>
          <w:sz w:val="21"/>
          <w:szCs w:val="21"/>
        </w:rPr>
        <w:fldChar w:fldCharType="separate"/>
      </w:r>
      <w:hyperlink w:anchor="_Toc41986193" w:history="1">
        <w:r w:rsidR="00B12B06" w:rsidRPr="007C53E7">
          <w:rPr>
            <w:rStyle w:val="Hyperlink"/>
            <w:noProof/>
          </w:rPr>
          <w:t>I.</w:t>
        </w:r>
        <w:r w:rsidR="00B12B06">
          <w:rPr>
            <w:rFonts w:cstheme="minorBidi"/>
            <w:noProof/>
          </w:rPr>
          <w:tab/>
        </w:r>
        <w:r w:rsidR="00B12B06" w:rsidRPr="007C53E7">
          <w:rPr>
            <w:rStyle w:val="Hyperlink"/>
            <w:noProof/>
          </w:rPr>
          <w:t>Interkantonale Strafverfolgungsbehörden – wozu?</w:t>
        </w:r>
        <w:r w:rsidR="00B12B06">
          <w:rPr>
            <w:noProof/>
            <w:webHidden/>
          </w:rPr>
          <w:tab/>
        </w:r>
        <w:r w:rsidR="00B12B06">
          <w:rPr>
            <w:noProof/>
            <w:webHidden/>
          </w:rPr>
          <w:fldChar w:fldCharType="begin"/>
        </w:r>
        <w:r w:rsidR="00B12B06">
          <w:rPr>
            <w:noProof/>
            <w:webHidden/>
          </w:rPr>
          <w:instrText xml:space="preserve"> PAGEREF _Toc41986193 \h </w:instrText>
        </w:r>
        <w:r w:rsidR="00B12B06">
          <w:rPr>
            <w:noProof/>
            <w:webHidden/>
          </w:rPr>
        </w:r>
        <w:r w:rsidR="00B12B06">
          <w:rPr>
            <w:noProof/>
            <w:webHidden/>
          </w:rPr>
          <w:fldChar w:fldCharType="separate"/>
        </w:r>
        <w:r w:rsidR="00D2043F">
          <w:rPr>
            <w:noProof/>
            <w:webHidden/>
          </w:rPr>
          <w:t>- 2 -</w:t>
        </w:r>
        <w:r w:rsidR="00B12B06">
          <w:rPr>
            <w:noProof/>
            <w:webHidden/>
          </w:rPr>
          <w:fldChar w:fldCharType="end"/>
        </w:r>
      </w:hyperlink>
    </w:p>
    <w:p w14:paraId="19B08CC8" w14:textId="11D96598" w:rsidR="00B12B06" w:rsidRDefault="00113E50">
      <w:pPr>
        <w:pStyle w:val="Verzeichnis1"/>
        <w:tabs>
          <w:tab w:val="left" w:pos="440"/>
          <w:tab w:val="right" w:leader="dot" w:pos="9394"/>
        </w:tabs>
        <w:rPr>
          <w:rFonts w:cstheme="minorBidi"/>
          <w:noProof/>
        </w:rPr>
      </w:pPr>
      <w:hyperlink w:anchor="_Toc41986194" w:history="1">
        <w:r w:rsidR="00B12B06" w:rsidRPr="007C53E7">
          <w:rPr>
            <w:rStyle w:val="Hyperlink"/>
            <w:noProof/>
          </w:rPr>
          <w:t>II.</w:t>
        </w:r>
        <w:r w:rsidR="00B12B06">
          <w:rPr>
            <w:rFonts w:cstheme="minorBidi"/>
            <w:noProof/>
          </w:rPr>
          <w:tab/>
        </w:r>
        <w:r w:rsidR="00B12B06" w:rsidRPr="007C53E7">
          <w:rPr>
            <w:rStyle w:val="Hyperlink"/>
            <w:noProof/>
          </w:rPr>
          <w:t>Verfassungsrechtlicher Rahmen</w:t>
        </w:r>
        <w:r w:rsidR="00B12B06">
          <w:rPr>
            <w:noProof/>
            <w:webHidden/>
          </w:rPr>
          <w:tab/>
        </w:r>
        <w:r w:rsidR="00B12B06">
          <w:rPr>
            <w:noProof/>
            <w:webHidden/>
          </w:rPr>
          <w:fldChar w:fldCharType="begin"/>
        </w:r>
        <w:r w:rsidR="00B12B06">
          <w:rPr>
            <w:noProof/>
            <w:webHidden/>
          </w:rPr>
          <w:instrText xml:space="preserve"> PAGEREF _Toc41986194 \h </w:instrText>
        </w:r>
        <w:r w:rsidR="00B12B06">
          <w:rPr>
            <w:noProof/>
            <w:webHidden/>
          </w:rPr>
        </w:r>
        <w:r w:rsidR="00B12B06">
          <w:rPr>
            <w:noProof/>
            <w:webHidden/>
          </w:rPr>
          <w:fldChar w:fldCharType="separate"/>
        </w:r>
        <w:r w:rsidR="00D2043F">
          <w:rPr>
            <w:noProof/>
            <w:webHidden/>
          </w:rPr>
          <w:t>- 4 -</w:t>
        </w:r>
        <w:r w:rsidR="00B12B06">
          <w:rPr>
            <w:noProof/>
            <w:webHidden/>
          </w:rPr>
          <w:fldChar w:fldCharType="end"/>
        </w:r>
      </w:hyperlink>
    </w:p>
    <w:p w14:paraId="25159C4A" w14:textId="1BF4AB7C" w:rsidR="00B12B06" w:rsidRDefault="00113E50">
      <w:pPr>
        <w:pStyle w:val="Verzeichnis2"/>
        <w:tabs>
          <w:tab w:val="left" w:pos="660"/>
          <w:tab w:val="right" w:leader="dot" w:pos="9394"/>
        </w:tabs>
        <w:rPr>
          <w:rFonts w:cstheme="minorBidi"/>
          <w:noProof/>
        </w:rPr>
      </w:pPr>
      <w:hyperlink w:anchor="_Toc41986195" w:history="1">
        <w:r w:rsidR="00B12B06" w:rsidRPr="007C53E7">
          <w:rPr>
            <w:rStyle w:val="Hyperlink"/>
            <w:noProof/>
          </w:rPr>
          <w:t>1.</w:t>
        </w:r>
        <w:r w:rsidR="00B12B06">
          <w:rPr>
            <w:rFonts w:cstheme="minorBidi"/>
            <w:noProof/>
          </w:rPr>
          <w:tab/>
        </w:r>
        <w:r w:rsidR="00B12B06" w:rsidRPr="007C53E7">
          <w:rPr>
            <w:rStyle w:val="Hyperlink"/>
            <w:noProof/>
          </w:rPr>
          <w:t>Bundesverfassung</w:t>
        </w:r>
        <w:r w:rsidR="00B12B06">
          <w:rPr>
            <w:noProof/>
            <w:webHidden/>
          </w:rPr>
          <w:tab/>
        </w:r>
        <w:r w:rsidR="00B12B06">
          <w:rPr>
            <w:noProof/>
            <w:webHidden/>
          </w:rPr>
          <w:fldChar w:fldCharType="begin"/>
        </w:r>
        <w:r w:rsidR="00B12B06">
          <w:rPr>
            <w:noProof/>
            <w:webHidden/>
          </w:rPr>
          <w:instrText xml:space="preserve"> PAGEREF _Toc41986195 \h </w:instrText>
        </w:r>
        <w:r w:rsidR="00B12B06">
          <w:rPr>
            <w:noProof/>
            <w:webHidden/>
          </w:rPr>
        </w:r>
        <w:r w:rsidR="00B12B06">
          <w:rPr>
            <w:noProof/>
            <w:webHidden/>
          </w:rPr>
          <w:fldChar w:fldCharType="separate"/>
        </w:r>
        <w:r w:rsidR="00D2043F">
          <w:rPr>
            <w:noProof/>
            <w:webHidden/>
          </w:rPr>
          <w:t>- 4 -</w:t>
        </w:r>
        <w:r w:rsidR="00B12B06">
          <w:rPr>
            <w:noProof/>
            <w:webHidden/>
          </w:rPr>
          <w:fldChar w:fldCharType="end"/>
        </w:r>
      </w:hyperlink>
    </w:p>
    <w:p w14:paraId="49198F3C" w14:textId="44733242" w:rsidR="00B12B06" w:rsidRDefault="00113E50">
      <w:pPr>
        <w:pStyle w:val="Verzeichnis2"/>
        <w:tabs>
          <w:tab w:val="left" w:pos="660"/>
          <w:tab w:val="right" w:leader="dot" w:pos="9394"/>
        </w:tabs>
        <w:rPr>
          <w:rFonts w:cstheme="minorBidi"/>
          <w:noProof/>
        </w:rPr>
      </w:pPr>
      <w:hyperlink w:anchor="_Toc41986196" w:history="1">
        <w:r w:rsidR="00B12B06" w:rsidRPr="007C53E7">
          <w:rPr>
            <w:rStyle w:val="Hyperlink"/>
            <w:noProof/>
          </w:rPr>
          <w:t>2.</w:t>
        </w:r>
        <w:r w:rsidR="00B12B06">
          <w:rPr>
            <w:rFonts w:cstheme="minorBidi"/>
            <w:noProof/>
          </w:rPr>
          <w:tab/>
        </w:r>
        <w:r w:rsidR="00B12B06" w:rsidRPr="007C53E7">
          <w:rPr>
            <w:rStyle w:val="Hyperlink"/>
            <w:noProof/>
          </w:rPr>
          <w:t>Kantonales Verfassungsrecht</w:t>
        </w:r>
        <w:r w:rsidR="00B12B06">
          <w:rPr>
            <w:noProof/>
            <w:webHidden/>
          </w:rPr>
          <w:tab/>
        </w:r>
        <w:r w:rsidR="00B12B06">
          <w:rPr>
            <w:noProof/>
            <w:webHidden/>
          </w:rPr>
          <w:fldChar w:fldCharType="begin"/>
        </w:r>
        <w:r w:rsidR="00B12B06">
          <w:rPr>
            <w:noProof/>
            <w:webHidden/>
          </w:rPr>
          <w:instrText xml:space="preserve"> PAGEREF _Toc41986196 \h </w:instrText>
        </w:r>
        <w:r w:rsidR="00B12B06">
          <w:rPr>
            <w:noProof/>
            <w:webHidden/>
          </w:rPr>
        </w:r>
        <w:r w:rsidR="00B12B06">
          <w:rPr>
            <w:noProof/>
            <w:webHidden/>
          </w:rPr>
          <w:fldChar w:fldCharType="separate"/>
        </w:r>
        <w:r w:rsidR="00D2043F">
          <w:rPr>
            <w:noProof/>
            <w:webHidden/>
          </w:rPr>
          <w:t>- 5 -</w:t>
        </w:r>
        <w:r w:rsidR="00B12B06">
          <w:rPr>
            <w:noProof/>
            <w:webHidden/>
          </w:rPr>
          <w:fldChar w:fldCharType="end"/>
        </w:r>
      </w:hyperlink>
    </w:p>
    <w:p w14:paraId="7498CE28" w14:textId="695ABFCC" w:rsidR="00B12B06" w:rsidRDefault="00113E50">
      <w:pPr>
        <w:pStyle w:val="Verzeichnis1"/>
        <w:tabs>
          <w:tab w:val="left" w:pos="660"/>
          <w:tab w:val="right" w:leader="dot" w:pos="9394"/>
        </w:tabs>
        <w:rPr>
          <w:rFonts w:cstheme="minorBidi"/>
          <w:noProof/>
        </w:rPr>
      </w:pPr>
      <w:hyperlink w:anchor="_Toc41986197" w:history="1">
        <w:r w:rsidR="00B12B06" w:rsidRPr="007C53E7">
          <w:rPr>
            <w:rStyle w:val="Hyperlink"/>
            <w:noProof/>
          </w:rPr>
          <w:t>III.</w:t>
        </w:r>
        <w:r w:rsidR="00B12B06">
          <w:rPr>
            <w:rFonts w:cstheme="minorBidi"/>
            <w:noProof/>
          </w:rPr>
          <w:tab/>
        </w:r>
        <w:r w:rsidR="00B12B06" w:rsidRPr="007C53E7">
          <w:rPr>
            <w:rStyle w:val="Hyperlink"/>
            <w:noProof/>
          </w:rPr>
          <w:t>Staatsvertragliche Ausgestaltung</w:t>
        </w:r>
        <w:r w:rsidR="00B12B06">
          <w:rPr>
            <w:noProof/>
            <w:webHidden/>
          </w:rPr>
          <w:tab/>
        </w:r>
        <w:r w:rsidR="00B12B06">
          <w:rPr>
            <w:noProof/>
            <w:webHidden/>
          </w:rPr>
          <w:fldChar w:fldCharType="begin"/>
        </w:r>
        <w:r w:rsidR="00B12B06">
          <w:rPr>
            <w:noProof/>
            <w:webHidden/>
          </w:rPr>
          <w:instrText xml:space="preserve"> PAGEREF _Toc41986197 \h </w:instrText>
        </w:r>
        <w:r w:rsidR="00B12B06">
          <w:rPr>
            <w:noProof/>
            <w:webHidden/>
          </w:rPr>
        </w:r>
        <w:r w:rsidR="00B12B06">
          <w:rPr>
            <w:noProof/>
            <w:webHidden/>
          </w:rPr>
          <w:fldChar w:fldCharType="separate"/>
        </w:r>
        <w:r w:rsidR="00D2043F">
          <w:rPr>
            <w:noProof/>
            <w:webHidden/>
          </w:rPr>
          <w:t>- 6 -</w:t>
        </w:r>
        <w:r w:rsidR="00B12B06">
          <w:rPr>
            <w:noProof/>
            <w:webHidden/>
          </w:rPr>
          <w:fldChar w:fldCharType="end"/>
        </w:r>
      </w:hyperlink>
    </w:p>
    <w:p w14:paraId="2529BACF" w14:textId="25B15FB7" w:rsidR="00B12B06" w:rsidRDefault="00113E50">
      <w:pPr>
        <w:pStyle w:val="Verzeichnis2"/>
        <w:tabs>
          <w:tab w:val="left" w:pos="660"/>
          <w:tab w:val="right" w:leader="dot" w:pos="9394"/>
        </w:tabs>
        <w:rPr>
          <w:rFonts w:cstheme="minorBidi"/>
          <w:noProof/>
        </w:rPr>
      </w:pPr>
      <w:hyperlink w:anchor="_Toc41986198" w:history="1">
        <w:r w:rsidR="00B12B06" w:rsidRPr="007C53E7">
          <w:rPr>
            <w:rStyle w:val="Hyperlink"/>
            <w:noProof/>
          </w:rPr>
          <w:t>1.</w:t>
        </w:r>
        <w:r w:rsidR="00B12B06">
          <w:rPr>
            <w:rFonts w:cstheme="minorBidi"/>
            <w:noProof/>
          </w:rPr>
          <w:tab/>
        </w:r>
        <w:r w:rsidR="00B12B06" w:rsidRPr="007C53E7">
          <w:rPr>
            <w:rStyle w:val="Hyperlink"/>
            <w:noProof/>
          </w:rPr>
          <w:t>Zu regelnde Inhalte</w:t>
        </w:r>
        <w:r w:rsidR="00B12B06">
          <w:rPr>
            <w:noProof/>
            <w:webHidden/>
          </w:rPr>
          <w:tab/>
        </w:r>
        <w:r w:rsidR="00B12B06">
          <w:rPr>
            <w:noProof/>
            <w:webHidden/>
          </w:rPr>
          <w:fldChar w:fldCharType="begin"/>
        </w:r>
        <w:r w:rsidR="00B12B06">
          <w:rPr>
            <w:noProof/>
            <w:webHidden/>
          </w:rPr>
          <w:instrText xml:space="preserve"> PAGEREF _Toc41986198 \h </w:instrText>
        </w:r>
        <w:r w:rsidR="00B12B06">
          <w:rPr>
            <w:noProof/>
            <w:webHidden/>
          </w:rPr>
        </w:r>
        <w:r w:rsidR="00B12B06">
          <w:rPr>
            <w:noProof/>
            <w:webHidden/>
          </w:rPr>
          <w:fldChar w:fldCharType="separate"/>
        </w:r>
        <w:r w:rsidR="00D2043F">
          <w:rPr>
            <w:noProof/>
            <w:webHidden/>
          </w:rPr>
          <w:t>- 6 -</w:t>
        </w:r>
        <w:r w:rsidR="00B12B06">
          <w:rPr>
            <w:noProof/>
            <w:webHidden/>
          </w:rPr>
          <w:fldChar w:fldCharType="end"/>
        </w:r>
      </w:hyperlink>
    </w:p>
    <w:p w14:paraId="4CF06ECA" w14:textId="5E9C4AEF" w:rsidR="00B12B06" w:rsidRDefault="00113E50">
      <w:pPr>
        <w:pStyle w:val="Verzeichnis2"/>
        <w:tabs>
          <w:tab w:val="left" w:pos="660"/>
          <w:tab w:val="right" w:leader="dot" w:pos="9394"/>
        </w:tabs>
        <w:rPr>
          <w:rFonts w:cstheme="minorBidi"/>
          <w:noProof/>
        </w:rPr>
      </w:pPr>
      <w:hyperlink w:anchor="_Toc41986199" w:history="1">
        <w:r w:rsidR="00B12B06" w:rsidRPr="007C53E7">
          <w:rPr>
            <w:rStyle w:val="Hyperlink"/>
            <w:noProof/>
          </w:rPr>
          <w:t>2.</w:t>
        </w:r>
        <w:r w:rsidR="00B12B06">
          <w:rPr>
            <w:rFonts w:cstheme="minorBidi"/>
            <w:noProof/>
          </w:rPr>
          <w:tab/>
        </w:r>
        <w:r w:rsidR="00B12B06" w:rsidRPr="007C53E7">
          <w:rPr>
            <w:rStyle w:val="Hyperlink"/>
            <w:noProof/>
          </w:rPr>
          <w:t>Modell 1: Selbständigkeit der interkantonalen Behörde</w:t>
        </w:r>
        <w:r w:rsidR="00B12B06">
          <w:rPr>
            <w:noProof/>
            <w:webHidden/>
          </w:rPr>
          <w:tab/>
        </w:r>
        <w:r w:rsidR="00B12B06">
          <w:rPr>
            <w:noProof/>
            <w:webHidden/>
          </w:rPr>
          <w:fldChar w:fldCharType="begin"/>
        </w:r>
        <w:r w:rsidR="00B12B06">
          <w:rPr>
            <w:noProof/>
            <w:webHidden/>
          </w:rPr>
          <w:instrText xml:space="preserve"> PAGEREF _Toc41986199 \h </w:instrText>
        </w:r>
        <w:r w:rsidR="00B12B06">
          <w:rPr>
            <w:noProof/>
            <w:webHidden/>
          </w:rPr>
        </w:r>
        <w:r w:rsidR="00B12B06">
          <w:rPr>
            <w:noProof/>
            <w:webHidden/>
          </w:rPr>
          <w:fldChar w:fldCharType="separate"/>
        </w:r>
        <w:r w:rsidR="00D2043F">
          <w:rPr>
            <w:noProof/>
            <w:webHidden/>
          </w:rPr>
          <w:t>- 8 -</w:t>
        </w:r>
        <w:r w:rsidR="00B12B06">
          <w:rPr>
            <w:noProof/>
            <w:webHidden/>
          </w:rPr>
          <w:fldChar w:fldCharType="end"/>
        </w:r>
      </w:hyperlink>
    </w:p>
    <w:p w14:paraId="3ED7222F" w14:textId="1A5ED9C8" w:rsidR="00B12B06" w:rsidRDefault="00113E50">
      <w:pPr>
        <w:pStyle w:val="Verzeichnis2"/>
        <w:tabs>
          <w:tab w:val="left" w:pos="660"/>
          <w:tab w:val="right" w:leader="dot" w:pos="9394"/>
        </w:tabs>
        <w:rPr>
          <w:rFonts w:cstheme="minorBidi"/>
          <w:noProof/>
        </w:rPr>
      </w:pPr>
      <w:hyperlink w:anchor="_Toc41986200" w:history="1">
        <w:r w:rsidR="00B12B06" w:rsidRPr="007C53E7">
          <w:rPr>
            <w:rStyle w:val="Hyperlink"/>
            <w:noProof/>
          </w:rPr>
          <w:t>3.</w:t>
        </w:r>
        <w:r w:rsidR="00B12B06">
          <w:rPr>
            <w:rFonts w:cstheme="minorBidi"/>
            <w:noProof/>
          </w:rPr>
          <w:tab/>
        </w:r>
        <w:r w:rsidR="00B12B06" w:rsidRPr="007C53E7">
          <w:rPr>
            <w:rStyle w:val="Hyperlink"/>
            <w:noProof/>
          </w:rPr>
          <w:t>Modell 2: Leistungseinkauf bei einem anderen Kanton</w:t>
        </w:r>
        <w:r w:rsidR="00B12B06">
          <w:rPr>
            <w:noProof/>
            <w:webHidden/>
          </w:rPr>
          <w:tab/>
        </w:r>
        <w:r w:rsidR="00B12B06">
          <w:rPr>
            <w:noProof/>
            <w:webHidden/>
          </w:rPr>
          <w:fldChar w:fldCharType="begin"/>
        </w:r>
        <w:r w:rsidR="00B12B06">
          <w:rPr>
            <w:noProof/>
            <w:webHidden/>
          </w:rPr>
          <w:instrText xml:space="preserve"> PAGEREF _Toc41986200 \h </w:instrText>
        </w:r>
        <w:r w:rsidR="00B12B06">
          <w:rPr>
            <w:noProof/>
            <w:webHidden/>
          </w:rPr>
        </w:r>
        <w:r w:rsidR="00B12B06">
          <w:rPr>
            <w:noProof/>
            <w:webHidden/>
          </w:rPr>
          <w:fldChar w:fldCharType="separate"/>
        </w:r>
        <w:r w:rsidR="00D2043F">
          <w:rPr>
            <w:noProof/>
            <w:webHidden/>
          </w:rPr>
          <w:t>- 9 -</w:t>
        </w:r>
        <w:r w:rsidR="00B12B06">
          <w:rPr>
            <w:noProof/>
            <w:webHidden/>
          </w:rPr>
          <w:fldChar w:fldCharType="end"/>
        </w:r>
      </w:hyperlink>
    </w:p>
    <w:p w14:paraId="5E474701" w14:textId="712C627F" w:rsidR="00B12B06" w:rsidRDefault="00113E50">
      <w:pPr>
        <w:pStyle w:val="Verzeichnis2"/>
        <w:tabs>
          <w:tab w:val="left" w:pos="660"/>
          <w:tab w:val="right" w:leader="dot" w:pos="9394"/>
        </w:tabs>
        <w:rPr>
          <w:rFonts w:cstheme="minorBidi"/>
          <w:noProof/>
        </w:rPr>
      </w:pPr>
      <w:hyperlink w:anchor="_Toc41986201" w:history="1">
        <w:r w:rsidR="00B12B06" w:rsidRPr="007C53E7">
          <w:rPr>
            <w:rStyle w:val="Hyperlink"/>
            <w:noProof/>
          </w:rPr>
          <w:t>4.</w:t>
        </w:r>
        <w:r w:rsidR="00B12B06">
          <w:rPr>
            <w:rFonts w:cstheme="minorBidi"/>
            <w:noProof/>
          </w:rPr>
          <w:tab/>
        </w:r>
        <w:r w:rsidR="00B12B06" w:rsidRPr="007C53E7">
          <w:rPr>
            <w:rStyle w:val="Hyperlink"/>
            <w:noProof/>
          </w:rPr>
          <w:t>Modell 3: Ausgebaute Kooperation bei verbleibender kantonaler Eigenständigkeit</w:t>
        </w:r>
        <w:r w:rsidR="00B12B06">
          <w:rPr>
            <w:noProof/>
            <w:webHidden/>
          </w:rPr>
          <w:tab/>
        </w:r>
        <w:r w:rsidR="00B12B06">
          <w:rPr>
            <w:noProof/>
            <w:webHidden/>
          </w:rPr>
          <w:fldChar w:fldCharType="begin"/>
        </w:r>
        <w:r w:rsidR="00B12B06">
          <w:rPr>
            <w:noProof/>
            <w:webHidden/>
          </w:rPr>
          <w:instrText xml:space="preserve"> PAGEREF _Toc41986201 \h </w:instrText>
        </w:r>
        <w:r w:rsidR="00B12B06">
          <w:rPr>
            <w:noProof/>
            <w:webHidden/>
          </w:rPr>
        </w:r>
        <w:r w:rsidR="00B12B06">
          <w:rPr>
            <w:noProof/>
            <w:webHidden/>
          </w:rPr>
          <w:fldChar w:fldCharType="separate"/>
        </w:r>
        <w:r w:rsidR="00D2043F">
          <w:rPr>
            <w:noProof/>
            <w:webHidden/>
          </w:rPr>
          <w:t>- 11 -</w:t>
        </w:r>
        <w:r w:rsidR="00B12B06">
          <w:rPr>
            <w:noProof/>
            <w:webHidden/>
          </w:rPr>
          <w:fldChar w:fldCharType="end"/>
        </w:r>
      </w:hyperlink>
    </w:p>
    <w:p w14:paraId="6F7BDAB6" w14:textId="70B0485C" w:rsidR="00B12B06" w:rsidRDefault="00113E50">
      <w:pPr>
        <w:pStyle w:val="Verzeichnis1"/>
        <w:tabs>
          <w:tab w:val="left" w:pos="660"/>
          <w:tab w:val="right" w:leader="dot" w:pos="9394"/>
        </w:tabs>
        <w:rPr>
          <w:rFonts w:cstheme="minorBidi"/>
          <w:noProof/>
        </w:rPr>
      </w:pPr>
      <w:hyperlink w:anchor="_Toc41986202" w:history="1">
        <w:r w:rsidR="00B12B06" w:rsidRPr="007C53E7">
          <w:rPr>
            <w:rStyle w:val="Hyperlink"/>
            <w:noProof/>
          </w:rPr>
          <w:t>IV.</w:t>
        </w:r>
        <w:r w:rsidR="00B12B06">
          <w:rPr>
            <w:rFonts w:cstheme="minorBidi"/>
            <w:noProof/>
          </w:rPr>
          <w:tab/>
        </w:r>
        <w:r w:rsidR="00B12B06" w:rsidRPr="007C53E7">
          <w:rPr>
            <w:rStyle w:val="Hyperlink"/>
            <w:noProof/>
          </w:rPr>
          <w:t>Probleme und Alternativen</w:t>
        </w:r>
        <w:r w:rsidR="00B12B06">
          <w:rPr>
            <w:noProof/>
            <w:webHidden/>
          </w:rPr>
          <w:tab/>
        </w:r>
        <w:r w:rsidR="00B12B06">
          <w:rPr>
            <w:noProof/>
            <w:webHidden/>
          </w:rPr>
          <w:fldChar w:fldCharType="begin"/>
        </w:r>
        <w:r w:rsidR="00B12B06">
          <w:rPr>
            <w:noProof/>
            <w:webHidden/>
          </w:rPr>
          <w:instrText xml:space="preserve"> PAGEREF _Toc41986202 \h </w:instrText>
        </w:r>
        <w:r w:rsidR="00B12B06">
          <w:rPr>
            <w:noProof/>
            <w:webHidden/>
          </w:rPr>
        </w:r>
        <w:r w:rsidR="00B12B06">
          <w:rPr>
            <w:noProof/>
            <w:webHidden/>
          </w:rPr>
          <w:fldChar w:fldCharType="separate"/>
        </w:r>
        <w:r w:rsidR="00D2043F">
          <w:rPr>
            <w:noProof/>
            <w:webHidden/>
          </w:rPr>
          <w:t>- 11 -</w:t>
        </w:r>
        <w:r w:rsidR="00B12B06">
          <w:rPr>
            <w:noProof/>
            <w:webHidden/>
          </w:rPr>
          <w:fldChar w:fldCharType="end"/>
        </w:r>
      </w:hyperlink>
    </w:p>
    <w:p w14:paraId="7D8260CA" w14:textId="41F09F5B" w:rsidR="00B12B06" w:rsidRDefault="00113E50">
      <w:pPr>
        <w:pStyle w:val="Verzeichnis2"/>
        <w:tabs>
          <w:tab w:val="left" w:pos="660"/>
          <w:tab w:val="right" w:leader="dot" w:pos="9394"/>
        </w:tabs>
        <w:rPr>
          <w:rFonts w:cstheme="minorBidi"/>
          <w:noProof/>
        </w:rPr>
      </w:pPr>
      <w:hyperlink w:anchor="_Toc41986203" w:history="1">
        <w:r w:rsidR="00B12B06" w:rsidRPr="007C53E7">
          <w:rPr>
            <w:rStyle w:val="Hyperlink"/>
            <w:noProof/>
          </w:rPr>
          <w:t>1.</w:t>
        </w:r>
        <w:r w:rsidR="00B12B06">
          <w:rPr>
            <w:rFonts w:cstheme="minorBidi"/>
            <w:noProof/>
          </w:rPr>
          <w:tab/>
        </w:r>
        <w:r w:rsidR="00B12B06" w:rsidRPr="007C53E7">
          <w:rPr>
            <w:rStyle w:val="Hyperlink"/>
            <w:noProof/>
          </w:rPr>
          <w:t>Woran die interkantonale Kooperation im Bereich Strafverfolgungsbehörden scheitert</w:t>
        </w:r>
        <w:r w:rsidR="00B12B06">
          <w:rPr>
            <w:noProof/>
            <w:webHidden/>
          </w:rPr>
          <w:tab/>
        </w:r>
        <w:r w:rsidR="00B12B06">
          <w:rPr>
            <w:noProof/>
            <w:webHidden/>
          </w:rPr>
          <w:fldChar w:fldCharType="begin"/>
        </w:r>
        <w:r w:rsidR="00B12B06">
          <w:rPr>
            <w:noProof/>
            <w:webHidden/>
          </w:rPr>
          <w:instrText xml:space="preserve"> PAGEREF _Toc41986203 \h </w:instrText>
        </w:r>
        <w:r w:rsidR="00B12B06">
          <w:rPr>
            <w:noProof/>
            <w:webHidden/>
          </w:rPr>
        </w:r>
        <w:r w:rsidR="00B12B06">
          <w:rPr>
            <w:noProof/>
            <w:webHidden/>
          </w:rPr>
          <w:fldChar w:fldCharType="separate"/>
        </w:r>
        <w:r w:rsidR="00D2043F">
          <w:rPr>
            <w:noProof/>
            <w:webHidden/>
          </w:rPr>
          <w:t>- 11 -</w:t>
        </w:r>
        <w:r w:rsidR="00B12B06">
          <w:rPr>
            <w:noProof/>
            <w:webHidden/>
          </w:rPr>
          <w:fldChar w:fldCharType="end"/>
        </w:r>
      </w:hyperlink>
    </w:p>
    <w:p w14:paraId="0DC81C26" w14:textId="6FFEBB48" w:rsidR="00B12B06" w:rsidRDefault="00113E50">
      <w:pPr>
        <w:pStyle w:val="Verzeichnis2"/>
        <w:tabs>
          <w:tab w:val="left" w:pos="660"/>
          <w:tab w:val="right" w:leader="dot" w:pos="9394"/>
        </w:tabs>
        <w:rPr>
          <w:rFonts w:cstheme="minorBidi"/>
          <w:noProof/>
        </w:rPr>
      </w:pPr>
      <w:hyperlink w:anchor="_Toc41986204" w:history="1">
        <w:r w:rsidR="00B12B06" w:rsidRPr="007C53E7">
          <w:rPr>
            <w:rStyle w:val="Hyperlink"/>
            <w:noProof/>
          </w:rPr>
          <w:t>2.</w:t>
        </w:r>
        <w:r w:rsidR="00B12B06">
          <w:rPr>
            <w:rFonts w:cstheme="minorBidi"/>
            <w:noProof/>
          </w:rPr>
          <w:tab/>
        </w:r>
        <w:r w:rsidR="00B12B06" w:rsidRPr="007C53E7">
          <w:rPr>
            <w:rStyle w:val="Hyperlink"/>
            <w:noProof/>
          </w:rPr>
          <w:t>Niederschwellige Alternativen</w:t>
        </w:r>
        <w:r w:rsidR="00B12B06">
          <w:rPr>
            <w:noProof/>
            <w:webHidden/>
          </w:rPr>
          <w:tab/>
        </w:r>
        <w:r w:rsidR="00B12B06">
          <w:rPr>
            <w:noProof/>
            <w:webHidden/>
          </w:rPr>
          <w:fldChar w:fldCharType="begin"/>
        </w:r>
        <w:r w:rsidR="00B12B06">
          <w:rPr>
            <w:noProof/>
            <w:webHidden/>
          </w:rPr>
          <w:instrText xml:space="preserve"> PAGEREF _Toc41986204 \h </w:instrText>
        </w:r>
        <w:r w:rsidR="00B12B06">
          <w:rPr>
            <w:noProof/>
            <w:webHidden/>
          </w:rPr>
        </w:r>
        <w:r w:rsidR="00B12B06">
          <w:rPr>
            <w:noProof/>
            <w:webHidden/>
          </w:rPr>
          <w:fldChar w:fldCharType="separate"/>
        </w:r>
        <w:r w:rsidR="00D2043F">
          <w:rPr>
            <w:noProof/>
            <w:webHidden/>
          </w:rPr>
          <w:t>- 12 -</w:t>
        </w:r>
        <w:r w:rsidR="00B12B06">
          <w:rPr>
            <w:noProof/>
            <w:webHidden/>
          </w:rPr>
          <w:fldChar w:fldCharType="end"/>
        </w:r>
      </w:hyperlink>
    </w:p>
    <w:p w14:paraId="50EC8D89" w14:textId="7E4F35A7" w:rsidR="00B12B06" w:rsidRDefault="00113E50">
      <w:pPr>
        <w:pStyle w:val="Verzeichnis1"/>
        <w:tabs>
          <w:tab w:val="left" w:pos="440"/>
          <w:tab w:val="right" w:leader="dot" w:pos="9394"/>
        </w:tabs>
        <w:rPr>
          <w:rFonts w:cstheme="minorBidi"/>
          <w:noProof/>
        </w:rPr>
      </w:pPr>
      <w:hyperlink w:anchor="_Toc41986205" w:history="1">
        <w:r w:rsidR="00B12B06" w:rsidRPr="007C53E7">
          <w:rPr>
            <w:rStyle w:val="Hyperlink"/>
            <w:noProof/>
          </w:rPr>
          <w:t>V.</w:t>
        </w:r>
        <w:r w:rsidR="00B12B06">
          <w:rPr>
            <w:rFonts w:cstheme="minorBidi"/>
            <w:noProof/>
          </w:rPr>
          <w:tab/>
        </w:r>
        <w:r w:rsidR="00B12B06" w:rsidRPr="007C53E7">
          <w:rPr>
            <w:rStyle w:val="Hyperlink"/>
            <w:noProof/>
          </w:rPr>
          <w:t>Schlussfolgerungen</w:t>
        </w:r>
        <w:r w:rsidR="00B12B06">
          <w:rPr>
            <w:noProof/>
            <w:webHidden/>
          </w:rPr>
          <w:tab/>
        </w:r>
        <w:r w:rsidR="00B12B06">
          <w:rPr>
            <w:noProof/>
            <w:webHidden/>
          </w:rPr>
          <w:fldChar w:fldCharType="begin"/>
        </w:r>
        <w:r w:rsidR="00B12B06">
          <w:rPr>
            <w:noProof/>
            <w:webHidden/>
          </w:rPr>
          <w:instrText xml:space="preserve"> PAGEREF _Toc41986205 \h </w:instrText>
        </w:r>
        <w:r w:rsidR="00B12B06">
          <w:rPr>
            <w:noProof/>
            <w:webHidden/>
          </w:rPr>
        </w:r>
        <w:r w:rsidR="00B12B06">
          <w:rPr>
            <w:noProof/>
            <w:webHidden/>
          </w:rPr>
          <w:fldChar w:fldCharType="separate"/>
        </w:r>
        <w:r w:rsidR="00D2043F">
          <w:rPr>
            <w:noProof/>
            <w:webHidden/>
          </w:rPr>
          <w:t>- 13 -</w:t>
        </w:r>
        <w:r w:rsidR="00B12B06">
          <w:rPr>
            <w:noProof/>
            <w:webHidden/>
          </w:rPr>
          <w:fldChar w:fldCharType="end"/>
        </w:r>
      </w:hyperlink>
    </w:p>
    <w:p w14:paraId="0435381F" w14:textId="563D3403" w:rsidR="00752DAA" w:rsidRDefault="0086484A" w:rsidP="00DB4B08">
      <w:pPr>
        <w:pStyle w:val="berschrift1"/>
      </w:pPr>
      <w:r w:rsidRPr="00E748C1">
        <w:rPr>
          <w:rFonts w:cs="Times New Roman"/>
          <w:sz w:val="21"/>
          <w:szCs w:val="21"/>
        </w:rPr>
        <w:fldChar w:fldCharType="end"/>
      </w:r>
      <w:r w:rsidR="00BE0651">
        <w:rPr>
          <w:i/>
          <w:szCs w:val="22"/>
        </w:rPr>
        <w:br w:type="column"/>
      </w:r>
      <w:bookmarkStart w:id="4" w:name="_Toc484779397"/>
      <w:bookmarkStart w:id="5" w:name="_Toc484779455"/>
      <w:bookmarkStart w:id="6" w:name="_Toc41986193"/>
      <w:r w:rsidR="00C46641">
        <w:lastRenderedPageBreak/>
        <w:t>I.</w:t>
      </w:r>
      <w:r w:rsidR="004329F6" w:rsidRPr="004329F6">
        <w:tab/>
      </w:r>
      <w:bookmarkEnd w:id="4"/>
      <w:bookmarkEnd w:id="5"/>
      <w:r w:rsidR="00AA6DDF">
        <w:t>Interkantonale Straf</w:t>
      </w:r>
      <w:r w:rsidR="008213AF">
        <w:t>verfolgungs</w:t>
      </w:r>
      <w:r w:rsidR="00AA6DDF">
        <w:t>behörden – wozu?</w:t>
      </w:r>
      <w:bookmarkEnd w:id="6"/>
    </w:p>
    <w:p w14:paraId="67A85AE4" w14:textId="5AFC8BCA" w:rsidR="00AA6DDF" w:rsidRDefault="006B46B6" w:rsidP="006410F3">
      <w:r>
        <w:t>Den Medien</w:t>
      </w:r>
      <w:r w:rsidR="00BD7D25">
        <w:t xml:space="preserve"> war kürzlich zu entnehmen, dass der Kanton Appenzell Innerrhoden Mühe bekundet, die freie Stelle eines Staatsanwaltes zu besetzen.</w:t>
      </w:r>
      <w:r>
        <w:rPr>
          <w:rStyle w:val="Funotenzeichen"/>
        </w:rPr>
        <w:footnoteReference w:id="2"/>
      </w:r>
      <w:r w:rsidR="00BD7D25">
        <w:t xml:space="preserve"> Und </w:t>
      </w:r>
      <w:r w:rsidR="00B83B26">
        <w:t xml:space="preserve">gemäss einem Zeitungsbericht plant </w:t>
      </w:r>
      <w:r w:rsidR="00BD7D25">
        <w:t>der Kanton Schwyz mangels eigener Fachleute, sein Zivilstandswesen der Aufsicht des Zürcher Gemeindeamtes zu unterstellen.</w:t>
      </w:r>
      <w:r w:rsidR="0058471C">
        <w:rPr>
          <w:rStyle w:val="Funotenzeichen"/>
        </w:rPr>
        <w:footnoteReference w:id="3"/>
      </w:r>
      <w:r w:rsidR="00BD7D25">
        <w:t xml:space="preserve"> Beide Beispiele machen deutlich, dass kleinere Kanton Mühe bekunden, ausreichend qualifizierte Fachpersonen zu rekrutieren. Es sind aber nicht nur Rekrutierungsprobleme, mit denen kleine Kantone zu kämpfen haben, sondern auch </w:t>
      </w:r>
      <w:r w:rsidR="002B419C">
        <w:t>die Sicherstellung der notwendigen</w:t>
      </w:r>
      <w:r w:rsidR="00BD7D25">
        <w:t xml:space="preserve"> Unabhängigkeit. In Appenzell arbeitet der Staatsanwalt in demselben Gebäude wie die Kantonspolizei, das erstinstanzliche Bezirksgericht und das </w:t>
      </w:r>
      <w:r w:rsidR="00393044">
        <w:t>Kantonsgericht als Berufungsinstanz. Wi</w:t>
      </w:r>
      <w:r w:rsidR="002B699A">
        <w:t>e</w:t>
      </w:r>
      <w:r w:rsidR="00393044">
        <w:t xml:space="preserve"> unabhängig ist eine solche Justiz, die fast sprichwörtlich mit der Staatsanwaltschaft und Polizei </w:t>
      </w:r>
      <w:r w:rsidR="004853A0">
        <w:rPr>
          <w:lang w:val="de-CH"/>
        </w:rPr>
        <w:t>«</w:t>
      </w:r>
      <w:r w:rsidR="00393044" w:rsidRPr="00280159">
        <w:rPr>
          <w:lang w:val="de-CH"/>
        </w:rPr>
        <w:t>unter einer Decke</w:t>
      </w:r>
      <w:r w:rsidR="004853A0">
        <w:rPr>
          <w:lang w:val="de-CH"/>
        </w:rPr>
        <w:t>»</w:t>
      </w:r>
      <w:r w:rsidR="00393044" w:rsidRPr="00280159">
        <w:rPr>
          <w:lang w:val="de-CH"/>
        </w:rPr>
        <w:t xml:space="preserve"> </w:t>
      </w:r>
      <w:r w:rsidR="00393044">
        <w:t>steckt?</w:t>
      </w:r>
      <w:r w:rsidR="003B7334">
        <w:t xml:space="preserve"> Man mag dies als extreme Einzelfälle abtun. Tatsache ist aber, dass der Schweizer Föderalismus zu einer weltweit wohl einzigartigen Kleinräumigkeit der </w:t>
      </w:r>
      <w:r w:rsidR="005A2A22">
        <w:t>politischen, administrativen und gerichtlichen Organisationsstruktur führt. Alle Kantone verfügen über eine eigene Regierung, eine eigene Verwaltung sowie eigene Straf</w:t>
      </w:r>
      <w:r w:rsidR="002B419C">
        <w:t>verfolgungs</w:t>
      </w:r>
      <w:r w:rsidR="005A2A22">
        <w:t>behörden und eine ausgebaute Gerichtsbarkeit mit doppeltem Instanzenzug. Zugleich sind die 26 Kantone</w:t>
      </w:r>
      <w:r w:rsidR="00646E11">
        <w:t xml:space="preserve"> trotz ihrer weitgehenden organisatorischen Eigenständigkeit</w:t>
      </w:r>
      <w:r w:rsidR="005A2A22">
        <w:t xml:space="preserve"> im Bevölkerungsschnitt deutlich kleiner als die 50 Gliedstaaten der USA</w:t>
      </w:r>
      <w:r w:rsidR="002B419C">
        <w:t>,</w:t>
      </w:r>
      <w:r w:rsidR="005A2A22">
        <w:t xml:space="preserve"> die 16 </w:t>
      </w:r>
      <w:r w:rsidR="00C66C6E">
        <w:t>Bundesländer Deutschlands</w:t>
      </w:r>
      <w:r w:rsidR="005A2A22">
        <w:t xml:space="preserve"> </w:t>
      </w:r>
      <w:r w:rsidR="002B419C">
        <w:t>oder</w:t>
      </w:r>
      <w:r w:rsidR="005A2A22">
        <w:t xml:space="preserve"> die 9 Länder der Republik Österreich.</w:t>
      </w:r>
      <w:r w:rsidR="005E4146">
        <w:rPr>
          <w:rStyle w:val="Funotenzeichen"/>
        </w:rPr>
        <w:footnoteReference w:id="4"/>
      </w:r>
    </w:p>
    <w:p w14:paraId="298FF241" w14:textId="28BD16CA" w:rsidR="00FA4CD7" w:rsidRDefault="00FA4CD7" w:rsidP="00FA4CD7">
      <w:r>
        <w:t>Dass die Kleinräumigkeit das Schweizer Staatswesen an seine Grenzen bringt und zur interkantonalen Kooperation zwingt</w:t>
      </w:r>
      <w:r w:rsidR="004853A0">
        <w:t>,</w:t>
      </w:r>
      <w:r>
        <w:t xml:space="preserve"> ist indes kein neues Phänomen. </w:t>
      </w:r>
      <w:r w:rsidR="004853A0">
        <w:t>Bereits v</w:t>
      </w:r>
      <w:r>
        <w:t xml:space="preserve">or einem halben Jahrhundert beschrieb </w:t>
      </w:r>
      <w:r w:rsidRPr="00DF4D67">
        <w:rPr>
          <w:smallCaps/>
        </w:rPr>
        <w:t>Max Imboden</w:t>
      </w:r>
      <w:r>
        <w:t xml:space="preserve"> (1915-1969) das Phänomen treffend: </w:t>
      </w:r>
    </w:p>
    <w:p w14:paraId="124D7DC9" w14:textId="77777777" w:rsidR="00FA4CD7" w:rsidRDefault="00FA4CD7" w:rsidP="00FA4CD7">
      <w:pPr>
        <w:ind w:left="567" w:right="615"/>
      </w:pPr>
      <w:r>
        <w:rPr>
          <w:i/>
        </w:rPr>
        <w:t>«</w:t>
      </w:r>
      <w:r w:rsidRPr="003D0904">
        <w:rPr>
          <w:i/>
        </w:rPr>
        <w:t xml:space="preserve">Die Kräfte der eidgenössischen Stände sind zu klein, um in der Vereinzelung den unerbittlichen Ansprüchen des technischen Zeitalters zu genügen. Das Wort vom </w:t>
      </w:r>
      <w:r w:rsidRPr="003D0904">
        <w:rPr>
          <w:rFonts w:cs="Times New Roman"/>
          <w:i/>
        </w:rPr>
        <w:t>‹kooperativen Föderalismus› birgt eine intuitiv erahnte zukunftsweisende Einsicht. Nur ein Zusammenwirken des den Kantonen eigenen schmalen Stabes an Fachleuten und nur eine Zusammenlegung der äusseren Mittel lässt die Hoffnung aufkommen, dass die kleinen schweizerischen Bundesglieder mit dem ungestümen Rhythmus der Zeit Schritt halten können.</w:t>
      </w:r>
      <w:r>
        <w:rPr>
          <w:rFonts w:cs="Times New Roman"/>
          <w:i/>
        </w:rPr>
        <w:t>»</w:t>
      </w:r>
      <w:r>
        <w:rPr>
          <w:rStyle w:val="Funotenzeichen"/>
          <w:rFonts w:cs="Times New Roman"/>
        </w:rPr>
        <w:footnoteReference w:id="5"/>
      </w:r>
    </w:p>
    <w:p w14:paraId="47CF1D82" w14:textId="4C1141AC" w:rsidR="00EA1B26" w:rsidRDefault="00FA4CD7" w:rsidP="00F0372F">
      <w:pPr>
        <w:rPr>
          <w:lang w:val="de-CH"/>
        </w:rPr>
      </w:pPr>
      <w:r>
        <w:lastRenderedPageBreak/>
        <w:t xml:space="preserve">Inwiefern nun vermögen die </w:t>
      </w:r>
      <w:r w:rsidRPr="00FA4CD7">
        <w:t>kleinkammerigen Strukturen der Schweiz «den unerbittlichen Ansprüchen des technischen Zeitalters» nicht mehr zu genügen?</w:t>
      </w:r>
      <w:r>
        <w:t xml:space="preserve"> </w:t>
      </w:r>
      <w:r w:rsidR="00F0372F">
        <w:t>Probleme sind vor allem in drei Feldern auszumachen</w:t>
      </w:r>
      <w:r w:rsidR="008A5390">
        <w:t xml:space="preserve">: Zuerst einmal unter </w:t>
      </w:r>
      <w:r w:rsidR="008A5390" w:rsidRPr="00F4238D">
        <w:rPr>
          <w:i/>
        </w:rPr>
        <w:t>qualitativen Gesichtspunkten</w:t>
      </w:r>
      <w:r w:rsidR="008A5390">
        <w:t xml:space="preserve">. Aus der Medizin ist bekannt, </w:t>
      </w:r>
      <w:r w:rsidR="00F4238D">
        <w:t>dass mehr Behandlungsfälle in einer Klinik zur Steigerung der Qualität führen. So lässt sich für Krebstherapien an Schweizer Spitälern eine Korrelation zwischen hohen Fallzahlen und sinkender Mortalität nachweisen</w:t>
      </w:r>
      <w:r w:rsidR="00F4238D">
        <w:rPr>
          <w:lang w:val="de-CH"/>
        </w:rPr>
        <w:t>.</w:t>
      </w:r>
      <w:r w:rsidR="00F4238D">
        <w:rPr>
          <w:rStyle w:val="Funotenzeichen"/>
          <w:lang w:val="de-CH"/>
        </w:rPr>
        <w:footnoteReference w:id="6"/>
      </w:r>
      <w:r w:rsidR="00F4238D">
        <w:rPr>
          <w:lang w:val="de-CH"/>
        </w:rPr>
        <w:t xml:space="preserve"> Nun darf man von den Strukturen im Gesundheitswesen nicht unbesehen Rückschlüsse auf die Strukturen </w:t>
      </w:r>
      <w:r w:rsidR="002B419C">
        <w:rPr>
          <w:lang w:val="de-CH"/>
        </w:rPr>
        <w:t>in</w:t>
      </w:r>
      <w:r w:rsidR="00F4238D">
        <w:rPr>
          <w:lang w:val="de-CH"/>
        </w:rPr>
        <w:t xml:space="preserve"> der Strafverfolgung </w:t>
      </w:r>
      <w:r w:rsidR="002B419C">
        <w:rPr>
          <w:lang w:val="de-CH"/>
        </w:rPr>
        <w:t>oder</w:t>
      </w:r>
      <w:r w:rsidR="00F4238D">
        <w:rPr>
          <w:lang w:val="de-CH"/>
        </w:rPr>
        <w:t xml:space="preserve"> Justiz ziehen. </w:t>
      </w:r>
      <w:r w:rsidR="00636298">
        <w:rPr>
          <w:lang w:val="de-CH"/>
        </w:rPr>
        <w:t xml:space="preserve">Es entspricht </w:t>
      </w:r>
      <w:r w:rsidR="002B419C">
        <w:rPr>
          <w:lang w:val="de-CH"/>
        </w:rPr>
        <w:t>allerdings</w:t>
      </w:r>
      <w:r w:rsidR="00636298">
        <w:rPr>
          <w:lang w:val="de-CH"/>
        </w:rPr>
        <w:t xml:space="preserve"> der allgemeinen Lebenserfahrung, dass eine Spezialisierung </w:t>
      </w:r>
      <w:r w:rsidR="00B06EBC">
        <w:rPr>
          <w:lang w:val="de-CH"/>
        </w:rPr>
        <w:t>meist mit Effizienz- und Qualitätsgewinnen verbunden ist. Wer einer bestimmten Tätigkeit regelmässig nachgeht, eignet sich Erfahrung und spezifisches Know-</w:t>
      </w:r>
      <w:r w:rsidR="0098167B">
        <w:rPr>
          <w:lang w:val="de-CH"/>
        </w:rPr>
        <w:t>h</w:t>
      </w:r>
      <w:r w:rsidR="00B06EBC">
        <w:rPr>
          <w:lang w:val="de-CH"/>
        </w:rPr>
        <w:t>ow an. So zeigt sich etwa in der Verwaltungsjustiz, dass ein Gericht mit spezialisierten Abteilungen seine Kontrolldichte erhöhen kann, weil sich die Richterinnen und Richter das nötige Spezialwissen aneignen.</w:t>
      </w:r>
      <w:r w:rsidR="00190C4D">
        <w:rPr>
          <w:rStyle w:val="Funotenzeichen"/>
          <w:lang w:val="de-CH"/>
        </w:rPr>
        <w:footnoteReference w:id="7"/>
      </w:r>
    </w:p>
    <w:p w14:paraId="4C1AA4A3" w14:textId="5DA49BAA" w:rsidR="00EA1B26" w:rsidRDefault="005C5F79" w:rsidP="00AA6DDF">
      <w:pPr>
        <w:rPr>
          <w:lang w:val="de-CH"/>
        </w:rPr>
      </w:pPr>
      <w:r>
        <w:rPr>
          <w:lang w:val="de-CH"/>
        </w:rPr>
        <w:t xml:space="preserve">Kleinräumige Strukturen sind sodann mit Blick auf die </w:t>
      </w:r>
      <w:r w:rsidRPr="005C5F79">
        <w:rPr>
          <w:i/>
          <w:lang w:val="de-CH"/>
        </w:rPr>
        <w:t>Unabhängigkeit</w:t>
      </w:r>
      <w:r>
        <w:rPr>
          <w:lang w:val="de-CH"/>
        </w:rPr>
        <w:t xml:space="preserve"> der Straf</w:t>
      </w:r>
      <w:r w:rsidR="008213AF">
        <w:rPr>
          <w:lang w:val="de-CH"/>
        </w:rPr>
        <w:t>verfolgungs</w:t>
      </w:r>
      <w:r>
        <w:rPr>
          <w:lang w:val="de-CH"/>
        </w:rPr>
        <w:t>behörden und der Justiz problematisch. Je kleiner ein Gemeinwesen ist, desto gehäufter treten Ausstandskonstellationen auf. Die regelmässigen Begegnungen im gleichen Gebäude – etwa in der Kaffe</w:t>
      </w:r>
      <w:r w:rsidR="000D31F0">
        <w:rPr>
          <w:lang w:val="de-CH"/>
        </w:rPr>
        <w:t>e</w:t>
      </w:r>
      <w:r>
        <w:rPr>
          <w:lang w:val="de-CH"/>
        </w:rPr>
        <w:t>pause oder bei Benutzung der Infrastruktur (Kopiergeräte, Toilette etc.) – führt zu einer alltäglichen Nähe, die der Unabhängigkeit abträglich sein kann.</w:t>
      </w:r>
      <w:bookmarkStart w:id="7" w:name="_Ref41669252"/>
      <w:r w:rsidR="002B699A">
        <w:rPr>
          <w:lang w:val="de-CH"/>
        </w:rPr>
        <w:t xml:space="preserve"> Auch wenn die Betroffenen selber sich unabhängig und unbefangen fühlen mögen, entsteht doch gegenüber aussenstehenden Dritten der Anschein mangelnder kritischer Distanz.</w:t>
      </w:r>
      <w:r>
        <w:rPr>
          <w:rStyle w:val="Funotenzeichen"/>
          <w:lang w:val="de-CH"/>
        </w:rPr>
        <w:footnoteReference w:id="8"/>
      </w:r>
      <w:bookmarkEnd w:id="7"/>
    </w:p>
    <w:p w14:paraId="0D890F28" w14:textId="6D1922B3" w:rsidR="00280159" w:rsidRDefault="00376FF3" w:rsidP="00AA6DDF">
      <w:pPr>
        <w:rPr>
          <w:lang w:val="de-CH"/>
        </w:rPr>
      </w:pPr>
      <w:r>
        <w:rPr>
          <w:lang w:val="de-CH"/>
        </w:rPr>
        <w:t xml:space="preserve">Schliesslich führt die Kleinräumigkeit dazu, dass </w:t>
      </w:r>
      <w:r w:rsidRPr="00376FF3">
        <w:rPr>
          <w:i/>
          <w:lang w:val="de-CH"/>
        </w:rPr>
        <w:t>Ressourcen</w:t>
      </w:r>
      <w:r>
        <w:rPr>
          <w:lang w:val="de-CH"/>
        </w:rPr>
        <w:t xml:space="preserve"> nicht optimal ausgeschöpft werden. Strafverfolgungsbehörden und Justizorgane können ihre Arbeitslast nur begrenzt selber steuern. Aus diesem Grund </w:t>
      </w:r>
      <w:r w:rsidR="00777BB0">
        <w:rPr>
          <w:lang w:val="de-CH"/>
        </w:rPr>
        <w:t>schwanken</w:t>
      </w:r>
      <w:r>
        <w:rPr>
          <w:lang w:val="de-CH"/>
        </w:rPr>
        <w:t xml:space="preserve"> die Fallzahlen und damit auch die Arbeitsbelastung. Je grösser das «Einzugsgebiet» einer Behörde ist, desto eher gleichen sich diese Schwankungen aus. Die Gefahr, dass die Mitarbeitenden einer Behörde </w:t>
      </w:r>
      <w:r w:rsidR="00EF2283">
        <w:rPr>
          <w:lang w:val="de-CH"/>
        </w:rPr>
        <w:t>vorübergehend</w:t>
      </w:r>
      <w:r>
        <w:rPr>
          <w:lang w:val="de-CH"/>
        </w:rPr>
        <w:t xml:space="preserve"> unterfordert oder </w:t>
      </w:r>
      <w:r w:rsidR="00EF2283">
        <w:rPr>
          <w:lang w:val="de-CH"/>
        </w:rPr>
        <w:t>überlastet sind, kann daher gesenkt werden, wenn die Behörde für ein grösseres Gebiet und mehr Personen zuständig ist.</w:t>
      </w:r>
      <w:r w:rsidR="003B4613">
        <w:rPr>
          <w:lang w:val="de-CH"/>
        </w:rPr>
        <w:t xml:space="preserve"> </w:t>
      </w:r>
    </w:p>
    <w:p w14:paraId="68E7BA72" w14:textId="7DE3217F" w:rsidR="008A5390" w:rsidRDefault="00EF2283" w:rsidP="00AA6DDF">
      <w:r>
        <w:t>Indem sich Kantone zusammenschliessen und gemeinsame Straf</w:t>
      </w:r>
      <w:r w:rsidR="008213AF">
        <w:t>verfolgungs</w:t>
      </w:r>
      <w:r>
        <w:t>behörden oder Gerichte einsetzen, können sie somit die Qualität und Unabhängigkeit steigern und ihre eingesetzten Ressourcen besser ausschöpfen. Zu warnen ist freilich vor der Illusion, durch eine interkantonale Kooperation könnten finan</w:t>
      </w:r>
      <w:r>
        <w:lastRenderedPageBreak/>
        <w:t>zielle Mittel eingespart werden. Aus Untersuchungen zu Gemeindefusionen ist bekannt, dass solche Spareffekt</w:t>
      </w:r>
      <w:r w:rsidR="002E1F2A">
        <w:t>e</w:t>
      </w:r>
      <w:r>
        <w:t xml:space="preserve"> kaum je erzielt werden </w:t>
      </w:r>
      <w:r w:rsidR="00626D58">
        <w:t>können</w:t>
      </w:r>
      <w:r>
        <w:t>.</w:t>
      </w:r>
      <w:r w:rsidR="006410F3">
        <w:rPr>
          <w:rStyle w:val="Funotenzeichen"/>
        </w:rPr>
        <w:footnoteReference w:id="9"/>
      </w:r>
      <w:r>
        <w:t xml:space="preserve"> Fusionen </w:t>
      </w:r>
      <w:r w:rsidR="00626D58">
        <w:t xml:space="preserve">leisten aber einen Beitrag, wenn es darum geht, die </w:t>
      </w:r>
      <w:r>
        <w:t xml:space="preserve">ohnehin verwendeten Mittel besser </w:t>
      </w:r>
      <w:r w:rsidR="00626D58">
        <w:t>zu nutzen</w:t>
      </w:r>
      <w:r>
        <w:t xml:space="preserve">, indem </w:t>
      </w:r>
      <w:r w:rsidR="00626D58">
        <w:t>sich grössere und professioneller arbeitende Behörden schaffen lassen</w:t>
      </w:r>
      <w:r>
        <w:t>.</w:t>
      </w:r>
    </w:p>
    <w:p w14:paraId="7E81FBB1" w14:textId="33A07DEA" w:rsidR="00C46641" w:rsidRDefault="003644D9" w:rsidP="00ED278E">
      <w:pPr>
        <w:pStyle w:val="berschrift1"/>
      </w:pPr>
      <w:bookmarkStart w:id="8" w:name="_Toc484779398"/>
      <w:bookmarkStart w:id="9" w:name="_Toc484779456"/>
      <w:bookmarkStart w:id="10" w:name="_Toc41986194"/>
      <w:r>
        <w:t>II</w:t>
      </w:r>
      <w:r w:rsidR="00E72FBE">
        <w:t>.</w:t>
      </w:r>
      <w:r w:rsidR="00C46641" w:rsidRPr="00C46641">
        <w:tab/>
      </w:r>
      <w:bookmarkEnd w:id="8"/>
      <w:bookmarkEnd w:id="9"/>
      <w:r w:rsidR="00AA6DDF">
        <w:t>Verfassungsrechtlicher Rahmen</w:t>
      </w:r>
      <w:bookmarkEnd w:id="10"/>
    </w:p>
    <w:p w14:paraId="2F0B5413" w14:textId="73DE6321" w:rsidR="000F39FC" w:rsidRPr="000F39FC" w:rsidRDefault="000F39FC" w:rsidP="000F39FC">
      <w:r>
        <w:t>Die Eigenstaatlichkeit – oder in der bis heute beibehaltenen Terminologie von 1848 – «Souveränität» der Kantone ist bis heute prominent in Artikel 3 der Bundesverfassung</w:t>
      </w:r>
      <w:r w:rsidR="00273D05">
        <w:rPr>
          <w:rStyle w:val="Funotenzeichen"/>
        </w:rPr>
        <w:footnoteReference w:id="10"/>
      </w:r>
      <w:r>
        <w:t xml:space="preserve"> verankert. Es stellt sich daher vorab die Frage, inwiefern ein Verzicht auf eigene Strafverfolgungsbehörden mit der bundesstaatlichen Ordnung vereinbar ist. In einem zweiten Schritt </w:t>
      </w:r>
      <w:r w:rsidR="00B354AC">
        <w:t>soll sodann untersucht werden</w:t>
      </w:r>
      <w:r>
        <w:t xml:space="preserve">, inwiefern das kantonale </w:t>
      </w:r>
      <w:r w:rsidR="00B354AC">
        <w:t>Verfassungsrecht</w:t>
      </w:r>
      <w:r>
        <w:t xml:space="preserve"> solchen Vorhaben im Wege steht.</w:t>
      </w:r>
    </w:p>
    <w:p w14:paraId="5BA1C3BD" w14:textId="3ACEC2CF" w:rsidR="005762CD" w:rsidRDefault="005762CD" w:rsidP="00ED278E">
      <w:pPr>
        <w:pStyle w:val="berschrift2"/>
        <w:rPr>
          <w:b w:val="0"/>
        </w:rPr>
      </w:pPr>
      <w:bookmarkStart w:id="11" w:name="_Toc484779399"/>
      <w:bookmarkStart w:id="12" w:name="_Toc484779457"/>
      <w:bookmarkStart w:id="13" w:name="_Toc41986195"/>
      <w:r>
        <w:t>1.</w:t>
      </w:r>
      <w:r>
        <w:tab/>
      </w:r>
      <w:bookmarkEnd w:id="11"/>
      <w:bookmarkEnd w:id="12"/>
      <w:r w:rsidR="00AA6DDF">
        <w:t>Bundesverfassung</w:t>
      </w:r>
      <w:bookmarkEnd w:id="13"/>
    </w:p>
    <w:p w14:paraId="5D085C88" w14:textId="469E1E31" w:rsidR="00FC4456" w:rsidRPr="00FC4456" w:rsidRDefault="00FC4456" w:rsidP="00EB4850">
      <w:pPr>
        <w:rPr>
          <w:rFonts w:cs="Times New Roman"/>
        </w:rPr>
      </w:pPr>
      <w:r w:rsidRPr="00FC4456">
        <w:rPr>
          <w:rFonts w:cs="Times New Roman"/>
        </w:rPr>
        <w:t>Art. 191</w:t>
      </w:r>
      <w:r w:rsidRPr="00280159">
        <w:rPr>
          <w:rFonts w:cs="Times New Roman"/>
          <w:i/>
          <w:iCs/>
        </w:rPr>
        <w:t>b</w:t>
      </w:r>
      <w:r w:rsidRPr="00FC4456">
        <w:rPr>
          <w:rFonts w:cs="Times New Roman"/>
        </w:rPr>
        <w:t xml:space="preserve"> Abs. 2 BV sieht </w:t>
      </w:r>
      <w:r w:rsidR="008064C2">
        <w:rPr>
          <w:rFonts w:cs="Times New Roman"/>
        </w:rPr>
        <w:t>ausdrücklich</w:t>
      </w:r>
      <w:r w:rsidRPr="00FC4456">
        <w:rPr>
          <w:rFonts w:cs="Times New Roman"/>
        </w:rPr>
        <w:t xml:space="preserve"> vor, dass die Kantone «gemeinsame richterliche Behörden» einsetzen können. Die Bestimmung hat nach Ansicht der neueren Lehre in erster Linie deklaratorischen Charakter, da sich die Kompetenz zur Schaffung </w:t>
      </w:r>
      <w:r w:rsidR="009A3512">
        <w:rPr>
          <w:rFonts w:cs="Times New Roman"/>
        </w:rPr>
        <w:t>gemeinsamer</w:t>
      </w:r>
      <w:r w:rsidRPr="00FC4456">
        <w:rPr>
          <w:rFonts w:cs="Times New Roman"/>
        </w:rPr>
        <w:t xml:space="preserve"> Justiz- und Verwaltungsbehörden bereits aus </w:t>
      </w:r>
      <w:r w:rsidR="00AA6ABE">
        <w:rPr>
          <w:rFonts w:cs="Times New Roman"/>
        </w:rPr>
        <w:t>d</w:t>
      </w:r>
      <w:r w:rsidRPr="00FC4456">
        <w:rPr>
          <w:rFonts w:cs="Times New Roman"/>
        </w:rPr>
        <w:t xml:space="preserve">er Organisations- und Vertragsautonomie </w:t>
      </w:r>
      <w:r w:rsidR="00AA6ABE">
        <w:rPr>
          <w:rFonts w:cs="Times New Roman"/>
        </w:rPr>
        <w:t xml:space="preserve">der Kantone </w:t>
      </w:r>
      <w:r w:rsidRPr="00FC4456">
        <w:rPr>
          <w:rFonts w:cs="Times New Roman"/>
        </w:rPr>
        <w:t>ergeben soll.</w:t>
      </w:r>
      <w:r w:rsidRPr="00FC4456">
        <w:rPr>
          <w:rStyle w:val="Funotenzeichen"/>
          <w:rFonts w:cs="Times New Roman"/>
        </w:rPr>
        <w:footnoteReference w:id="11"/>
      </w:r>
      <w:r w:rsidRPr="00FC4456">
        <w:rPr>
          <w:rFonts w:cs="Times New Roman"/>
        </w:rPr>
        <w:t xml:space="preserve"> </w:t>
      </w:r>
      <w:r>
        <w:rPr>
          <w:rFonts w:cs="Times New Roman"/>
        </w:rPr>
        <w:t xml:space="preserve">Die ältere Literatur sah in gemeinsamen Justizorganen freilich </w:t>
      </w:r>
      <w:r w:rsidR="009A3512">
        <w:rPr>
          <w:rFonts w:cs="Times New Roman"/>
        </w:rPr>
        <w:t xml:space="preserve">noch </w:t>
      </w:r>
      <w:r>
        <w:rPr>
          <w:rFonts w:cs="Times New Roman"/>
        </w:rPr>
        <w:t xml:space="preserve">eine Gefährdung </w:t>
      </w:r>
      <w:r w:rsidR="000F39FC">
        <w:rPr>
          <w:rFonts w:cs="Times New Roman"/>
        </w:rPr>
        <w:t>kantonaler</w:t>
      </w:r>
      <w:r>
        <w:rPr>
          <w:rFonts w:cs="Times New Roman"/>
        </w:rPr>
        <w:t xml:space="preserve"> Eigenstaatlichkeit und einen möglichen </w:t>
      </w:r>
      <w:r w:rsidR="00EB4850">
        <w:rPr>
          <w:rFonts w:cs="Times New Roman"/>
        </w:rPr>
        <w:t>Verstoss gegen das Verbot der Selbstpreisgabe.</w:t>
      </w:r>
      <w:bookmarkStart w:id="14" w:name="_Ref41665182"/>
      <w:r w:rsidR="00EB4850">
        <w:rPr>
          <w:rStyle w:val="Funotenzeichen"/>
          <w:rFonts w:cs="Times New Roman"/>
        </w:rPr>
        <w:footnoteReference w:id="12"/>
      </w:r>
      <w:bookmarkEnd w:id="14"/>
      <w:r w:rsidR="00EB4850">
        <w:rPr>
          <w:rFonts w:cs="Times New Roman"/>
        </w:rPr>
        <w:t xml:space="preserve"> Problem</w:t>
      </w:r>
      <w:r w:rsidR="009A3512">
        <w:rPr>
          <w:rFonts w:cs="Times New Roman"/>
        </w:rPr>
        <w:t xml:space="preserve">behaftet dürfte eine interkantonale Kooperation </w:t>
      </w:r>
      <w:r w:rsidR="00EB4850">
        <w:rPr>
          <w:rFonts w:cs="Times New Roman"/>
        </w:rPr>
        <w:t xml:space="preserve">nach heute vorherrschender Ansicht </w:t>
      </w:r>
      <w:r w:rsidR="009A3512">
        <w:rPr>
          <w:rFonts w:cs="Times New Roman"/>
        </w:rPr>
        <w:t>erst</w:t>
      </w:r>
      <w:r w:rsidR="00EB4850">
        <w:rPr>
          <w:rFonts w:cs="Times New Roman"/>
        </w:rPr>
        <w:t xml:space="preserve"> </w:t>
      </w:r>
      <w:r w:rsidR="00F71031">
        <w:rPr>
          <w:rFonts w:cs="Times New Roman"/>
        </w:rPr>
        <w:t>dann</w:t>
      </w:r>
      <w:r w:rsidR="00EB4850">
        <w:rPr>
          <w:rFonts w:cs="Times New Roman"/>
        </w:rPr>
        <w:t xml:space="preserve"> sein, wenn zentrale Aufgaben von Legislative und Exekutive auf </w:t>
      </w:r>
      <w:r w:rsidR="009A3512">
        <w:rPr>
          <w:rFonts w:cs="Times New Roman"/>
        </w:rPr>
        <w:t>gemeinsame</w:t>
      </w:r>
      <w:r w:rsidR="00EB4850">
        <w:rPr>
          <w:rFonts w:cs="Times New Roman"/>
        </w:rPr>
        <w:t xml:space="preserve"> Organe übertragen würden.</w:t>
      </w:r>
      <w:r w:rsidR="00EB4850">
        <w:rPr>
          <w:rStyle w:val="Funotenzeichen"/>
          <w:rFonts w:cs="Times New Roman"/>
        </w:rPr>
        <w:footnoteReference w:id="13"/>
      </w:r>
      <w:r w:rsidR="00EB4850">
        <w:rPr>
          <w:rFonts w:cs="Times New Roman"/>
        </w:rPr>
        <w:t xml:space="preserve"> Dies </w:t>
      </w:r>
      <w:r w:rsidR="009A3512">
        <w:rPr>
          <w:rFonts w:cs="Times New Roman"/>
        </w:rPr>
        <w:t>ist aber</w:t>
      </w:r>
      <w:r w:rsidR="00EB4850">
        <w:rPr>
          <w:rFonts w:cs="Times New Roman"/>
        </w:rPr>
        <w:t xml:space="preserve"> bei interkantonalen Straf</w:t>
      </w:r>
      <w:r w:rsidR="008213AF">
        <w:rPr>
          <w:rFonts w:cs="Times New Roman"/>
        </w:rPr>
        <w:t>verfolgungs</w:t>
      </w:r>
      <w:r w:rsidR="00EB4850">
        <w:rPr>
          <w:rFonts w:cs="Times New Roman"/>
        </w:rPr>
        <w:t>behörden und Gerichten nicht der Fall.</w:t>
      </w:r>
      <w:r w:rsidR="009A3512">
        <w:rPr>
          <w:rFonts w:cs="Times New Roman"/>
        </w:rPr>
        <w:t xml:space="preserve"> Dies gilt umso mehr, als der Berichterstatter</w:t>
      </w:r>
      <w:r w:rsidR="00940FE5">
        <w:rPr>
          <w:rFonts w:cs="Times New Roman"/>
        </w:rPr>
        <w:t xml:space="preserve"> der vorberatenden Kommission</w:t>
      </w:r>
      <w:r w:rsidR="009A3512">
        <w:rPr>
          <w:rFonts w:cs="Times New Roman"/>
        </w:rPr>
        <w:t xml:space="preserve"> im Ständerat</w:t>
      </w:r>
      <w:r w:rsidR="00EB4850">
        <w:rPr>
          <w:rFonts w:cs="Times New Roman"/>
        </w:rPr>
        <w:t xml:space="preserve"> </w:t>
      </w:r>
      <w:r w:rsidRPr="00FC4456">
        <w:rPr>
          <w:rFonts w:cs="Times New Roman"/>
        </w:rPr>
        <w:t>(</w:t>
      </w:r>
      <w:r w:rsidR="00F445E9">
        <w:rPr>
          <w:rFonts w:cs="Times New Roman"/>
        </w:rPr>
        <w:t>Nationalrat</w:t>
      </w:r>
      <w:r w:rsidRPr="00FC4456">
        <w:rPr>
          <w:rFonts w:cs="Times New Roman"/>
        </w:rPr>
        <w:t xml:space="preserve"> Franz Wicki) die Schaffung gemeinsamer Strafverfolgungsbehörden </w:t>
      </w:r>
      <w:r w:rsidR="009A3512">
        <w:rPr>
          <w:rFonts w:cs="Times New Roman"/>
        </w:rPr>
        <w:t>ausdrücklich erwähnte</w:t>
      </w:r>
      <w:r w:rsidRPr="00FC4456">
        <w:rPr>
          <w:rFonts w:cs="Times New Roman"/>
        </w:rPr>
        <w:t xml:space="preserve">: </w:t>
      </w:r>
    </w:p>
    <w:p w14:paraId="24D2BC27" w14:textId="27E2CF82" w:rsidR="00FC4456" w:rsidRPr="00430A1D" w:rsidRDefault="00FC4456" w:rsidP="00D3511B">
      <w:pPr>
        <w:ind w:left="567" w:right="615"/>
      </w:pPr>
      <w:r w:rsidRPr="00430A1D">
        <w:rPr>
          <w:i/>
        </w:rPr>
        <w:t xml:space="preserve">«In der Kommission ist die Ansicht vertreten worden, dass wir mit dieser Bestimmung keine neue Kompetenz für die Kantone schaffen. Wir bestätigen damit eine bestehende Kompetenz und machen sie transparent. Gleichzeitig begrüssen wir es aber, wenn die Kantone gemeinsam </w:t>
      </w:r>
      <w:r w:rsidRPr="00430A1D">
        <w:rPr>
          <w:i/>
        </w:rPr>
        <w:lastRenderedPageBreak/>
        <w:t>auf dem Gebiet der Justiz zusammengehen. Wir haben im übrigen bewusst den Begriff ‹richterliche Behörden› gewählt und nicht nur ‹Gerichte›, denn auch die Strafverfolgungsbehörden sollen mit einbezogen werden.»</w:t>
      </w:r>
      <w:r w:rsidR="00EB4850" w:rsidRPr="00F445E9">
        <w:rPr>
          <w:rStyle w:val="Funotenzeichen"/>
        </w:rPr>
        <w:footnoteReference w:id="14"/>
      </w:r>
    </w:p>
    <w:p w14:paraId="2E83DC55" w14:textId="67EE5C98" w:rsidR="006410F3" w:rsidRPr="00C46641" w:rsidRDefault="006410F3" w:rsidP="009A1734">
      <w:pPr>
        <w:pStyle w:val="Standard15"/>
        <w:rPr>
          <w:b/>
        </w:rPr>
      </w:pPr>
      <w:r>
        <w:t>Aus verfassungsrechtlicher Sicht erscheint die Schaffung interkantonaler Straf</w:t>
      </w:r>
      <w:r w:rsidR="008213AF">
        <w:t>verfolgungs</w:t>
      </w:r>
      <w:r>
        <w:t xml:space="preserve">behörden </w:t>
      </w:r>
      <w:r w:rsidR="009A3512">
        <w:t>somit</w:t>
      </w:r>
      <w:r>
        <w:t xml:space="preserve"> nicht nur explizit zulässig, sondern </w:t>
      </w:r>
      <w:r w:rsidR="00766D2B">
        <w:t>vielmehr</w:t>
      </w:r>
      <w:r>
        <w:t xml:space="preserve"> erwünscht. </w:t>
      </w:r>
      <w:r w:rsidR="009A3512">
        <w:t xml:space="preserve">Nach </w:t>
      </w:r>
      <w:r>
        <w:t>Art. 4 Abs. 1 StPO</w:t>
      </w:r>
      <w:r w:rsidR="00094F53">
        <w:rPr>
          <w:rStyle w:val="Funotenzeichen"/>
        </w:rPr>
        <w:footnoteReference w:id="15"/>
      </w:r>
      <w:r>
        <w:t xml:space="preserve"> </w:t>
      </w:r>
      <w:r w:rsidR="009A3512">
        <w:t>sind die</w:t>
      </w:r>
      <w:r>
        <w:t xml:space="preserve"> «</w:t>
      </w:r>
      <w:r w:rsidR="009A3512">
        <w:rPr>
          <w:rFonts w:cs="Arial"/>
        </w:rPr>
        <w:t>[d]</w:t>
      </w:r>
      <w:r>
        <w:rPr>
          <w:rFonts w:cs="Arial"/>
        </w:rPr>
        <w:t xml:space="preserve">ie Strafbehörden </w:t>
      </w:r>
      <w:r w:rsidR="009A3512">
        <w:rPr>
          <w:rFonts w:cs="Arial"/>
        </w:rPr>
        <w:t>[…]</w:t>
      </w:r>
      <w:r>
        <w:rPr>
          <w:rFonts w:cs="Arial"/>
        </w:rPr>
        <w:t xml:space="preserve"> in der Rechtsanwendung unabhängig und allein dem Recht verpflichtet.» </w:t>
      </w:r>
      <w:r>
        <w:t xml:space="preserve">Die StPO verdeutlicht damit, was sich für Exekutivorgane </w:t>
      </w:r>
      <w:r w:rsidR="00C748DA">
        <w:t>(und Strafverfolgungsbehörden</w:t>
      </w:r>
      <w:r w:rsidR="00C748DA">
        <w:rPr>
          <w:rStyle w:val="Funotenzeichen"/>
        </w:rPr>
        <w:footnoteReference w:id="16"/>
      </w:r>
      <w:r w:rsidR="00C748DA">
        <w:t xml:space="preserve">) </w:t>
      </w:r>
      <w:r>
        <w:t xml:space="preserve">bereits aus Art. 29 Abs. 1 BV und für Gerichte aus Art. 30 Abs. 1 BV bzw. Art. 6 Ziff. 1 EMRK ergibt. </w:t>
      </w:r>
      <w:r w:rsidR="00BB26BF">
        <w:t xml:space="preserve">Gerade mit Blick auf kleine Kantone, in denen diese Unabhängigkeit latent gefährdet erscheint, ist daher eine grenzüberschreitende Kooperation </w:t>
      </w:r>
      <w:r w:rsidR="005C2B26">
        <w:t xml:space="preserve">zu begrüssen und entspricht </w:t>
      </w:r>
      <w:r w:rsidR="00E66DE5">
        <w:t>einem</w:t>
      </w:r>
      <w:r w:rsidR="005C2B26">
        <w:t xml:space="preserve"> rechtsstaatlichen Anliegen der Bundesverfassung</w:t>
      </w:r>
      <w:r w:rsidR="00BB26BF">
        <w:t>.</w:t>
      </w:r>
    </w:p>
    <w:p w14:paraId="7350C341" w14:textId="4B1CE4EE" w:rsidR="0000383F" w:rsidRDefault="005762CD" w:rsidP="00ED278E">
      <w:pPr>
        <w:pStyle w:val="berschrift2"/>
      </w:pPr>
      <w:bookmarkStart w:id="15" w:name="_Toc484779400"/>
      <w:bookmarkStart w:id="16" w:name="_Toc484779458"/>
      <w:bookmarkStart w:id="17" w:name="_Toc41986196"/>
      <w:r>
        <w:t>2</w:t>
      </w:r>
      <w:r w:rsidR="00E72FBE">
        <w:t>.</w:t>
      </w:r>
      <w:r w:rsidR="00E72FBE">
        <w:tab/>
      </w:r>
      <w:bookmarkEnd w:id="15"/>
      <w:bookmarkEnd w:id="16"/>
      <w:r w:rsidR="00AA6DDF">
        <w:t>Kantonales Verfassungsrecht</w:t>
      </w:r>
      <w:bookmarkEnd w:id="17"/>
      <w:r w:rsidR="00AC59BC">
        <w:t xml:space="preserve"> </w:t>
      </w:r>
    </w:p>
    <w:p w14:paraId="08A759A4" w14:textId="0E504D8F" w:rsidR="009269EF" w:rsidRDefault="009269EF" w:rsidP="009269EF">
      <w:pPr>
        <w:pStyle w:val="Standard15"/>
      </w:pPr>
      <w:r>
        <w:t>Neben der Bundesverfassung müssen bei der Gestaltung überkantonaler Straf</w:t>
      </w:r>
      <w:r w:rsidR="008213AF">
        <w:t>verfolgungs</w:t>
      </w:r>
      <w:r>
        <w:t>behörden auch die Vorgaben des kantonalen Verfassungsrechts beachtet werden. Als «gemeineidgenössisches kantonales Staatsrecht»</w:t>
      </w:r>
      <w:r w:rsidR="00AA3929">
        <w:rPr>
          <w:rStyle w:val="Funotenzeichen"/>
        </w:rPr>
        <w:footnoteReference w:id="17"/>
      </w:r>
      <w:r w:rsidR="00CD3C2C">
        <w:t xml:space="preserve"> </w:t>
      </w:r>
      <w:r w:rsidR="00276665">
        <w:t>–</w:t>
      </w:r>
      <w:r>
        <w:t xml:space="preserve"> das sich unter dem Einfluss des (in Art. 5 Abs. 1 BV verankerten) Gesetzmässigkeitsprinzips entwickelt hat </w:t>
      </w:r>
      <w:r w:rsidR="00276665">
        <w:t xml:space="preserve">– </w:t>
      </w:r>
      <w:r>
        <w:t xml:space="preserve">dürfte der Grundsatz gelten, wonach alle «wichtigen» Vorschriften eines Gemeinwesens in einem Gesetz im formellen Sinn zu verankern sind. Zu diesen wichtigen Vorschriften gehören insbesondere auch </w:t>
      </w:r>
      <w:r w:rsidR="00276665">
        <w:t xml:space="preserve">die grundlegenden </w:t>
      </w:r>
      <w:r>
        <w:t>Vorschriften über die Organisation und das Verfahren von Behörden.</w:t>
      </w:r>
      <w:bookmarkStart w:id="18" w:name="_Ref41925176"/>
      <w:r w:rsidR="00940FE5">
        <w:rPr>
          <w:rStyle w:val="Funotenzeichen"/>
        </w:rPr>
        <w:footnoteReference w:id="18"/>
      </w:r>
      <w:bookmarkEnd w:id="18"/>
      <w:r>
        <w:t xml:space="preserve"> Während die Anforderungen an die formalgesetzliche Grundlage bei der Justiz besonders hoch </w:t>
      </w:r>
      <w:r w:rsidR="001057FE">
        <w:t>zu gewichten sind</w:t>
      </w:r>
      <w:r w:rsidR="00276665">
        <w:t xml:space="preserve"> (Anspruch auf den gesetzlichen Richter)</w:t>
      </w:r>
      <w:r>
        <w:t>,</w:t>
      </w:r>
      <w:r w:rsidR="00C11F4B">
        <w:rPr>
          <w:rStyle w:val="Funotenzeichen"/>
        </w:rPr>
        <w:footnoteReference w:id="19"/>
      </w:r>
      <w:r>
        <w:t xml:space="preserve"> muss aber auch die Organisation der </w:t>
      </w:r>
      <w:r w:rsidR="00276665">
        <w:t>Straf</w:t>
      </w:r>
      <w:r w:rsidR="008213AF">
        <w:t>verfolgungs</w:t>
      </w:r>
      <w:r w:rsidR="00276665">
        <w:t>behörden</w:t>
      </w:r>
      <w:r>
        <w:t xml:space="preserve"> in ihren Grundzügen im Gesetz selber verankert sein.</w:t>
      </w:r>
      <w:r w:rsidR="001E2D9F">
        <w:rPr>
          <w:rStyle w:val="Funotenzeichen"/>
        </w:rPr>
        <w:footnoteReference w:id="20"/>
      </w:r>
      <w:r w:rsidR="00247F42">
        <w:t xml:space="preserve"> Die Waadtländer Kantonsverfassung erwähnt </w:t>
      </w:r>
      <w:r w:rsidR="00247F42">
        <w:lastRenderedPageBreak/>
        <w:t>so</w:t>
      </w:r>
      <w:r w:rsidR="00276665">
        <w:t>gar</w:t>
      </w:r>
      <w:r w:rsidR="00247F42">
        <w:t xml:space="preserve"> ausdrücklich, dass die Organisation der Staatsanwaltschaft durch Gesetz geregelt werden muss.</w:t>
      </w:r>
      <w:r w:rsidR="00247F42">
        <w:rPr>
          <w:rStyle w:val="Funotenzeichen"/>
        </w:rPr>
        <w:footnoteReference w:id="21"/>
      </w:r>
      <w:r w:rsidR="00EE67E3">
        <w:t xml:space="preserve"> Da die interkantonale Kooperation und insbesondere die Schaffung interkantonaler Behörden und Organe einer staatsvertraglichen Grundlage bedarf, bedeutet dies, dass diese Verträge demselben Verfahren </w:t>
      </w:r>
      <w:r w:rsidR="00244556">
        <w:t>zu unterstellen sind</w:t>
      </w:r>
      <w:r w:rsidR="00EE67E3">
        <w:t xml:space="preserve"> wie Gesetze im formellen Sinn. Je nach kantonalem </w:t>
      </w:r>
      <w:r w:rsidR="00244556">
        <w:t>Verfassungs</w:t>
      </w:r>
      <w:r w:rsidR="00EE67E3">
        <w:t xml:space="preserve">recht muss der Staatsvertrag </w:t>
      </w:r>
      <w:r w:rsidR="00E40E83">
        <w:t>daher</w:t>
      </w:r>
      <w:r w:rsidR="00EE67E3">
        <w:t xml:space="preserve"> dem fakultativen oder obligatorischen Referendum unterstellt werden</w:t>
      </w:r>
      <w:r w:rsidR="00E40E83">
        <w:t xml:space="preserve"> </w:t>
      </w:r>
      <w:r w:rsidR="00244556">
        <w:t>oder</w:t>
      </w:r>
      <w:r w:rsidR="00E40E83">
        <w:t xml:space="preserve"> ist der Landsgemeinde vorzulegen</w:t>
      </w:r>
      <w:r w:rsidR="00EE67E3">
        <w:t>.</w:t>
      </w:r>
      <w:r w:rsidR="00EE67E3">
        <w:rPr>
          <w:rStyle w:val="Funotenzeichen"/>
        </w:rPr>
        <w:footnoteReference w:id="22"/>
      </w:r>
    </w:p>
    <w:p w14:paraId="27BAFB5E" w14:textId="627BC009" w:rsidR="00EE67E3" w:rsidRDefault="00276665" w:rsidP="00276665">
      <w:pPr>
        <w:pStyle w:val="Standard15"/>
      </w:pPr>
      <w:r>
        <w:t xml:space="preserve">Neben diesem Erfordernis der ausreichenden Gesetzesform enthalten verschiedene Kantonsverfassungen </w:t>
      </w:r>
      <w:r w:rsidR="003E6B77">
        <w:t xml:space="preserve">spezifische </w:t>
      </w:r>
      <w:r>
        <w:t>Vorgaben, die bei der Schaffung interkantonaler Straf</w:t>
      </w:r>
      <w:r w:rsidR="00244556">
        <w:t>verfolgungs</w:t>
      </w:r>
      <w:r>
        <w:t xml:space="preserve">behörden zu beachten sind. So sehen </w:t>
      </w:r>
      <w:r w:rsidR="002641CC">
        <w:t>mehrere</w:t>
      </w:r>
      <w:r>
        <w:t xml:space="preserve"> Kantone die Parlamentswahl aller Staatsanwältinnen und Staatsanwälte</w:t>
      </w:r>
      <w:r>
        <w:rPr>
          <w:rStyle w:val="Funotenzeichen"/>
        </w:rPr>
        <w:footnoteReference w:id="23"/>
      </w:r>
      <w:r>
        <w:t xml:space="preserve"> oder zumindest derjenigen in leitender Funktion vor</w:t>
      </w:r>
      <w:r>
        <w:rPr>
          <w:rStyle w:val="Funotenzeichen"/>
        </w:rPr>
        <w:footnoteReference w:id="24"/>
      </w:r>
      <w:r>
        <w:t>.</w:t>
      </w:r>
      <w:r w:rsidR="00F37A89">
        <w:t xml:space="preserve"> </w:t>
      </w:r>
      <w:r>
        <w:t>Einzelne Kantonsverfassungen enthalten sodann Vorgaben zur Aufsicht über die Staatsanwaltschaft</w:t>
      </w:r>
      <w:r>
        <w:rPr>
          <w:rStyle w:val="Funotenzeichen"/>
        </w:rPr>
        <w:footnoteReference w:id="25"/>
      </w:r>
      <w:r>
        <w:t xml:space="preserve"> und der Kanton Waadt kennt eine eigene Verfassungsbestimmung, </w:t>
      </w:r>
      <w:r w:rsidR="004B466F">
        <w:t>die</w:t>
      </w:r>
      <w:r>
        <w:t xml:space="preserve"> konkrete Vorgaben zur Ausgestaltung der Staatsanwaltschaft macht.</w:t>
      </w:r>
      <w:r w:rsidR="00EB50BB">
        <w:rPr>
          <w:rStyle w:val="Funotenzeichen"/>
        </w:rPr>
        <w:footnoteReference w:id="26"/>
      </w:r>
    </w:p>
    <w:p w14:paraId="2A31BBEF" w14:textId="2DF630A3" w:rsidR="0054652F" w:rsidRDefault="0054652F" w:rsidP="0054652F">
      <w:pPr>
        <w:pStyle w:val="berschrift1"/>
      </w:pPr>
      <w:bookmarkStart w:id="19" w:name="_Toc41986197"/>
      <w:r>
        <w:t>III.</w:t>
      </w:r>
      <w:r>
        <w:tab/>
      </w:r>
      <w:r w:rsidR="00AA6DDF">
        <w:t>Staatsvertragliche Ausgestaltung</w:t>
      </w:r>
      <w:bookmarkEnd w:id="19"/>
    </w:p>
    <w:p w14:paraId="58B4BB8C" w14:textId="3F020877" w:rsidR="00244556" w:rsidRPr="00244556" w:rsidRDefault="00244556" w:rsidP="00244556">
      <w:r>
        <w:t xml:space="preserve">Bei der konkreten Ausgestaltung der staatsvertraglichen Grundlagen muss nicht nur deren ausreichende Form (analog einem formellen Gesetz) beachtet werden. Wichtig ist insbesondere, dass die Rechtsgrundlage inhaltlich ausreichend klar ist und die zentralen Eckpunkte </w:t>
      </w:r>
      <w:r w:rsidR="00766D2B">
        <w:t xml:space="preserve">mit genügender Bestimmtheit </w:t>
      </w:r>
      <w:r w:rsidR="000A4796">
        <w:t>normiert</w:t>
      </w:r>
      <w:r>
        <w:t>.</w:t>
      </w:r>
    </w:p>
    <w:p w14:paraId="5103917F" w14:textId="1E2AEFF0" w:rsidR="0054652F" w:rsidRDefault="0054652F" w:rsidP="0054652F">
      <w:pPr>
        <w:pStyle w:val="berschrift2"/>
        <w:spacing w:before="240"/>
      </w:pPr>
      <w:bookmarkStart w:id="20" w:name="_Toc41986198"/>
      <w:r>
        <w:t>1.</w:t>
      </w:r>
      <w:r>
        <w:tab/>
      </w:r>
      <w:r w:rsidR="00AA6DDF">
        <w:t>Zu regelnde Inhalte</w:t>
      </w:r>
      <w:bookmarkEnd w:id="20"/>
    </w:p>
    <w:p w14:paraId="2A3BA68C" w14:textId="1F9FF1CA" w:rsidR="008E0517" w:rsidRPr="008E0517" w:rsidRDefault="008E0517" w:rsidP="008E0517">
      <w:pPr>
        <w:pStyle w:val="berschrift3"/>
        <w:rPr>
          <w:rFonts w:ascii="Times New Roman" w:hAnsi="Times New Roman" w:cs="Times New Roman"/>
          <w:color w:val="000000" w:themeColor="text1"/>
        </w:rPr>
      </w:pPr>
      <w:r w:rsidRPr="008E0517">
        <w:rPr>
          <w:rFonts w:ascii="Times New Roman" w:hAnsi="Times New Roman" w:cs="Times New Roman"/>
          <w:color w:val="000000" w:themeColor="text1"/>
        </w:rPr>
        <w:t>1.1.</w:t>
      </w:r>
      <w:r w:rsidRPr="008E0517">
        <w:rPr>
          <w:rFonts w:ascii="Times New Roman" w:hAnsi="Times New Roman" w:cs="Times New Roman"/>
          <w:color w:val="000000" w:themeColor="text1"/>
        </w:rPr>
        <w:tab/>
        <w:t>Rechtsform</w:t>
      </w:r>
      <w:r w:rsidR="00244556">
        <w:rPr>
          <w:rFonts w:ascii="Times New Roman" w:hAnsi="Times New Roman" w:cs="Times New Roman"/>
          <w:color w:val="000000" w:themeColor="text1"/>
        </w:rPr>
        <w:t xml:space="preserve"> interkantonaler Strafverfolungs«behörden»</w:t>
      </w:r>
    </w:p>
    <w:p w14:paraId="470980AA" w14:textId="2D2863AA" w:rsidR="00B801E6" w:rsidRDefault="00075EFB" w:rsidP="00B7616C">
      <w:r>
        <w:t>Ein zentraler Punkt, der bei interkantonalen Straf</w:t>
      </w:r>
      <w:r w:rsidR="00FD04C0">
        <w:t>verfolgungs</w:t>
      </w:r>
      <w:r>
        <w:t>behörden geregelt werden muss</w:t>
      </w:r>
      <w:r w:rsidR="00D42A7C">
        <w:t>,</w:t>
      </w:r>
      <w:r>
        <w:t xml:space="preserve"> ist ihre Rechtsform. Für interkantonale </w:t>
      </w:r>
      <w:r w:rsidR="00FD04C0">
        <w:t>«Behörden»</w:t>
      </w:r>
      <w:r>
        <w:t xml:space="preserve"> gibt es kein vordefiniertes Rechtsgefäs</w:t>
      </w:r>
      <w:r w:rsidR="00556F35">
        <w:t>s</w:t>
      </w:r>
      <w:r w:rsidR="00891648">
        <w:t>.</w:t>
      </w:r>
      <w:r w:rsidR="00556F35">
        <w:t xml:space="preserve"> Quantitativ dürfte die </w:t>
      </w:r>
      <w:r w:rsidR="00451300">
        <w:lastRenderedPageBreak/>
        <w:t>öffentlich-rechtliche Anstalt dominier</w:t>
      </w:r>
      <w:r w:rsidR="00556F35">
        <w:t>en</w:t>
      </w:r>
      <w:r w:rsidR="00451300">
        <w:t>.</w:t>
      </w:r>
      <w:r w:rsidR="00684E50">
        <w:rPr>
          <w:rStyle w:val="Funotenzeichen"/>
        </w:rPr>
        <w:footnoteReference w:id="27"/>
      </w:r>
      <w:r w:rsidR="00451300">
        <w:t xml:space="preserve"> Denkbar sind aber auch öffentlich-rechtliche Körperschaften</w:t>
      </w:r>
      <w:r w:rsidR="00684E50">
        <w:rPr>
          <w:rStyle w:val="Funotenzeichen"/>
        </w:rPr>
        <w:footnoteReference w:id="28"/>
      </w:r>
      <w:r w:rsidR="00FB7F63">
        <w:t>, öffentlich-rechtliche Stiftungen</w:t>
      </w:r>
      <w:r w:rsidR="00FB7F63">
        <w:rPr>
          <w:rStyle w:val="Funotenzeichen"/>
        </w:rPr>
        <w:footnoteReference w:id="29"/>
      </w:r>
      <w:r w:rsidR="00451300">
        <w:t xml:space="preserve"> oder privatrechtliche Rechtsformen wie </w:t>
      </w:r>
      <w:r w:rsidR="00801C24">
        <w:t>der</w:t>
      </w:r>
      <w:r w:rsidR="00451300">
        <w:t xml:space="preserve"> Verein</w:t>
      </w:r>
      <w:r w:rsidR="00A133E0">
        <w:rPr>
          <w:rStyle w:val="Funotenzeichen"/>
        </w:rPr>
        <w:footnoteReference w:id="30"/>
      </w:r>
      <w:r w:rsidR="00451300">
        <w:t xml:space="preserve">, </w:t>
      </w:r>
      <w:r w:rsidR="00801C24">
        <w:t>die</w:t>
      </w:r>
      <w:r w:rsidR="00451300">
        <w:t xml:space="preserve"> Stiftung</w:t>
      </w:r>
      <w:r w:rsidR="00684E50">
        <w:rPr>
          <w:rStyle w:val="Funotenzeichen"/>
        </w:rPr>
        <w:footnoteReference w:id="31"/>
      </w:r>
      <w:r w:rsidR="00451300">
        <w:t xml:space="preserve">, </w:t>
      </w:r>
      <w:r w:rsidR="00801C24">
        <w:t>die</w:t>
      </w:r>
      <w:r w:rsidR="00451300">
        <w:t xml:space="preserve"> Genossenschaft</w:t>
      </w:r>
      <w:r w:rsidR="00A133E0">
        <w:rPr>
          <w:rStyle w:val="Funotenzeichen"/>
        </w:rPr>
        <w:footnoteReference w:id="32"/>
      </w:r>
      <w:r w:rsidR="00451300">
        <w:t xml:space="preserve"> oder </w:t>
      </w:r>
      <w:r w:rsidR="00801C24">
        <w:t>die</w:t>
      </w:r>
      <w:r w:rsidR="00451300">
        <w:t xml:space="preserve"> Aktiengesellschaft</w:t>
      </w:r>
      <w:r w:rsidR="00801C24">
        <w:rPr>
          <w:rStyle w:val="Funotenzeichen"/>
        </w:rPr>
        <w:footnoteReference w:id="33"/>
      </w:r>
      <w:r w:rsidR="00451300">
        <w:t xml:space="preserve">. </w:t>
      </w:r>
      <w:r w:rsidR="00801C24">
        <w:t xml:space="preserve">Möglich ist auch, dass das interkantonale Organ lediglich </w:t>
      </w:r>
      <w:r w:rsidR="00A663A0">
        <w:t>aufgrund des äusseren Entscheidungsbildes (</w:t>
      </w:r>
      <w:r w:rsidR="000A4796">
        <w:t>seiner</w:t>
      </w:r>
      <w:r w:rsidR="00D42A7C">
        <w:t xml:space="preserve"> </w:t>
      </w:r>
      <w:r w:rsidR="00A663A0">
        <w:t>Bezeichnung</w:t>
      </w:r>
      <w:r w:rsidR="00D42A7C">
        <w:t xml:space="preserve"> und </w:t>
      </w:r>
      <w:r w:rsidR="000A4796">
        <w:t>seines</w:t>
      </w:r>
      <w:r w:rsidR="00A663A0">
        <w:t xml:space="preserve"> </w:t>
      </w:r>
      <w:r w:rsidR="00D42A7C">
        <w:t>«</w:t>
      </w:r>
      <w:r w:rsidR="00A663A0">
        <w:t>Logo</w:t>
      </w:r>
      <w:r w:rsidR="00D42A7C">
        <w:t>s»</w:t>
      </w:r>
      <w:r w:rsidR="000A4796">
        <w:t xml:space="preserve"> nach</w:t>
      </w:r>
      <w:r w:rsidR="00A663A0">
        <w:t>)</w:t>
      </w:r>
      <w:r w:rsidR="00801C24">
        <w:t xml:space="preserve"> als gemeinsame Institution auftritt, rechtlich betrachtet aber die</w:t>
      </w:r>
      <w:r w:rsidR="00D70BE6">
        <w:t xml:space="preserve"> </w:t>
      </w:r>
      <w:r w:rsidR="00801C24">
        <w:t>Organisation</w:t>
      </w:r>
      <w:r w:rsidR="00D70BE6">
        <w:t xml:space="preserve">seinheit </w:t>
      </w:r>
      <w:r w:rsidR="00801C24">
        <w:t>eines einzelnen Kantons ist, die von anderen Kantonen gegen Abgeltung in Anspruch genommen wird</w:t>
      </w:r>
      <w:r w:rsidR="004574E1">
        <w:t xml:space="preserve"> (Modell </w:t>
      </w:r>
      <w:r w:rsidR="00D42A7C">
        <w:t>«</w:t>
      </w:r>
      <w:r w:rsidR="004574E1">
        <w:t>Leistungseinkauf</w:t>
      </w:r>
      <w:r w:rsidR="00D42A7C">
        <w:t>»</w:t>
      </w:r>
      <w:r w:rsidR="00A663A0">
        <w:t>; hierzu nachfolgend</w:t>
      </w:r>
      <w:r w:rsidR="00CB0E33">
        <w:t>, Abschnitt III/3</w:t>
      </w:r>
      <w:r w:rsidR="004574E1">
        <w:t>)</w:t>
      </w:r>
      <w:r w:rsidR="00830DBC">
        <w:t>.</w:t>
      </w:r>
      <w:r w:rsidR="00830DBC">
        <w:rPr>
          <w:rStyle w:val="Funotenzeichen"/>
        </w:rPr>
        <w:footnoteReference w:id="34"/>
      </w:r>
    </w:p>
    <w:p w14:paraId="3FDF3D8D" w14:textId="6DCD31F7" w:rsidR="00313D1A" w:rsidRDefault="00451300" w:rsidP="00B7616C">
      <w:r>
        <w:t>Nicht selten ist die Rechtsform der Organe indes unklar und auch die konkrete staatsvertragliche Ausgestaltung der Kooperation lässt entscheidende Fragen unbeantwortet.</w:t>
      </w:r>
      <w:r w:rsidR="00313D1A">
        <w:rPr>
          <w:rStyle w:val="Funotenzeichen"/>
        </w:rPr>
        <w:footnoteReference w:id="35"/>
      </w:r>
      <w:r>
        <w:t xml:space="preserve"> </w:t>
      </w:r>
      <w:r w:rsidR="00313D1A">
        <w:t xml:space="preserve">So ist bei </w:t>
      </w:r>
      <w:r w:rsidR="00D42A7C">
        <w:t>der Bezeichnung</w:t>
      </w:r>
      <w:r w:rsidR="00313D1A">
        <w:t xml:space="preserve"> </w:t>
      </w:r>
      <w:r w:rsidR="00D42A7C">
        <w:t>«</w:t>
      </w:r>
      <w:r w:rsidR="00313D1A">
        <w:t>interkantonale Behörde</w:t>
      </w:r>
      <w:r w:rsidR="00D42A7C">
        <w:t>»</w:t>
      </w:r>
      <w:r w:rsidR="00556F35">
        <w:rPr>
          <w:rStyle w:val="Funotenzeichen"/>
        </w:rPr>
        <w:footnoteReference w:id="36"/>
      </w:r>
      <w:r w:rsidR="00313D1A">
        <w:t xml:space="preserve"> nicht klar, ob diese über Rechtspersönlichkeit verfügt und welchem Gemeinwesen ihre Handlungen – etwa in einem Haftungsfall – zugerechnet werden müssen. Behörden oder Ämter sind in aller Regel </w:t>
      </w:r>
      <w:r w:rsidR="00D42A7C">
        <w:t xml:space="preserve">Verwaltungseinheiten, die </w:t>
      </w:r>
      <w:r w:rsidR="00313D1A">
        <w:t xml:space="preserve">in eine hierarchische Verwaltungsstruktur eingebunden </w:t>
      </w:r>
      <w:r w:rsidR="00D42A7C">
        <w:t xml:space="preserve">sind und denen </w:t>
      </w:r>
      <w:r w:rsidR="00313D1A">
        <w:t>keine Rechtspersönlichkeit zu</w:t>
      </w:r>
      <w:r w:rsidR="00D42A7C">
        <w:t>kommt</w:t>
      </w:r>
      <w:r w:rsidR="00313D1A">
        <w:t>.</w:t>
      </w:r>
      <w:r w:rsidR="00313D1A">
        <w:rPr>
          <w:rStyle w:val="Funotenzeichen"/>
        </w:rPr>
        <w:footnoteReference w:id="37"/>
      </w:r>
      <w:r w:rsidR="00313D1A">
        <w:t xml:space="preserve"> </w:t>
      </w:r>
      <w:r w:rsidR="00556F35">
        <w:t>Wird eine interkantonale Straf</w:t>
      </w:r>
      <w:r w:rsidR="008213AF">
        <w:t>verfolgungs</w:t>
      </w:r>
      <w:r w:rsidR="00556F35">
        <w:t>behörde nicht in die Behördenstruktur eines einzelnen Kantons eingebunden</w:t>
      </w:r>
      <w:r w:rsidR="004574E1">
        <w:t xml:space="preserve"> (Modell </w:t>
      </w:r>
      <w:r w:rsidR="007F551E">
        <w:t>«</w:t>
      </w:r>
      <w:r w:rsidR="004574E1">
        <w:t>Leistungseinkauf</w:t>
      </w:r>
      <w:r w:rsidR="007F551E">
        <w:t>»</w:t>
      </w:r>
      <w:r w:rsidR="004574E1">
        <w:t>)</w:t>
      </w:r>
      <w:r w:rsidR="00556F35">
        <w:t xml:space="preserve">, sondern soll sie im eigentlichen Sinn </w:t>
      </w:r>
      <w:r w:rsidR="00556F35" w:rsidRPr="00556F35">
        <w:rPr>
          <w:i/>
        </w:rPr>
        <w:t>inter</w:t>
      </w:r>
      <w:r w:rsidR="00556F35">
        <w:t>kantonal</w:t>
      </w:r>
      <w:r w:rsidR="004574E1">
        <w:t xml:space="preserve"> </w:t>
      </w:r>
      <w:r w:rsidR="00556F35">
        <w:t xml:space="preserve">sein, so sollte sie auch rechtlich </w:t>
      </w:r>
      <w:r w:rsidR="007F551E">
        <w:t>«</w:t>
      </w:r>
      <w:r w:rsidR="00556F35">
        <w:t>auf eigenen Beinen</w:t>
      </w:r>
      <w:r w:rsidR="007F551E">
        <w:t>»</w:t>
      </w:r>
      <w:r w:rsidR="00556F35">
        <w:t xml:space="preserve"> stehen. Als Rechtsform steht </w:t>
      </w:r>
      <w:r w:rsidR="00F0594E">
        <w:t>dabei</w:t>
      </w:r>
      <w:r w:rsidR="00556F35">
        <w:t xml:space="preserve"> </w:t>
      </w:r>
      <w:r w:rsidR="00F0594E">
        <w:t>die</w:t>
      </w:r>
      <w:r w:rsidR="00556F35">
        <w:t xml:space="preserve"> selbständige öffentlich-rechtliche Anstalt im Vordergrund. Dies mag auf den ersten Blick erstaunen, da die Anstalt </w:t>
      </w:r>
      <w:r w:rsidR="00F0594E">
        <w:t>als</w:t>
      </w:r>
      <w:r w:rsidR="00556F35">
        <w:t xml:space="preserve"> </w:t>
      </w:r>
      <w:r w:rsidR="007F551E">
        <w:t>«</w:t>
      </w:r>
      <w:r w:rsidR="00556F35">
        <w:t>klassische</w:t>
      </w:r>
      <w:r w:rsidR="007F551E">
        <w:t>»</w:t>
      </w:r>
      <w:r w:rsidR="00556F35">
        <w:t xml:space="preserve"> Rechtsform </w:t>
      </w:r>
      <w:r w:rsidR="00FE155C">
        <w:t>für Leistungs</w:t>
      </w:r>
      <w:r w:rsidR="00F0594E">
        <w:t>erbringer im Bereich der Daseinsvorsorge zum Einsatz kommt.</w:t>
      </w:r>
      <w:r w:rsidR="00F0594E">
        <w:rPr>
          <w:rStyle w:val="Funotenzeichen"/>
        </w:rPr>
        <w:footnoteReference w:id="38"/>
      </w:r>
      <w:r w:rsidR="00F0594E">
        <w:t xml:space="preserve"> Bereits </w:t>
      </w:r>
      <w:r w:rsidR="00F0594E" w:rsidRPr="004B6E83">
        <w:rPr>
          <w:smallCaps/>
        </w:rPr>
        <w:t>Otto Mayer</w:t>
      </w:r>
      <w:r w:rsidR="00F0594E">
        <w:t xml:space="preserve"> </w:t>
      </w:r>
      <w:r w:rsidR="002B699A">
        <w:t xml:space="preserve">(1846-1924) </w:t>
      </w:r>
      <w:r w:rsidR="00F0594E">
        <w:t>wies indes darauf hin, dass es auch untypische Anstalten gibt, etwa die stark körperschaftlich geprägten Universitäten.</w:t>
      </w:r>
      <w:r w:rsidR="00F0594E">
        <w:rPr>
          <w:rStyle w:val="Funotenzeichen"/>
        </w:rPr>
        <w:footnoteReference w:id="39"/>
      </w:r>
      <w:r w:rsidR="004B6E83">
        <w:t xml:space="preserve"> </w:t>
      </w:r>
      <w:r w:rsidR="003E258C">
        <w:t xml:space="preserve">Und eine der ersten Anstalten </w:t>
      </w:r>
      <w:r w:rsidR="003E258C">
        <w:lastRenderedPageBreak/>
        <w:t>des Bundes – die 1887 ins Leben gerufene Eidgenössische Alkoholverwaltung (sie bestand bis Ende 2017) – verfügte bei Verstössen gegen die Alkoholgesetzgebung über weitreichende Ermittlungskompetenzen und ihr oblag es, dem Finanzdepartement gegenüber Strafen zu beantragen.</w:t>
      </w:r>
      <w:r w:rsidR="003E258C">
        <w:rPr>
          <w:rStyle w:val="Funotenzeichen"/>
        </w:rPr>
        <w:footnoteReference w:id="40"/>
      </w:r>
      <w:r w:rsidR="008E0517">
        <w:t xml:space="preserve"> Auch die als Anstalt organisierte Finanzmarktaufsicht des Bundes (FINMA) verfügt im Rahmen ihrer Aufsichtskompetenzen über weitreichende Aufsichts- und Untersuchungskompetenzen.</w:t>
      </w:r>
      <w:r w:rsidR="008E0517">
        <w:rPr>
          <w:rStyle w:val="Funotenzeichen"/>
        </w:rPr>
        <w:footnoteReference w:id="41"/>
      </w:r>
      <w:r w:rsidR="008E0517">
        <w:t xml:space="preserve"> Diese Beispiele machen deutlich, dass die Anstalt ein organisatorisches Auffangbecken ist, das sehr viele Nutzungen zulässt</w:t>
      </w:r>
      <w:r w:rsidR="00D9769A">
        <w:t>, auch solche der hoheitlichen Eingriffsverwaltung</w:t>
      </w:r>
      <w:r w:rsidR="008E0517">
        <w:t xml:space="preserve">. </w:t>
      </w:r>
      <w:r w:rsidR="00B7616C">
        <w:t>Demgegenüber scheinen eine Körperschaft</w:t>
      </w:r>
      <w:r w:rsidR="007F551E">
        <w:t xml:space="preserve"> –</w:t>
      </w:r>
      <w:r w:rsidR="00B7616C">
        <w:t xml:space="preserve"> bei der die Selbstverwaltung ihrer Mitglieder im Vordergrund steht </w:t>
      </w:r>
      <w:r w:rsidR="007F551E">
        <w:t xml:space="preserve">–, </w:t>
      </w:r>
      <w:r w:rsidR="00B7616C">
        <w:t>oder auch eine öffentlich-rechtliche Stiftung</w:t>
      </w:r>
      <w:r w:rsidR="007F551E">
        <w:t xml:space="preserve"> –</w:t>
      </w:r>
      <w:r w:rsidR="00B7616C">
        <w:t xml:space="preserve"> bei der es um die Zweckbindung eines Vermögens geht</w:t>
      </w:r>
      <w:r w:rsidR="007F551E">
        <w:t xml:space="preserve"> –</w:t>
      </w:r>
      <w:r w:rsidR="00B7616C">
        <w:t xml:space="preserve"> für eine interkantonale Straf</w:t>
      </w:r>
      <w:r w:rsidR="008213AF">
        <w:t>verfolgungs</w:t>
      </w:r>
      <w:r w:rsidR="00B7616C">
        <w:t xml:space="preserve">behörde ungeeignet. Auch die </w:t>
      </w:r>
      <w:r w:rsidR="007F551E">
        <w:t>Gesellschaftsformen</w:t>
      </w:r>
      <w:r w:rsidR="00B7616C">
        <w:t xml:space="preserve"> des </w:t>
      </w:r>
      <w:r w:rsidR="007F551E">
        <w:t>Privatrechts</w:t>
      </w:r>
      <w:r w:rsidR="00B7616C">
        <w:t xml:space="preserve"> </w:t>
      </w:r>
      <w:r w:rsidR="00DB3F02">
        <w:t>sind</w:t>
      </w:r>
      <w:r w:rsidR="00B7616C">
        <w:t xml:space="preserve"> mit Blick auf den hoheitlichen Charakter </w:t>
      </w:r>
      <w:r w:rsidR="00D9769A">
        <w:t>der Strafverfolgung</w:t>
      </w:r>
      <w:r w:rsidR="00B7616C">
        <w:t xml:space="preserve"> unpassend.</w:t>
      </w:r>
    </w:p>
    <w:p w14:paraId="38C9A7D7" w14:textId="37883234" w:rsidR="008E0517" w:rsidRPr="008E0517" w:rsidRDefault="008E0517" w:rsidP="00A10603">
      <w:pPr>
        <w:pStyle w:val="berschrift3"/>
        <w:spacing w:before="120"/>
        <w:rPr>
          <w:rFonts w:ascii="Times New Roman" w:hAnsi="Times New Roman" w:cs="Times New Roman"/>
          <w:color w:val="000000" w:themeColor="text1"/>
        </w:rPr>
      </w:pPr>
      <w:r w:rsidRPr="008E0517">
        <w:rPr>
          <w:rFonts w:ascii="Times New Roman" w:hAnsi="Times New Roman" w:cs="Times New Roman"/>
          <w:color w:val="000000" w:themeColor="text1"/>
        </w:rPr>
        <w:t>1.</w:t>
      </w:r>
      <w:r>
        <w:rPr>
          <w:rFonts w:ascii="Times New Roman" w:hAnsi="Times New Roman" w:cs="Times New Roman"/>
          <w:color w:val="000000" w:themeColor="text1"/>
        </w:rPr>
        <w:t>2</w:t>
      </w:r>
      <w:r w:rsidRPr="008E0517">
        <w:rPr>
          <w:rFonts w:ascii="Times New Roman" w:hAnsi="Times New Roman" w:cs="Times New Roman"/>
          <w:color w:val="000000" w:themeColor="text1"/>
        </w:rPr>
        <w:t>.</w:t>
      </w:r>
      <w:r w:rsidRPr="008E0517">
        <w:rPr>
          <w:rFonts w:ascii="Times New Roman" w:hAnsi="Times New Roman" w:cs="Times New Roman"/>
          <w:color w:val="000000" w:themeColor="text1"/>
        </w:rPr>
        <w:tab/>
      </w:r>
      <w:r>
        <w:rPr>
          <w:rFonts w:ascii="Times New Roman" w:hAnsi="Times New Roman" w:cs="Times New Roman"/>
          <w:color w:val="000000" w:themeColor="text1"/>
        </w:rPr>
        <w:t>Weitere Inhalte</w:t>
      </w:r>
    </w:p>
    <w:p w14:paraId="6AF4E236" w14:textId="5999D293" w:rsidR="00AA6DDF" w:rsidRPr="00AA6DDF" w:rsidRDefault="00B7616C" w:rsidP="00AF7F27">
      <w:r>
        <w:t>Neben der Rechtsform sollte die staatsvertragliche Regelung aber auch weitere organisations- und verfahrensrechtliche Aspekte regeln. Hierzu gehören insbesondere</w:t>
      </w:r>
      <w:r w:rsidR="000336C7">
        <w:t xml:space="preserve"> personalrechtliche Aspekte (</w:t>
      </w:r>
      <w:r w:rsidR="00B76DB9">
        <w:t xml:space="preserve">Kompetenz zur Ernennung und Entlassung bzw. Wahl, Wiederwahl, Amtsenthebung, </w:t>
      </w:r>
      <w:r w:rsidR="000336C7">
        <w:t>anwendbares Personalrecht, Disziplinarrecht,</w:t>
      </w:r>
      <w:r w:rsidR="00B76DB9">
        <w:t xml:space="preserve"> Wohnsitzpflichten etc.</w:t>
      </w:r>
      <w:r w:rsidR="000336C7">
        <w:t>), Fragen der Aufsicht</w:t>
      </w:r>
      <w:r w:rsidR="00C42691">
        <w:t xml:space="preserve"> (fachliche Aufsicht, Finanz</w:t>
      </w:r>
      <w:r w:rsidR="00B76DB9">
        <w:t>aufsicht, Oberaufsicht</w:t>
      </w:r>
      <w:r w:rsidR="00C42691">
        <w:t>)</w:t>
      </w:r>
      <w:r w:rsidR="000336C7">
        <w:t>, finanzielle Aspekte (</w:t>
      </w:r>
      <w:r w:rsidR="00C42691">
        <w:t>Kostenteiler</w:t>
      </w:r>
      <w:r w:rsidR="000336C7">
        <w:t>, allfällige Staatshaftung</w:t>
      </w:r>
      <w:r w:rsidR="00C42691">
        <w:t>, Aspekte des Beschaffungswesens</w:t>
      </w:r>
      <w:r w:rsidR="000336C7">
        <w:t>)</w:t>
      </w:r>
      <w:r w:rsidR="00C42691">
        <w:t xml:space="preserve"> und</w:t>
      </w:r>
      <w:r w:rsidR="000336C7">
        <w:t xml:space="preserve"> </w:t>
      </w:r>
      <w:r w:rsidR="00C42691">
        <w:t>verfahrensrechtliche Aspekte (Rechtsschutz, Schnittstellen zu</w:t>
      </w:r>
      <w:r>
        <w:t>m kantonalen Polizeirecht</w:t>
      </w:r>
      <w:r w:rsidR="00C42691">
        <w:t>). Hilfreich kann es sodann sein, auch den S</w:t>
      </w:r>
      <w:r>
        <w:t>itz</w:t>
      </w:r>
      <w:r w:rsidR="00C42691">
        <w:t xml:space="preserve"> der gemeinsamen Behörde </w:t>
      </w:r>
      <w:r>
        <w:t>festzulegen</w:t>
      </w:r>
      <w:r w:rsidR="00C42691">
        <w:t xml:space="preserve"> und </w:t>
      </w:r>
      <w:r>
        <w:t xml:space="preserve">eine rechtliche Auffangordnung für all diejenigen Fragen festzulegen, welche die Vereinbarung nicht autonom regelt. Mit Blick auf das Territorialitätsprinzip bietet es sich an, das Recht des Sitzkantons </w:t>
      </w:r>
      <w:r w:rsidR="0027183A">
        <w:t xml:space="preserve">als </w:t>
      </w:r>
      <w:r>
        <w:t>massgebend zu erklären</w:t>
      </w:r>
      <w:r w:rsidR="00C42691">
        <w:t>.</w:t>
      </w:r>
      <w:r w:rsidR="00AF7F27" w:rsidRPr="00AA6DDF">
        <w:t xml:space="preserve"> </w:t>
      </w:r>
      <w:r w:rsidR="00877587">
        <w:t xml:space="preserve">Bei der Frage, für welche Lösung sich die Kantone hierbei entscheiden, besteht eine grosse Variationsbreite. Nachfolgend sollen drei mögliche Modelle dargestellt werden, die sich </w:t>
      </w:r>
      <w:r w:rsidR="00B10BC0">
        <w:t>auch miteinander kombinieren lassen</w:t>
      </w:r>
      <w:r w:rsidR="00877587">
        <w:t xml:space="preserve">. Sie dienen </w:t>
      </w:r>
      <w:r w:rsidR="00B10BC0">
        <w:t xml:space="preserve">in erster Linie als Orientierungsgrundlage </w:t>
      </w:r>
      <w:r w:rsidR="00877587">
        <w:t xml:space="preserve">und sollen helfen, </w:t>
      </w:r>
      <w:r w:rsidR="00B10BC0">
        <w:t xml:space="preserve">die politische </w:t>
      </w:r>
      <w:r w:rsidR="00877587">
        <w:t xml:space="preserve">und rechtliche </w:t>
      </w:r>
      <w:r w:rsidR="00B10BC0">
        <w:t>Diskussion</w:t>
      </w:r>
      <w:r w:rsidR="00877587">
        <w:t xml:space="preserve"> </w:t>
      </w:r>
      <w:r w:rsidR="00BA275D">
        <w:t>bei der Schaffung gemeinsamer Behörden zu strukturieren</w:t>
      </w:r>
      <w:r w:rsidR="00B10BC0">
        <w:t>.</w:t>
      </w:r>
    </w:p>
    <w:p w14:paraId="1DF59F45" w14:textId="6D829595" w:rsidR="0054652F" w:rsidRDefault="0054652F" w:rsidP="0054652F">
      <w:pPr>
        <w:pStyle w:val="berschrift2"/>
      </w:pPr>
      <w:bookmarkStart w:id="21" w:name="_Toc41986199"/>
      <w:r>
        <w:t>2.</w:t>
      </w:r>
      <w:r>
        <w:tab/>
      </w:r>
      <w:r w:rsidR="00B10BC0">
        <w:t>Modell</w:t>
      </w:r>
      <w:r w:rsidR="00AA6DDF">
        <w:t xml:space="preserve"> 1: </w:t>
      </w:r>
      <w:r w:rsidR="00C42691">
        <w:t>Selbständigkeit</w:t>
      </w:r>
      <w:r w:rsidR="00937E3D">
        <w:t xml:space="preserve"> der interkantonalen Behörde</w:t>
      </w:r>
      <w:bookmarkEnd w:id="21"/>
    </w:p>
    <w:p w14:paraId="46279E72" w14:textId="7402B522" w:rsidR="005E784A" w:rsidRDefault="00EA4EC3" w:rsidP="00AA6DDF">
      <w:r>
        <w:t xml:space="preserve">Dem Ideal </w:t>
      </w:r>
      <w:r w:rsidRPr="001E79E0">
        <w:rPr>
          <w:lang w:val="de-CH"/>
        </w:rPr>
        <w:t xml:space="preserve">einer </w:t>
      </w:r>
      <w:r w:rsidR="004853A0">
        <w:rPr>
          <w:lang w:val="de-CH"/>
        </w:rPr>
        <w:t>«</w:t>
      </w:r>
      <w:r w:rsidRPr="001E79E0">
        <w:rPr>
          <w:lang w:val="de-CH"/>
        </w:rPr>
        <w:t>gemeinsamen</w:t>
      </w:r>
      <w:r w:rsidR="004853A0">
        <w:rPr>
          <w:lang w:val="de-CH"/>
        </w:rPr>
        <w:t>»</w:t>
      </w:r>
      <w:r w:rsidRPr="001E79E0">
        <w:rPr>
          <w:lang w:val="de-CH"/>
        </w:rPr>
        <w:t xml:space="preserve"> Straf</w:t>
      </w:r>
      <w:r w:rsidR="008213AF" w:rsidRPr="001E79E0">
        <w:rPr>
          <w:lang w:val="de-CH"/>
        </w:rPr>
        <w:t>verfolgungs</w:t>
      </w:r>
      <w:r w:rsidRPr="001E79E0">
        <w:rPr>
          <w:lang w:val="de-CH"/>
        </w:rPr>
        <w:t>behörde</w:t>
      </w:r>
      <w:r>
        <w:t xml:space="preserve"> </w:t>
      </w:r>
      <w:r w:rsidR="005E784A">
        <w:t xml:space="preserve">entspricht am ehesten das Modell einer </w:t>
      </w:r>
      <w:r w:rsidR="00E34649">
        <w:t xml:space="preserve">Anstalt mit eigener Rechtspersönlichkeit, an der sich alle Trägerkantone paritätisch beteiligen. Diesem Modell </w:t>
      </w:r>
      <w:r w:rsidR="00C33118">
        <w:t>folgt</w:t>
      </w:r>
      <w:r w:rsidR="00E34649">
        <w:t xml:space="preserve"> im Bereich des Strafvollzugs die – bilateral von Basel-Stadt und Zug getragene – Strafanstalt Bostadel.</w:t>
      </w:r>
      <w:r w:rsidR="00E34649">
        <w:rPr>
          <w:rStyle w:val="Funotenzeichen"/>
        </w:rPr>
        <w:footnoteReference w:id="42"/>
      </w:r>
      <w:r w:rsidR="00E34649">
        <w:t xml:space="preserve"> </w:t>
      </w:r>
      <w:r w:rsidR="00C33118">
        <w:lastRenderedPageBreak/>
        <w:t>Auch</w:t>
      </w:r>
      <w:r w:rsidR="00E34649">
        <w:t xml:space="preserve"> die geplante Interkantonale Geldspielaufsicht (GESPA) </w:t>
      </w:r>
      <w:r w:rsidR="00C33118">
        <w:t xml:space="preserve">steht für dieses </w:t>
      </w:r>
      <w:r w:rsidR="00E34649">
        <w:t>Modell,</w:t>
      </w:r>
      <w:r w:rsidR="00B312BC">
        <w:rPr>
          <w:rStyle w:val="Funotenzeichen"/>
        </w:rPr>
        <w:footnoteReference w:id="43"/>
      </w:r>
      <w:r w:rsidR="00C33118">
        <w:t xml:space="preserve"> wobei die GESPA auf einem</w:t>
      </w:r>
      <w:r w:rsidR="00E34649">
        <w:t xml:space="preserve"> multilateralen (gesamtschweizerischen) Staatsvertrag beruht. Die gemeinsame Trägerschaft wird unterstrichen, wenn auch die Aufsicht </w:t>
      </w:r>
      <w:r w:rsidR="00797DE1">
        <w:t xml:space="preserve">(Paritätische Aufsichtskommission Bostadel bzw. Aufsichtsrat GESPA) </w:t>
      </w:r>
      <w:r w:rsidR="00E34649">
        <w:t>und der Rechtsschutz</w:t>
      </w:r>
      <w:r w:rsidR="00797DE1">
        <w:t xml:space="preserve"> (Rekurskommission Bostadel bzw. Geldspielgericht)</w:t>
      </w:r>
      <w:r w:rsidR="00E34649">
        <w:t xml:space="preserve"> gemeinsam organisiert werden.</w:t>
      </w:r>
      <w:r w:rsidR="00797DE1">
        <w:t xml:space="preserve"> Bezüglich Personalrecht und Verfahrensrecht kann eine autonome Regelung aufgestellt werden (so bei der Strafanstalt Bostadel) oder es kann auf eine bestimmte Rechtsordnung verwiesen werden (</w:t>
      </w:r>
      <w:r w:rsidR="00C33118">
        <w:t xml:space="preserve">für die GESPA wird </w:t>
      </w:r>
      <w:r w:rsidR="00797DE1">
        <w:t>auf Bundesrecht verwiesen).</w:t>
      </w:r>
    </w:p>
    <w:p w14:paraId="17F140B1" w14:textId="51A5E3D8" w:rsidR="00AA6DDF" w:rsidRDefault="00797DE1" w:rsidP="00797DE1">
      <w:r>
        <w:t>Der Vorteil dieses Modells besteht darin, dass die gemeinsame Akzeptanz der beteiligten Kantone am grössten sein dürfte, da sich alle zu gleichen Teilen (oder gemäss einem bestimmten</w:t>
      </w:r>
      <w:r w:rsidR="00891F0B">
        <w:t xml:space="preserve">, </w:t>
      </w:r>
      <w:r w:rsidR="00A6353A">
        <w:t>im Voraus festgelegten</w:t>
      </w:r>
      <w:r>
        <w:t xml:space="preserve"> Verteilschlüssel</w:t>
      </w:r>
      <w:r w:rsidR="00891F0B">
        <w:t xml:space="preserve">) beteiligen. Mit einer gemeinsamen Aufsicht und gemeinsamen Rechtsschutzorganen ist die Behörde </w:t>
      </w:r>
      <w:r w:rsidR="009C2F0B">
        <w:t>zudem in einen institutionellen Rahmen eingebunden</w:t>
      </w:r>
      <w:r w:rsidR="00405207">
        <w:t>, der sein</w:t>
      </w:r>
      <w:r w:rsidR="00546274">
        <w:t>erseits gemeinschaftlich abgestützt wird</w:t>
      </w:r>
      <w:r w:rsidR="00891F0B">
        <w:t>. Freilich besteht auch bei gemeinsamen Aufsichtsorgan</w:t>
      </w:r>
      <w:r w:rsidR="009C2F0B">
        <w:t>en</w:t>
      </w:r>
      <w:r w:rsidR="00891F0B">
        <w:t xml:space="preserve"> eine gewisse Gefahr der Entkoppelung von den einzelnen Gemeinwesen und ihren demokratisch legitimierten Verantwortungsträgern. Dies gilt ganz besonders dort, wo (wie bei der GESPA) </w:t>
      </w:r>
      <w:r w:rsidR="009C2F0B">
        <w:t>sehr viele oder alle</w:t>
      </w:r>
      <w:r w:rsidR="00891F0B">
        <w:t xml:space="preserve"> Kantone an einer gemeinsamen Behörde beteiligt sind. Schliesslich ist dieses Modell mit einem gewissen Aufwand verbunden, da auf staatsvertraglicher Ebene zahlreiche Einzelaspekte geregelt werden müssen und die Besetzung der gemeinsamen Aufsichts- und Rechtsschutzorgane zusätzliche</w:t>
      </w:r>
      <w:r w:rsidR="009C2F0B">
        <w:t>n</w:t>
      </w:r>
      <w:r w:rsidR="00891F0B">
        <w:t xml:space="preserve"> Rekrutierungsaufwand </w:t>
      </w:r>
      <w:r w:rsidR="009C2F0B">
        <w:t>bewirkt</w:t>
      </w:r>
      <w:r w:rsidR="00891F0B">
        <w:t>.</w:t>
      </w:r>
    </w:p>
    <w:p w14:paraId="7E64FB5C" w14:textId="1ADB97DD" w:rsidR="00AA6DDF" w:rsidRPr="006410F3" w:rsidRDefault="00AA6DDF" w:rsidP="00071801">
      <w:pPr>
        <w:pStyle w:val="berschrift2"/>
        <w:spacing w:before="240"/>
        <w:rPr>
          <w:lang w:val="de-CH"/>
        </w:rPr>
      </w:pPr>
      <w:bookmarkStart w:id="22" w:name="_Toc41986200"/>
      <w:r w:rsidRPr="006410F3">
        <w:rPr>
          <w:lang w:val="de-CH"/>
        </w:rPr>
        <w:t>3.</w:t>
      </w:r>
      <w:r w:rsidRPr="006410F3">
        <w:rPr>
          <w:lang w:val="de-CH"/>
        </w:rPr>
        <w:tab/>
      </w:r>
      <w:r w:rsidR="00B10BC0">
        <w:rPr>
          <w:lang w:val="de-CH"/>
        </w:rPr>
        <w:t>Modell</w:t>
      </w:r>
      <w:r w:rsidRPr="006410F3">
        <w:rPr>
          <w:lang w:val="de-CH"/>
        </w:rPr>
        <w:t xml:space="preserve"> 2: </w:t>
      </w:r>
      <w:r w:rsidR="00C42691">
        <w:rPr>
          <w:lang w:val="de-CH"/>
        </w:rPr>
        <w:t>Leistungseinkauf</w:t>
      </w:r>
      <w:r w:rsidR="00937E3D">
        <w:rPr>
          <w:lang w:val="de-CH"/>
        </w:rPr>
        <w:t xml:space="preserve"> bei einem </w:t>
      </w:r>
      <w:r w:rsidR="00C83C10">
        <w:rPr>
          <w:lang w:val="de-CH"/>
        </w:rPr>
        <w:t>anderen Kanton</w:t>
      </w:r>
      <w:bookmarkEnd w:id="22"/>
    </w:p>
    <w:p w14:paraId="07E047C8" w14:textId="4E733D39" w:rsidR="00317341" w:rsidRDefault="00E36583" w:rsidP="00AA6DDF">
      <w:r>
        <w:rPr>
          <w:lang w:val="de-CH"/>
        </w:rPr>
        <w:t xml:space="preserve">In verschiedenen Bereichen – insbesondere in der Forensik und der Gerichtsmedizin – </w:t>
      </w:r>
      <w:r w:rsidR="005B09E0">
        <w:rPr>
          <w:lang w:val="de-CH"/>
        </w:rPr>
        <w:t>besteht</w:t>
      </w:r>
      <w:r>
        <w:rPr>
          <w:lang w:val="de-CH"/>
        </w:rPr>
        <w:t xml:space="preserve"> eine lange Tradition, dass einzelne Kantone über besonders gut ausgebaute Einrichtungen verfügen, deren Dienstleistungen sie auch anderen Kantonen zur Verfügung stellen. Dies kann im Einzelfall geschehen, doch kann der «Leistungseinkauf» bei einem anderen Kanton auch dauerhaft institutionalisiert werden. </w:t>
      </w:r>
      <w:r w:rsidR="00A663A0">
        <w:rPr>
          <w:lang w:val="de-CH"/>
        </w:rPr>
        <w:t>So gehört die Polizeischule Ostschweiz zur Kantonspolizei Thurgau,</w:t>
      </w:r>
      <w:r w:rsidR="00905CC7">
        <w:rPr>
          <w:rStyle w:val="Funotenzeichen"/>
          <w:lang w:val="de-CH"/>
        </w:rPr>
        <w:footnoteReference w:id="44"/>
      </w:r>
      <w:r w:rsidR="00A663A0">
        <w:rPr>
          <w:lang w:val="de-CH"/>
        </w:rPr>
        <w:t xml:space="preserve"> die Zentralstelle zur Auswertung von Schusswaffen (ZSAS) wird vom Forensischen Institut Zürich betrieben (selber eine gemeinsame Organisation von Kantons- und Stadtpolizei)</w:t>
      </w:r>
      <w:r>
        <w:t>.</w:t>
      </w:r>
      <w:r>
        <w:rPr>
          <w:rStyle w:val="Funotenzeichen"/>
        </w:rPr>
        <w:footnoteReference w:id="45"/>
      </w:r>
      <w:r w:rsidR="00A663A0">
        <w:t xml:space="preserve"> Und die Rolle als Zentralstelle bei der computergestützten Zusammenarbeit der Kantone bei der Aufklärung von Gewaltdelikten </w:t>
      </w:r>
      <w:r w:rsidR="005B09E0">
        <w:t xml:space="preserve">(Zentralstelle ViCLAS) </w:t>
      </w:r>
      <w:r w:rsidR="00A663A0">
        <w:t>nimmt die Kantonspolizei Bern war.</w:t>
      </w:r>
      <w:r w:rsidR="00CF35CC">
        <w:rPr>
          <w:rStyle w:val="Funotenzeichen"/>
        </w:rPr>
        <w:footnoteReference w:id="46"/>
      </w:r>
      <w:r w:rsidR="00A663A0">
        <w:t xml:space="preserve"> Schliesslich basiert die Staatsanwaltschaft für Wirtschaftsdelikte der Kantone Nidwalden, Obwalden </w:t>
      </w:r>
      <w:r w:rsidR="00A663A0">
        <w:lastRenderedPageBreak/>
        <w:t xml:space="preserve">und Uri auf genau diesem Modell. Die </w:t>
      </w:r>
      <w:r w:rsidR="00317341">
        <w:t>Staatsanwaltschaft für Wirtschaftsdelikte ist der Staatsanwaltschaft des Kantons Nidwalden angeschlossen und die Kantone Obwalden und Uri beauftragen die Staatsanwaltschaft im Sinne eines Leistungseinkaufs mit der Verfolgung von Wirtschaftsdelikten.</w:t>
      </w:r>
      <w:bookmarkStart w:id="23" w:name="_Ref41667982"/>
      <w:r w:rsidR="00317341">
        <w:rPr>
          <w:rStyle w:val="Funotenzeichen"/>
        </w:rPr>
        <w:footnoteReference w:id="47"/>
      </w:r>
      <w:bookmarkEnd w:id="23"/>
      <w:r w:rsidR="00A663A0">
        <w:t xml:space="preserve"> </w:t>
      </w:r>
      <w:r w:rsidR="00345742">
        <w:t>Wird</w:t>
      </w:r>
      <w:r w:rsidR="00317341">
        <w:t xml:space="preserve"> die </w:t>
      </w:r>
      <w:r w:rsidR="00426632">
        <w:t>«</w:t>
      </w:r>
      <w:r w:rsidR="00317341">
        <w:t>gemeinsame</w:t>
      </w:r>
      <w:r w:rsidR="00426632">
        <w:t>»</w:t>
      </w:r>
      <w:r w:rsidR="00317341">
        <w:t xml:space="preserve"> Staatsanwaltschaft </w:t>
      </w:r>
      <w:r w:rsidR="00345742">
        <w:t>bei</w:t>
      </w:r>
      <w:r w:rsidR="00317341">
        <w:t xml:space="preserve"> Delikte</w:t>
      </w:r>
      <w:r w:rsidR="00345742">
        <w:t>n</w:t>
      </w:r>
      <w:r w:rsidR="00317341">
        <w:t xml:space="preserve"> </w:t>
      </w:r>
      <w:r w:rsidR="00345742">
        <w:t>aktiv</w:t>
      </w:r>
      <w:r w:rsidR="00317341">
        <w:t xml:space="preserve">, die regulär in die Zuständigkeit der Kantone Obwalden und Uri fallen, so werden die </w:t>
      </w:r>
      <w:r w:rsidR="00426632">
        <w:t>zuständigen</w:t>
      </w:r>
      <w:r w:rsidR="00CE64C0">
        <w:t xml:space="preserve"> Staatsanwälte</w:t>
      </w:r>
      <w:r w:rsidR="00317341">
        <w:t xml:space="preserve"> </w:t>
      </w:r>
      <w:r w:rsidR="0032600F">
        <w:t>für jeden Einzelfall gesondert</w:t>
      </w:r>
      <w:r w:rsidR="00317341">
        <w:t xml:space="preserve"> als ausserordentliche</w:t>
      </w:r>
      <w:r w:rsidR="00426632">
        <w:t xml:space="preserve"> Staatsanwälte</w:t>
      </w:r>
      <w:r w:rsidR="00317341">
        <w:t xml:space="preserve"> eingesetzt.</w:t>
      </w:r>
      <w:r w:rsidR="00317341">
        <w:rPr>
          <w:rStyle w:val="Funotenzeichen"/>
        </w:rPr>
        <w:footnoteReference w:id="48"/>
      </w:r>
      <w:r w:rsidR="0032600F">
        <w:t xml:space="preserve"> Dies hat den </w:t>
      </w:r>
      <w:r w:rsidR="00426632">
        <w:t xml:space="preserve">vordergründigen </w:t>
      </w:r>
      <w:r w:rsidR="0032600F">
        <w:t>Vorteil, dass sich die Ernennung der Staatsanwälte rechtlich auf die bestehenden Rechtsrundlagen über die Einsetzung ausserordentlicher Staatsanwälte abstützen kann.</w:t>
      </w:r>
      <w:r w:rsidR="0032600F">
        <w:rPr>
          <w:rStyle w:val="Funotenzeichen"/>
        </w:rPr>
        <w:footnoteReference w:id="49"/>
      </w:r>
      <w:r w:rsidR="0032600F">
        <w:t xml:space="preserve"> Freilich führt diese Regelung im Ergebnis dazu, dass das Institut des ausserordentlichen Staatsanwalts nicht mehr nur bei ausserordentlichen Umständen (insb. in Fällen von Befangenheit) eingesetzt wird, sondern überall dort zum Regelfall wird, wo </w:t>
      </w:r>
      <w:r w:rsidR="004853A0">
        <w:rPr>
          <w:lang w:val="de-CH"/>
        </w:rPr>
        <w:t>«</w:t>
      </w:r>
      <w:r w:rsidR="0032600F" w:rsidRPr="00CE64C0">
        <w:rPr>
          <w:lang w:val="de-CH"/>
        </w:rPr>
        <w:t>Wirtschaftsdelikte</w:t>
      </w:r>
      <w:r w:rsidR="004853A0">
        <w:rPr>
          <w:lang w:val="de-CH"/>
        </w:rPr>
        <w:t>»</w:t>
      </w:r>
      <w:r w:rsidR="0032600F">
        <w:t xml:space="preserve"> zu untersuchen sind. Vor diesem Hintergrund erscheint es problematisch, wenn die Kantone Uri und Obwalden die zu Grunde liegende interkantonale Vereinbarung </w:t>
      </w:r>
      <w:r w:rsidR="00B958B3">
        <w:t>als lediglich rechtsgeschäftliche Verwaltungsvereinbarung einstufen und sie nicht dem Verfahren der Gesetzgebung unterstellen.</w:t>
      </w:r>
      <w:r w:rsidR="00B958B3">
        <w:rPr>
          <w:rStyle w:val="Funotenzeichen"/>
        </w:rPr>
        <w:footnoteReference w:id="50"/>
      </w:r>
      <w:r w:rsidR="00B958B3">
        <w:t xml:space="preserve"> Auch stellt sich die Frage, ob sich die regelmässige Ernennung ausserordentlicher Staatsanwälte nicht Art. 69 Abs. 2 Bst. c der Obwaldner Kantonsverfassung verletzt, wonach Staatsanwälte vom Kantonsrat zu wählen sind.</w:t>
      </w:r>
      <w:r w:rsidR="00AE14A8">
        <w:t xml:space="preserve"> Den Kantonen Uri und </w:t>
      </w:r>
      <w:r w:rsidR="00CE64C0">
        <w:t>Ob</w:t>
      </w:r>
      <w:r w:rsidR="00AE14A8">
        <w:t>walden kommt indes lediglich ein Anhörungsrecht zu, Anstellungsbehörde ist der Kanton Nidwalden.</w:t>
      </w:r>
      <w:r w:rsidR="00D072B9">
        <w:rPr>
          <w:rStyle w:val="Funotenzeichen"/>
        </w:rPr>
        <w:footnoteReference w:id="51"/>
      </w:r>
    </w:p>
    <w:p w14:paraId="20743B76" w14:textId="307BA77E" w:rsidR="00530C60" w:rsidRDefault="00C83C10" w:rsidP="00AA6DDF">
      <w:pPr>
        <w:rPr>
          <w:lang w:val="de-CH"/>
        </w:rPr>
      </w:pPr>
      <w:r>
        <w:t xml:space="preserve">Der Vorteil des Modells </w:t>
      </w:r>
      <w:r w:rsidR="00B577D5">
        <w:t>«</w:t>
      </w:r>
      <w:r>
        <w:t>Leistungseinkauf</w:t>
      </w:r>
      <w:r w:rsidR="00B577D5">
        <w:t>»</w:t>
      </w:r>
      <w:r>
        <w:t xml:space="preserve"> besteht darin, dass auf bestehende Strukturen zurückgegriffen werden kann und zahlreiche Fragen nicht gesondert geregelt werden müssen, da sie durch die Eingliederung in eine bestehende Struktur und Rechtsordnung vordefiniert sind. Ein Nachteil ist indes, dass dieses Modell einem Teilverzicht kantonale</w:t>
      </w:r>
      <w:r w:rsidR="00B577D5">
        <w:t>r</w:t>
      </w:r>
      <w:r>
        <w:t xml:space="preserve"> Eigenstaatlichkeit gleichkommt. Dieser Teilverzicht wiegt umso schwerer, als der Kanton sich nicht in eine gemeinsame Organisation einbringen kann wie beim Modell 1, sondern seine Verantwortung weitgehend an ein anderes Gemeinwesen abtritt. Das Modell Leistungseinkauf eignet sich daher v.a. für sporadische Einzelfälle </w:t>
      </w:r>
      <w:r w:rsidR="0015671D">
        <w:t xml:space="preserve">(wie bei ausserordentlichen Staatsanwaltschaften) oder in hoch technischen Bereichen (wie der Forensik oder Gerichtsmedizin). Soll es regelmässig zum Zuge kommen, so bedarf auch dieses Modell (wie Modell </w:t>
      </w:r>
      <w:r w:rsidR="00345742">
        <w:t>1</w:t>
      </w:r>
      <w:r w:rsidR="0015671D">
        <w:t>) einer ausreichenden formell-gesetzlichen Grundlage und möglicherweise sogar einer Anpassung auf Verfassungsstufe.</w:t>
      </w:r>
    </w:p>
    <w:p w14:paraId="7212536C" w14:textId="04116F05" w:rsidR="00AA6DDF" w:rsidRPr="00AA6DDF" w:rsidRDefault="00AA6DDF" w:rsidP="00AA6DDF">
      <w:pPr>
        <w:pStyle w:val="berschrift2"/>
        <w:rPr>
          <w:lang w:val="de-CH"/>
        </w:rPr>
      </w:pPr>
      <w:bookmarkStart w:id="25" w:name="_Toc41986201"/>
      <w:r w:rsidRPr="00AA6DDF">
        <w:rPr>
          <w:lang w:val="de-CH"/>
        </w:rPr>
        <w:lastRenderedPageBreak/>
        <w:t>4.</w:t>
      </w:r>
      <w:r w:rsidRPr="00AA6DDF">
        <w:rPr>
          <w:lang w:val="de-CH"/>
        </w:rPr>
        <w:tab/>
      </w:r>
      <w:r w:rsidR="00B10BC0">
        <w:rPr>
          <w:lang w:val="de-CH"/>
        </w:rPr>
        <w:t>Modell</w:t>
      </w:r>
      <w:r w:rsidRPr="00AA6DDF">
        <w:rPr>
          <w:lang w:val="de-CH"/>
        </w:rPr>
        <w:t xml:space="preserve"> 3: </w:t>
      </w:r>
      <w:r w:rsidR="00937E3D">
        <w:rPr>
          <w:lang w:val="de-CH"/>
        </w:rPr>
        <w:t xml:space="preserve">Ausgebaute </w:t>
      </w:r>
      <w:r w:rsidR="00C42691">
        <w:rPr>
          <w:lang w:val="de-CH"/>
        </w:rPr>
        <w:t>Kooperation</w:t>
      </w:r>
      <w:r w:rsidR="00937E3D">
        <w:rPr>
          <w:lang w:val="de-CH"/>
        </w:rPr>
        <w:t xml:space="preserve"> bei verbleibender kantonaler Eigenständigkeit</w:t>
      </w:r>
      <w:bookmarkEnd w:id="25"/>
    </w:p>
    <w:p w14:paraId="4FDD2647" w14:textId="364BD38F" w:rsidR="00AA6DDF" w:rsidRDefault="00376C7E" w:rsidP="00AA6DDF">
      <w:pPr>
        <w:rPr>
          <w:lang w:val="de-CH"/>
        </w:rPr>
      </w:pPr>
      <w:r>
        <w:rPr>
          <w:lang w:val="de-CH"/>
        </w:rPr>
        <w:t>Ein</w:t>
      </w:r>
      <w:r w:rsidR="00B847C9">
        <w:rPr>
          <w:lang w:val="de-CH"/>
        </w:rPr>
        <w:t xml:space="preserve"> drittes Modell schliesslich intensiviert die vielfach </w:t>
      </w:r>
      <w:r w:rsidR="00C7202A">
        <w:rPr>
          <w:lang w:val="de-CH"/>
        </w:rPr>
        <w:t xml:space="preserve">ohnehin </w:t>
      </w:r>
      <w:r w:rsidR="00B847C9">
        <w:rPr>
          <w:lang w:val="de-CH"/>
        </w:rPr>
        <w:t xml:space="preserve">bestehende interkantonale Amtshilfe und gibt ihr einen </w:t>
      </w:r>
      <w:r w:rsidR="00C7202A">
        <w:rPr>
          <w:lang w:val="de-CH"/>
        </w:rPr>
        <w:t xml:space="preserve">vertraglichen und </w:t>
      </w:r>
      <w:r w:rsidR="00B847C9">
        <w:rPr>
          <w:lang w:val="de-CH"/>
        </w:rPr>
        <w:t>institutionellen Rahmen, der aber in erster Linie koordinative Ziele verfolgt. So basiert die Vereinbarung über die interkantonalen Polizeieinsätze (IKAPOL) auf der Eigenständigkeit</w:t>
      </w:r>
      <w:r w:rsidR="00C7202A">
        <w:rPr>
          <w:lang w:val="de-CH"/>
        </w:rPr>
        <w:t xml:space="preserve"> </w:t>
      </w:r>
      <w:r w:rsidR="00B847C9">
        <w:rPr>
          <w:lang w:val="de-CH"/>
        </w:rPr>
        <w:t xml:space="preserve">der </w:t>
      </w:r>
      <w:r w:rsidR="00C7202A">
        <w:rPr>
          <w:lang w:val="de-CH"/>
        </w:rPr>
        <w:t xml:space="preserve">kantonalen </w:t>
      </w:r>
      <w:r w:rsidR="00B847C9">
        <w:rPr>
          <w:lang w:val="de-CH"/>
        </w:rPr>
        <w:t xml:space="preserve">Polizeikorps, deren Tätigkeit aber durch gemeinsame Gremien </w:t>
      </w:r>
      <w:r w:rsidR="00C7202A">
        <w:rPr>
          <w:lang w:val="de-CH"/>
        </w:rPr>
        <w:t>im Rahmen der bestehenden Rechtsgrundlagen und Zuständigkeiten koordiniert wird.</w:t>
      </w:r>
      <w:r w:rsidR="00C7202A">
        <w:rPr>
          <w:rStyle w:val="Funotenzeichen"/>
          <w:lang w:val="de-CH"/>
        </w:rPr>
        <w:footnoteReference w:id="52"/>
      </w:r>
      <w:r w:rsidR="00C7202A">
        <w:rPr>
          <w:lang w:val="de-CH"/>
        </w:rPr>
        <w:t xml:space="preserve"> Einen Schritt weiter </w:t>
      </w:r>
      <w:r>
        <w:rPr>
          <w:lang w:val="de-CH"/>
        </w:rPr>
        <w:t>(</w:t>
      </w:r>
      <w:r w:rsidR="00345742">
        <w:rPr>
          <w:lang w:val="de-CH"/>
        </w:rPr>
        <w:t xml:space="preserve">in </w:t>
      </w:r>
      <w:r>
        <w:rPr>
          <w:lang w:val="de-CH"/>
        </w:rPr>
        <w:t>Richtung</w:t>
      </w:r>
      <w:r w:rsidR="00345742">
        <w:rPr>
          <w:lang w:val="de-CH"/>
        </w:rPr>
        <w:t xml:space="preserve"> von</w:t>
      </w:r>
      <w:r>
        <w:rPr>
          <w:lang w:val="de-CH"/>
        </w:rPr>
        <w:t xml:space="preserve"> Modell 1) </w:t>
      </w:r>
      <w:r w:rsidR="00C7202A">
        <w:rPr>
          <w:lang w:val="de-CH"/>
        </w:rPr>
        <w:t>geht die Vereinbarung über eine gemeinsame Lebensmittelkontrolle der beiden Kantone Appenzell und der Kantone Glarus und Schaffhausen. Hier besteh</w:t>
      </w:r>
      <w:r w:rsidR="000D31F0">
        <w:rPr>
          <w:lang w:val="de-CH"/>
        </w:rPr>
        <w:t>en</w:t>
      </w:r>
      <w:r w:rsidR="00C7202A">
        <w:rPr>
          <w:lang w:val="de-CH"/>
        </w:rPr>
        <w:t xml:space="preserve"> eine gemeinsame Aufsichtskommission, eine gemeinsame Geschäftsleitung und eine gemeinsame Revisionsstelle. Die für die Lebensmittelkontrolle tätigen Personen werden indes nach dem Recht angestellt, «in dem der Schwerpunkt ihrer Tätigkeit liegt»</w:t>
      </w:r>
      <w:bookmarkStart w:id="26" w:name="_Ref41668344"/>
      <w:r w:rsidR="00C7202A">
        <w:rPr>
          <w:rStyle w:val="Funotenzeichen"/>
          <w:lang w:val="de-CH"/>
        </w:rPr>
        <w:footnoteReference w:id="53"/>
      </w:r>
      <w:bookmarkEnd w:id="26"/>
      <w:r w:rsidR="00C7202A">
        <w:rPr>
          <w:lang w:val="de-CH"/>
        </w:rPr>
        <w:t>. Wenn die als unselbständige Anstalt organisierte Behörde zudem Amtshandlungen vornimmt, ist sie gemäss dem Territorialitätsprinzip an das Recht des jeweiligen Kantons gebunden und auch der Rechtsschutz richtet sich nach dem jeweiligen kantonalen Recht.</w:t>
      </w:r>
      <w:r w:rsidR="00C7202A">
        <w:rPr>
          <w:rStyle w:val="Funotenzeichen"/>
          <w:lang w:val="de-CH"/>
        </w:rPr>
        <w:footnoteReference w:id="54"/>
      </w:r>
    </w:p>
    <w:p w14:paraId="4DAC4752" w14:textId="6E59E9A0" w:rsidR="00C7202A" w:rsidRPr="00AA6DDF" w:rsidRDefault="00C7202A" w:rsidP="00AA6DDF">
      <w:pPr>
        <w:rPr>
          <w:lang w:val="de-CH"/>
        </w:rPr>
      </w:pPr>
      <w:r>
        <w:rPr>
          <w:lang w:val="de-CH"/>
        </w:rPr>
        <w:t xml:space="preserve">Der Vorteil eines ausgebauten </w:t>
      </w:r>
      <w:r w:rsidR="00F00D7C">
        <w:rPr>
          <w:lang w:val="de-CH"/>
        </w:rPr>
        <w:t xml:space="preserve">Koordinations- bzw. </w:t>
      </w:r>
      <w:r>
        <w:rPr>
          <w:lang w:val="de-CH"/>
        </w:rPr>
        <w:t xml:space="preserve">Kooperationsmodells besteht vor allem darin, dass er die staatliche Eigenständigkeit der Kantone bestmöglich wahrt und sich in die bestehende Rechtsordnung gut einfügen lässt. </w:t>
      </w:r>
      <w:r w:rsidR="00F00D7C">
        <w:rPr>
          <w:lang w:val="de-CH"/>
        </w:rPr>
        <w:t xml:space="preserve">Vor allem dann, wenn die Vertreter einer solchen Behörde auf dem Gebiet eines anderen Kantons tätig werden dürfen und ein regelmässiger Austausch von Daten und Informationen stattfindet, dürfte </w:t>
      </w:r>
      <w:r w:rsidR="00376C7E">
        <w:rPr>
          <w:lang w:val="de-CH"/>
        </w:rPr>
        <w:t xml:space="preserve">aber </w:t>
      </w:r>
      <w:r w:rsidR="00F00D7C">
        <w:rPr>
          <w:lang w:val="de-CH"/>
        </w:rPr>
        <w:t xml:space="preserve">auch hier eine ausreichende </w:t>
      </w:r>
      <w:r w:rsidR="00376C7E">
        <w:rPr>
          <w:lang w:val="de-CH"/>
        </w:rPr>
        <w:t xml:space="preserve">staatsvertragliche </w:t>
      </w:r>
      <w:r w:rsidR="00F00D7C">
        <w:rPr>
          <w:lang w:val="de-CH"/>
        </w:rPr>
        <w:t>Rechtsgrundlage notwendig sein. Als nachteilig kann sich zudem erweisen, dass die Behörde</w:t>
      </w:r>
      <w:r w:rsidR="00376C7E">
        <w:rPr>
          <w:lang w:val="de-CH"/>
        </w:rPr>
        <w:t xml:space="preserve"> und ihre Vertreter</w:t>
      </w:r>
      <w:r w:rsidR="00F00D7C">
        <w:rPr>
          <w:lang w:val="de-CH"/>
        </w:rPr>
        <w:t xml:space="preserve"> sich ständig in verschiedenen Rechtsordnungen beweg</w:t>
      </w:r>
      <w:r w:rsidR="00376C7E">
        <w:rPr>
          <w:lang w:val="de-CH"/>
        </w:rPr>
        <w:t>en</w:t>
      </w:r>
      <w:r w:rsidR="00F00D7C">
        <w:rPr>
          <w:lang w:val="de-CH"/>
        </w:rPr>
        <w:t>. Mit Blick auf gemeinsame Straf</w:t>
      </w:r>
      <w:r w:rsidR="008213AF">
        <w:rPr>
          <w:lang w:val="de-CH"/>
        </w:rPr>
        <w:t>verfolgungs</w:t>
      </w:r>
      <w:r w:rsidR="00F00D7C">
        <w:rPr>
          <w:lang w:val="de-CH"/>
        </w:rPr>
        <w:t xml:space="preserve">behörden dürfte dies indes weniger problematisch sein, da Straf- und Strafprozessrecht bundesrechtlich vereinheitlicht sind. Lediglich mit Blick auf </w:t>
      </w:r>
      <w:r w:rsidR="00492ABA">
        <w:rPr>
          <w:lang w:val="de-CH"/>
        </w:rPr>
        <w:t>die kantonale Polizeigesetzgebung</w:t>
      </w:r>
      <w:r w:rsidR="00F00D7C">
        <w:rPr>
          <w:lang w:val="de-CH"/>
        </w:rPr>
        <w:t xml:space="preserve"> gilt es Unterschieden Rechnung zu tragen.</w:t>
      </w:r>
      <w:r w:rsidR="00F00D7C">
        <w:rPr>
          <w:rStyle w:val="Funotenzeichen"/>
          <w:lang w:val="de-CH"/>
        </w:rPr>
        <w:footnoteReference w:id="55"/>
      </w:r>
    </w:p>
    <w:p w14:paraId="678918C0" w14:textId="27E8B62E" w:rsidR="00465FE0" w:rsidRDefault="00465FE0" w:rsidP="00B14ABD">
      <w:pPr>
        <w:pStyle w:val="berschrift1"/>
        <w:ind w:left="708" w:hanging="708"/>
      </w:pPr>
      <w:bookmarkStart w:id="27" w:name="_Toc484779402"/>
      <w:bookmarkStart w:id="28" w:name="_Toc484779460"/>
      <w:bookmarkStart w:id="29" w:name="_Toc41986202"/>
      <w:r>
        <w:t>I</w:t>
      </w:r>
      <w:r w:rsidR="00B14ABD">
        <w:t>V</w:t>
      </w:r>
      <w:r>
        <w:t>.</w:t>
      </w:r>
      <w:r>
        <w:tab/>
      </w:r>
      <w:bookmarkEnd w:id="27"/>
      <w:bookmarkEnd w:id="28"/>
      <w:r w:rsidR="00AA6DDF">
        <w:t>Probleme und Alternativen</w:t>
      </w:r>
      <w:bookmarkEnd w:id="29"/>
    </w:p>
    <w:p w14:paraId="11877184" w14:textId="7AD95E04" w:rsidR="00362F19" w:rsidRDefault="00362F19" w:rsidP="00ED278E">
      <w:pPr>
        <w:pStyle w:val="berschrift2"/>
      </w:pPr>
      <w:bookmarkStart w:id="30" w:name="_Toc484779403"/>
      <w:bookmarkStart w:id="31" w:name="_Toc484779461"/>
      <w:bookmarkStart w:id="32" w:name="_Toc41986203"/>
      <w:r>
        <w:t>1.</w:t>
      </w:r>
      <w:r>
        <w:tab/>
      </w:r>
      <w:bookmarkEnd w:id="30"/>
      <w:bookmarkEnd w:id="31"/>
      <w:r w:rsidR="00856FD8">
        <w:t>Woran die interkantonale Kooperation im Bereich Straf</w:t>
      </w:r>
      <w:r w:rsidR="008213AF">
        <w:t>verfolgungs</w:t>
      </w:r>
      <w:r w:rsidR="00856FD8">
        <w:t>behörden scheitert</w:t>
      </w:r>
      <w:bookmarkEnd w:id="32"/>
    </w:p>
    <w:p w14:paraId="382C4E02" w14:textId="57FABC7A" w:rsidR="002B35CE" w:rsidRDefault="002B35CE" w:rsidP="00E628AB">
      <w:pPr>
        <w:pStyle w:val="Standard15"/>
      </w:pPr>
      <w:r>
        <w:t xml:space="preserve">Die gemeinsame Staatsanwaltschaft für Wirtschaftsdelikte der Kantone Nidwalden, Obwalden und Uri scheint bislang das einzige Modell vertiefter interkantonaler </w:t>
      </w:r>
      <w:r w:rsidR="00C73E18">
        <w:t>Zusammenarbeit im Bereich der Straf</w:t>
      </w:r>
      <w:r w:rsidR="00260AAB">
        <w:t>verfolgungs</w:t>
      </w:r>
      <w:r w:rsidR="00C73E18">
        <w:t xml:space="preserve">behörden zu sein, das konkrete Gestalt angenommen hat. Woran liegt diese Zurückhaltung, wo es </w:t>
      </w:r>
      <w:r w:rsidR="00C73E18">
        <w:lastRenderedPageBreak/>
        <w:t>doch gerade in Bereichen wie der Wirtschaftskriminalität oder bei Internetdelikten ein ausgewiesenes Bedürfnis nach Aufbau von spezialisiertem Know-</w:t>
      </w:r>
      <w:r w:rsidR="003F50EC">
        <w:t>h</w:t>
      </w:r>
      <w:r w:rsidR="00C73E18">
        <w:t>ow gibt</w:t>
      </w:r>
      <w:r w:rsidR="000225EA">
        <w:t xml:space="preserve"> und sich </w:t>
      </w:r>
      <w:r w:rsidR="00260AAB">
        <w:t>Kriminelle</w:t>
      </w:r>
      <w:r w:rsidR="000225EA">
        <w:t xml:space="preserve"> kaum von Kantonsgrenzen abhalten lassen</w:t>
      </w:r>
      <w:r w:rsidR="00C73E18">
        <w:t>?</w:t>
      </w:r>
      <w:r w:rsidR="000225EA">
        <w:t xml:space="preserve"> </w:t>
      </w:r>
      <w:r w:rsidR="00260AAB">
        <w:t>Entscheidend dürfte sein</w:t>
      </w:r>
      <w:r w:rsidR="000225EA">
        <w:t>, dass die Straf</w:t>
      </w:r>
      <w:r w:rsidR="00260AAB">
        <w:t>verfolgungs</w:t>
      </w:r>
      <w:r w:rsidR="000225EA">
        <w:t xml:space="preserve">behörden in besonderem Ausmass der Staatsgewalt Ausdruck geben, die neben dem Staatsgebiet und dem Staatsvolk gemäss der tradierten Drei-Elemente-Lehre </w:t>
      </w:r>
      <w:proofErr w:type="gramStart"/>
      <w:r w:rsidR="000225EA">
        <w:t xml:space="preserve">ein </w:t>
      </w:r>
      <w:r w:rsidR="008A5F7C">
        <w:t>tragende Säule</w:t>
      </w:r>
      <w:proofErr w:type="gramEnd"/>
      <w:r w:rsidR="000225EA">
        <w:t xml:space="preserve"> moderner Staatlichkeit ausmacht. Diese </w:t>
      </w:r>
      <w:r w:rsidR="00260AAB">
        <w:t>«</w:t>
      </w:r>
      <w:r w:rsidR="000225EA">
        <w:t>Existenzängste</w:t>
      </w:r>
      <w:r w:rsidR="00260AAB">
        <w:t>»</w:t>
      </w:r>
      <w:r w:rsidR="000225EA">
        <w:t xml:space="preserve"> mögen dort besonders ausgeprägt sein, wo die Grössenverhältnisse zwischen den Kantonen stark variieren, da hier die Gefahr einer Dominanz </w:t>
      </w:r>
      <w:r w:rsidR="003F50EC">
        <w:t xml:space="preserve">entsprechend </w:t>
      </w:r>
      <w:r w:rsidR="000225EA">
        <w:t xml:space="preserve">gross </w:t>
      </w:r>
      <w:r w:rsidR="00260AAB">
        <w:t>scheint</w:t>
      </w:r>
      <w:r w:rsidR="000225EA">
        <w:t xml:space="preserve">. So dürfte es kein Zufall sein, dass die interkantonale Lebensmittelkontrolle vergleichsweise kleine Kantone der Ostschweiz vereinigt und der </w:t>
      </w:r>
      <w:r w:rsidR="00260AAB">
        <w:t>gr</w:t>
      </w:r>
      <w:r w:rsidR="005A50DA">
        <w:t>össere</w:t>
      </w:r>
      <w:r w:rsidR="000225EA">
        <w:t xml:space="preserve"> Kanton St. Gallen nicht beteiligt ist. </w:t>
      </w:r>
      <w:r w:rsidR="00260AAB">
        <w:t>B</w:t>
      </w:r>
      <w:r w:rsidR="000225EA">
        <w:t xml:space="preserve">ei Obwalden, Nidwalden und Uri dürfte </w:t>
      </w:r>
      <w:r w:rsidR="00260AAB">
        <w:t>die Zugehörigkeit zur gleichen «Grössenkategorie» gewiss begünstigend gewirkt haben</w:t>
      </w:r>
      <w:r w:rsidR="000225EA">
        <w:t xml:space="preserve">. Ob bewusst oder nicht mag </w:t>
      </w:r>
      <w:r w:rsidR="00260AAB">
        <w:t>in</w:t>
      </w:r>
      <w:r w:rsidR="000225EA">
        <w:t xml:space="preserve"> der </w:t>
      </w:r>
      <w:r w:rsidR="00260AAB">
        <w:t>Ur</w:t>
      </w:r>
      <w:r w:rsidR="000225EA">
        <w:t xml:space="preserve">schweiz auch der Umstand nachwirken, dass die Kantone Uri, Schwyz und Nidwalden bis 1798 </w:t>
      </w:r>
      <w:r w:rsidR="008B19D9">
        <w:t>die Ennetbirgischen Vogteien als Untertanengebiet gemeinsam verwalteten. Die «Casa dei Landfogti»</w:t>
      </w:r>
      <w:r w:rsidR="00D40B39">
        <w:t xml:space="preserve"> </w:t>
      </w:r>
      <w:r w:rsidR="008B19D9">
        <w:t>im Bleniotal legt davon bis heute Zeugnis ab</w:t>
      </w:r>
      <w:r w:rsidR="00D40B39">
        <w:t xml:space="preserve">. An der Fassade prangen das Urner, Schwyzer und Nidwaldner Kantonswappen. Das an der </w:t>
      </w:r>
      <w:r w:rsidR="00602FDB">
        <w:t>Hausecke</w:t>
      </w:r>
      <w:r w:rsidR="008B19D9">
        <w:t xml:space="preserve"> befestigte Halseisen macht </w:t>
      </w:r>
      <w:r w:rsidR="00602FDB">
        <w:t xml:space="preserve">zudem </w:t>
      </w:r>
      <w:r w:rsidR="008B19D9">
        <w:t>deutlich, dass den Landvögten durchaus auch weitreichende Kompetenzen im Bereich der Strafverfolgung und Justiz zukamen.</w:t>
      </w:r>
      <w:r w:rsidR="00602FDB">
        <w:t xml:space="preserve"> </w:t>
      </w:r>
      <w:r w:rsidR="00554C28">
        <w:t xml:space="preserve">Auch wenn das Ancien Régime mit Blick auf die damals praktizierten Körperstrafen </w:t>
      </w:r>
      <w:r w:rsidR="00492ABA">
        <w:t>nicht</w:t>
      </w:r>
      <w:r w:rsidR="00554C28">
        <w:t xml:space="preserve"> </w:t>
      </w:r>
      <w:r w:rsidR="00EB50CA">
        <w:t xml:space="preserve">mehr </w:t>
      </w:r>
      <w:r w:rsidR="00554C28">
        <w:t>als Vorbild taugt</w:t>
      </w:r>
      <w:r w:rsidR="003F50EC">
        <w:t>,</w:t>
      </w:r>
      <w:r w:rsidR="00554C28">
        <w:t xml:space="preserve"> macht der Blick in die Vergangenheit </w:t>
      </w:r>
      <w:r w:rsidR="0074277C">
        <w:t xml:space="preserve">doch </w:t>
      </w:r>
      <w:r w:rsidR="00554C28">
        <w:t>deutlich, dass die interkantonale Zusammenarbeit im Bereich von Strafverfolgung und Justiz keine «neumodische» Erfindung ist</w:t>
      </w:r>
      <w:r w:rsidR="005A50DA">
        <w:t xml:space="preserve">. Vielmehr gab es diese Form der Zusammenarbeit schon als </w:t>
      </w:r>
      <w:r w:rsidR="0074277C">
        <w:t xml:space="preserve">die </w:t>
      </w:r>
      <w:r w:rsidR="005A50DA">
        <w:t>Orte der Eidgenossenschaft</w:t>
      </w:r>
      <w:r w:rsidR="0074277C">
        <w:t xml:space="preserve"> noch ein</w:t>
      </w:r>
      <w:r w:rsidR="005A50DA">
        <w:t>en</w:t>
      </w:r>
      <w:r w:rsidR="0074277C">
        <w:t xml:space="preserve"> Staatenbund </w:t>
      </w:r>
      <w:r w:rsidR="005A50DA">
        <w:t>bildeten</w:t>
      </w:r>
      <w:r w:rsidR="0074277C">
        <w:t>.</w:t>
      </w:r>
    </w:p>
    <w:p w14:paraId="3CB7BC93" w14:textId="08B5BEA7" w:rsidR="008B19D9" w:rsidRDefault="008B19D9" w:rsidP="00E628AB">
      <w:pPr>
        <w:pStyle w:val="Standard15"/>
      </w:pPr>
      <w:r>
        <w:t xml:space="preserve">Neben </w:t>
      </w:r>
      <w:r w:rsidR="00D40B39">
        <w:t xml:space="preserve">der Angst vor </w:t>
      </w:r>
      <w:r w:rsidR="0074277C">
        <w:t xml:space="preserve">einem </w:t>
      </w:r>
      <w:r w:rsidR="00D40B39">
        <w:t xml:space="preserve">Souveränitätsverlust </w:t>
      </w:r>
      <w:r w:rsidR="00554C28">
        <w:t>dürfte in vielen Kantonen die politische Energie fehlen, um grundlegende institutionelle Reformen anzugehen und die notwendigen Rechtsgrundlagen für gemeinsame Straf</w:t>
      </w:r>
      <w:r w:rsidR="008213AF">
        <w:t>verfolgungs</w:t>
      </w:r>
      <w:r w:rsidR="00554C28">
        <w:t xml:space="preserve">behörden zu schaffen. Hierfür braucht es </w:t>
      </w:r>
      <w:r w:rsidR="0074277C">
        <w:t xml:space="preserve">die </w:t>
      </w:r>
      <w:r w:rsidR="00554C28">
        <w:t>breit getragene Überzeugung, dass die bestehenden Strukturen einer zeitgemässen Strafverfolgung nicht mehr gerecht werden</w:t>
      </w:r>
      <w:r w:rsidR="006514F3">
        <w:t xml:space="preserve">. Ausserdem müssen sich die </w:t>
      </w:r>
      <w:r w:rsidR="00554C28">
        <w:t>politischen Akteure in mehreren Kantonen</w:t>
      </w:r>
      <w:r w:rsidR="006514F3">
        <w:t xml:space="preserve"> parallel und aktiv darum bemühen</w:t>
      </w:r>
      <w:r w:rsidR="00554C28">
        <w:t xml:space="preserve">, die Probleme gemeinsam anzugehen. </w:t>
      </w:r>
      <w:r w:rsidR="0074277C">
        <w:t xml:space="preserve">Fragen des Organisations- und Verfahrensrechts sind indes selten zuoberst auf der politischen Agenda, da sich mit ihnen </w:t>
      </w:r>
      <w:r w:rsidR="006514F3">
        <w:t>nur selten</w:t>
      </w:r>
      <w:r w:rsidR="0074277C">
        <w:t xml:space="preserve"> ein «Blumenstrauss» gewinnen lässt.</w:t>
      </w:r>
    </w:p>
    <w:p w14:paraId="139B7108" w14:textId="069AFE25" w:rsidR="00856FD8" w:rsidRDefault="00856FD8" w:rsidP="00856FD8">
      <w:pPr>
        <w:pStyle w:val="berschrift2"/>
      </w:pPr>
      <w:bookmarkStart w:id="33" w:name="_Toc41986204"/>
      <w:r>
        <w:t>2.</w:t>
      </w:r>
      <w:r>
        <w:tab/>
      </w:r>
      <w:r w:rsidR="00B10BC0">
        <w:t>Niederschwellige Alternativen</w:t>
      </w:r>
      <w:bookmarkEnd w:id="33"/>
    </w:p>
    <w:p w14:paraId="67723BF1" w14:textId="22D56F03" w:rsidR="00BD2EEA" w:rsidRDefault="0074277C" w:rsidP="00034A51">
      <w:pPr>
        <w:pStyle w:val="Standard15"/>
      </w:pPr>
      <w:r>
        <w:t xml:space="preserve">In Anbetracht der beschriebenen Hindernisse stellt sich die Frage nach niederschwelligen Alternativlösungen. </w:t>
      </w:r>
      <w:r w:rsidR="00D60D7E">
        <w:t xml:space="preserve">Bereits erwähnt wurde die schon heute bestehende Möglichkeit, ausserordentliche Staatsanwälte einzusetzen. Dieses institutionelle Gefäss ist indes zugeschnitten auf ausserordentliche Umstände und eignet sich </w:t>
      </w:r>
      <w:r>
        <w:t>gerade</w:t>
      </w:r>
      <w:r w:rsidR="00D60D7E">
        <w:t xml:space="preserve"> nicht </w:t>
      </w:r>
      <w:r w:rsidR="006514F3">
        <w:t>als</w:t>
      </w:r>
      <w:r w:rsidR="00D60D7E">
        <w:t xml:space="preserve"> dauerhafte</w:t>
      </w:r>
      <w:r w:rsidR="006514F3">
        <w:t xml:space="preserve"> institutionelle</w:t>
      </w:r>
      <w:r w:rsidR="00D60D7E">
        <w:t xml:space="preserve"> Lösung. Eine gewisse Entspannung bei der </w:t>
      </w:r>
      <w:r w:rsidR="004055F0">
        <w:t>Rek</w:t>
      </w:r>
      <w:r w:rsidR="00034A51">
        <w:t xml:space="preserve">rutierung von qualifiziertem Personal kann sodann dadurch erreicht werden, dass die Kantone auf das Wohnsitzerfordernis für Staatsanwältinnen und Staatsanwälte generell oder ausnahmsweise verzichten. Dies tat beispielsweise </w:t>
      </w:r>
      <w:r w:rsidR="00034A51">
        <w:lastRenderedPageBreak/>
        <w:t>2017 der Kanton Glarus, um die Wahl einer qualifizierten Person zu ermöglichen, die</w:t>
      </w:r>
      <w:r>
        <w:t xml:space="preserve"> aber</w:t>
      </w:r>
      <w:r w:rsidR="00034A51">
        <w:t xml:space="preserve"> im benachbarten Kanton Schwyz ihren Wohnsitz hat</w:t>
      </w:r>
      <w:r>
        <w:t>te</w:t>
      </w:r>
      <w:r w:rsidR="00034A51">
        <w:t>.</w:t>
      </w:r>
      <w:r w:rsidR="00034A51">
        <w:rPr>
          <w:rStyle w:val="Funotenzeichen"/>
        </w:rPr>
        <w:footnoteReference w:id="56"/>
      </w:r>
      <w:r w:rsidR="00034A51">
        <w:t xml:space="preserve"> Gerade in kleinräumigen Kantonen kann es mit Blick auf die Unabhängigkeit der Amtsträgerinnen und Amtsträger</w:t>
      </w:r>
      <w:r w:rsidR="006514F3">
        <w:t xml:space="preserve"> sogar erwünscht</w:t>
      </w:r>
      <w:r w:rsidR="00034A51">
        <w:t xml:space="preserve"> sein, wenn sie und ihre Familien in einem anderen Kanton leben. </w:t>
      </w:r>
      <w:r w:rsidR="00BD2EEA">
        <w:t>Unser kleines Nachbarland Liechtenstein rekrutiert aus diesem Grund sogar absichtlich einen Teil seiner Richterschaft in Österreich und der Schweiz. Damit wird nicht nur die Rezeption österreichischen und schweizerischen Rechts erleichtert, sondern dank der «fremden Richter» auch die Unabhängigkeit einer mehrstufig organisierten Justiz im Kleinstaat gewährleistet.</w:t>
      </w:r>
      <w:r w:rsidR="00BD2EEA">
        <w:rPr>
          <w:rStyle w:val="Funotenzeichen"/>
        </w:rPr>
        <w:footnoteReference w:id="57"/>
      </w:r>
    </w:p>
    <w:p w14:paraId="644B5305" w14:textId="10983F28" w:rsidR="00BD2EEA" w:rsidRDefault="00BD2EEA" w:rsidP="00BD2EEA">
      <w:pPr>
        <w:pStyle w:val="berschrift1"/>
      </w:pPr>
      <w:bookmarkStart w:id="34" w:name="_Toc41986205"/>
      <w:r>
        <w:t>V.</w:t>
      </w:r>
      <w:r w:rsidRPr="004329F6">
        <w:tab/>
      </w:r>
      <w:r>
        <w:t>Schlussfolgerungen</w:t>
      </w:r>
      <w:bookmarkEnd w:id="34"/>
    </w:p>
    <w:p w14:paraId="3BBB88CB" w14:textId="519CE1D0" w:rsidR="00BD2EEA" w:rsidRPr="00BD2EEA" w:rsidRDefault="00BD2EEA" w:rsidP="00EA6F2B">
      <w:r>
        <w:t xml:space="preserve">Vor allem kleinere Kantone stossen bei der Strafverfolgung an </w:t>
      </w:r>
      <w:r w:rsidR="00EA6F2B">
        <w:t>ihre</w:t>
      </w:r>
      <w:r>
        <w:t xml:space="preserve"> Grenzen. </w:t>
      </w:r>
      <w:r w:rsidR="00EA6F2B">
        <w:t xml:space="preserve">Die Rekrutierung von geeigneten Staatsanwältinnen und Staatsanwälten fällt oft nicht leicht und einer Spezialisierung innerhalb der Behörde sind Grenzen gesetzt. Auf schwankende Fallzahlen lässt sich sodann nur schlecht reagieren, da die Personaldecke zu dünn ist. </w:t>
      </w:r>
      <w:r w:rsidR="008715B9">
        <w:t xml:space="preserve">Hinzu kommt, dass die Unabhängigkeit der Staatsanwaltschaft in einem kleinen Gemeinwesen schwieriger zu gewährleisten ist. </w:t>
      </w:r>
      <w:r w:rsidR="00EA6F2B">
        <w:t>Diese</w:t>
      </w:r>
      <w:r w:rsidR="008715B9">
        <w:t>n</w:t>
      </w:r>
      <w:r w:rsidR="00EA6F2B">
        <w:t xml:space="preserve"> Missst</w:t>
      </w:r>
      <w:r w:rsidR="008715B9">
        <w:t>änden</w:t>
      </w:r>
      <w:r w:rsidR="00EA6F2B">
        <w:t xml:space="preserve"> kann mit einer verstärkten interkantonalen Kooperation begegnet werden. Gemeinsame Straf</w:t>
      </w:r>
      <w:r w:rsidR="008213AF">
        <w:t>verfolgungs</w:t>
      </w:r>
      <w:r w:rsidR="00EA6F2B">
        <w:t xml:space="preserve">behörden zu schaffen ist verfassungsrechtlich durchaus zulässig, </w:t>
      </w:r>
      <w:r w:rsidR="0083289B">
        <w:t xml:space="preserve">wenn nicht gar geboten. Wichtig ist indes, dass bei ihrer Schaffung die </w:t>
      </w:r>
      <w:r w:rsidR="003F50EC">
        <w:t xml:space="preserve">erforderlichen </w:t>
      </w:r>
      <w:r w:rsidR="0083289B">
        <w:t xml:space="preserve">staatsvertraglichen Grundlagen </w:t>
      </w:r>
      <w:r w:rsidR="003F50EC">
        <w:t>g</w:t>
      </w:r>
      <w:r w:rsidR="006514F3">
        <w:t xml:space="preserve">eschaffen </w:t>
      </w:r>
      <w:r w:rsidR="0083289B">
        <w:t>werden, die der Gesetzesform genügen und die inhaltlich zentralen Fragen mit der nötigen Bestimmtheit regeln.</w:t>
      </w:r>
      <w:bookmarkStart w:id="35" w:name="_GoBack"/>
      <w:bookmarkEnd w:id="35"/>
    </w:p>
    <w:sectPr w:rsidR="00BD2EEA" w:rsidRPr="00BD2EEA" w:rsidSect="00024A52">
      <w:footerReference w:type="even" r:id="rId8"/>
      <w:footerReference w:type="default" r:id="rId9"/>
      <w:pgSz w:w="12240" w:h="15840" w:code="1"/>
      <w:pgMar w:top="1418" w:right="1418" w:bottom="1134" w:left="1418" w:header="720" w:footer="720" w:gutter="0"/>
      <w:pgNumType w:fmt="numberInDash"/>
      <w:cols w:space="720"/>
      <w:noEndnote/>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7FAF22" w16cex:dateUtc="2020-06-01T14:45:00Z"/>
  <w16cex:commentExtensible w16cex:durableId="227FB1C8" w16cex:dateUtc="2020-06-01T14:56:00Z"/>
  <w16cex:commentExtensible w16cex:durableId="227FB58F" w16cex:dateUtc="2020-06-01T15:12:00Z"/>
  <w16cex:commentExtensible w16cex:durableId="227FB7A0" w16cex:dateUtc="2020-06-01T15:21:00Z"/>
  <w16cex:commentExtensible w16cex:durableId="227FB998" w16cex:dateUtc="2020-06-01T15:30:00Z"/>
  <w16cex:commentExtensible w16cex:durableId="227FBD31" w16cex:dateUtc="2020-06-01T15:45:00Z"/>
  <w16cex:commentExtensible w16cex:durableId="227FBD7C" w16cex:dateUtc="2020-06-01T15:46:00Z"/>
  <w16cex:commentExtensible w16cex:durableId="227FBDAC" w16cex:dateUtc="2020-06-01T15:47:00Z"/>
  <w16cex:commentExtensible w16cex:durableId="227FBE66" w16cex:dateUtc="2020-06-01T15:50:00Z"/>
  <w16cex:commentExtensible w16cex:durableId="227FBE9F" w16cex:dateUtc="2020-06-01T15:51:00Z"/>
  <w16cex:commentExtensible w16cex:durableId="227FBF48" w16cex:dateUtc="2020-06-01T15:5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44F71E" w14:textId="77777777" w:rsidR="00303363" w:rsidRDefault="00303363" w:rsidP="00067BA2">
      <w:r>
        <w:separator/>
      </w:r>
    </w:p>
  </w:endnote>
  <w:endnote w:type="continuationSeparator" w:id="0">
    <w:p w14:paraId="097D3D0E" w14:textId="77777777" w:rsidR="00303363" w:rsidRDefault="00303363" w:rsidP="00067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74503" w14:textId="77777777" w:rsidR="00EB50CA" w:rsidRDefault="00EB50CA" w:rsidP="00A16C8F">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- 14 -</w:t>
    </w:r>
    <w:r>
      <w:rPr>
        <w:rStyle w:val="Seitenzahl"/>
      </w:rPr>
      <w:fldChar w:fldCharType="end"/>
    </w:r>
  </w:p>
  <w:p w14:paraId="248F6C2B" w14:textId="77777777" w:rsidR="00EB50CA" w:rsidRDefault="00EB50C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299F7" w14:textId="21DA25C8" w:rsidR="00EB50CA" w:rsidRPr="00B279FC" w:rsidRDefault="00EB50CA" w:rsidP="00A16C8F">
    <w:pPr>
      <w:pStyle w:val="Fuzeile"/>
      <w:framePr w:wrap="none" w:vAnchor="text" w:hAnchor="margin" w:xAlign="center" w:y="1"/>
      <w:rPr>
        <w:rStyle w:val="Seitenzahl"/>
      </w:rPr>
    </w:pPr>
    <w:r w:rsidRPr="00B279FC">
      <w:rPr>
        <w:rStyle w:val="Seitenzahl"/>
        <w:rFonts w:cs="Times New Roman"/>
      </w:rPr>
      <w:fldChar w:fldCharType="begin"/>
    </w:r>
    <w:r w:rsidRPr="00B279FC">
      <w:rPr>
        <w:rStyle w:val="Seitenzahl"/>
        <w:rFonts w:cs="Times New Roman"/>
      </w:rPr>
      <w:instrText xml:space="preserve">PAGE  </w:instrText>
    </w:r>
    <w:r w:rsidRPr="00B279FC">
      <w:rPr>
        <w:rStyle w:val="Seitenzahl"/>
        <w:rFonts w:cs="Times New Roman"/>
      </w:rPr>
      <w:fldChar w:fldCharType="separate"/>
    </w:r>
    <w:r>
      <w:rPr>
        <w:rStyle w:val="Seitenzahl"/>
        <w:rFonts w:cs="Times New Roman"/>
        <w:noProof/>
      </w:rPr>
      <w:t>- 14 -</w:t>
    </w:r>
    <w:r w:rsidRPr="00B279FC">
      <w:rPr>
        <w:rStyle w:val="Seitenzahl"/>
        <w:rFonts w:cs="Times New Roman"/>
      </w:rPr>
      <w:fldChar w:fldCharType="end"/>
    </w:r>
  </w:p>
  <w:p w14:paraId="142987C7" w14:textId="77777777" w:rsidR="00EB50CA" w:rsidRDefault="00EB50C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B36718" w14:textId="77777777" w:rsidR="00303363" w:rsidRDefault="00303363" w:rsidP="00067BA2">
      <w:r>
        <w:separator/>
      </w:r>
    </w:p>
  </w:footnote>
  <w:footnote w:type="continuationSeparator" w:id="0">
    <w:p w14:paraId="225F519F" w14:textId="77777777" w:rsidR="00303363" w:rsidRDefault="00303363" w:rsidP="00067BA2">
      <w:r>
        <w:continuationSeparator/>
      </w:r>
    </w:p>
  </w:footnote>
  <w:footnote w:id="1">
    <w:p w14:paraId="64BE059D" w14:textId="03EBE62A" w:rsidR="00EB50CA" w:rsidRPr="00F71031" w:rsidRDefault="00EB50CA" w:rsidP="00F71031">
      <w:pPr>
        <w:pStyle w:val="Funotentext"/>
        <w:spacing w:after="60" w:line="240" w:lineRule="auto"/>
        <w:ind w:left="567" w:hanging="567"/>
        <w:rPr>
          <w:rFonts w:cs="Times New Roman"/>
          <w:sz w:val="18"/>
          <w:szCs w:val="18"/>
        </w:rPr>
      </w:pPr>
      <w:r w:rsidRPr="00B208E8">
        <w:rPr>
          <w:rStyle w:val="Funotenzeichen"/>
          <w:rFonts w:cs="Times New Roman"/>
          <w:sz w:val="32"/>
          <w:szCs w:val="32"/>
        </w:rPr>
        <w:sym w:font="Symbol" w:char="F02A"/>
      </w:r>
      <w:r w:rsidRPr="00B208E8">
        <w:rPr>
          <w:sz w:val="32"/>
          <w:szCs w:val="32"/>
        </w:rPr>
        <w:tab/>
      </w:r>
      <w:r w:rsidRPr="00F71031">
        <w:rPr>
          <w:rFonts w:cs="Times New Roman"/>
          <w:sz w:val="18"/>
          <w:szCs w:val="18"/>
        </w:rPr>
        <w:t xml:space="preserve">Professor für öffentliches Recht an der Universität St. Gallen. Erweiterte Fassung eines Referats anlässlich der Tagung </w:t>
      </w:r>
      <w:r w:rsidR="00B0688B" w:rsidRPr="00F71031">
        <w:rPr>
          <w:rFonts w:cs="Times New Roman"/>
          <w:sz w:val="18"/>
          <w:szCs w:val="18"/>
        </w:rPr>
        <w:t>«</w:t>
      </w:r>
      <w:r w:rsidRPr="00F71031">
        <w:rPr>
          <w:rFonts w:cs="Times New Roman"/>
          <w:sz w:val="18"/>
          <w:szCs w:val="18"/>
        </w:rPr>
        <w:t>Föderalismus und Strafverfolgung</w:t>
      </w:r>
      <w:r w:rsidR="00B0688B" w:rsidRPr="00F71031">
        <w:rPr>
          <w:rFonts w:cs="Times New Roman"/>
          <w:sz w:val="18"/>
          <w:szCs w:val="18"/>
        </w:rPr>
        <w:t>»</w:t>
      </w:r>
      <w:r w:rsidRPr="00F71031">
        <w:rPr>
          <w:rFonts w:cs="Times New Roman"/>
          <w:sz w:val="18"/>
          <w:szCs w:val="18"/>
        </w:rPr>
        <w:t xml:space="preserve"> der Staatsanwaltsakademie vom 4. September 2019 in Luzern.</w:t>
      </w:r>
      <w:r w:rsidR="007817FE" w:rsidRPr="00F71031">
        <w:rPr>
          <w:rFonts w:cs="Times New Roman"/>
          <w:sz w:val="18"/>
          <w:szCs w:val="18"/>
        </w:rPr>
        <w:t xml:space="preserve"> Meinem Mitarbeiter Damian Wyss danke ich herzlich für die genaue Durchsicht des Textes und seine Anregungen.</w:t>
      </w:r>
    </w:p>
  </w:footnote>
  <w:footnote w:id="2">
    <w:p w14:paraId="2645F4AD" w14:textId="785DA2C2" w:rsidR="00EB50CA" w:rsidRPr="00F71031" w:rsidRDefault="00EB50CA" w:rsidP="00F71031">
      <w:pPr>
        <w:pStyle w:val="berschrift1"/>
        <w:shd w:val="clear" w:color="auto" w:fill="FFFFFF"/>
        <w:spacing w:before="0" w:after="60" w:line="240" w:lineRule="auto"/>
        <w:rPr>
          <w:rFonts w:cs="Times New Roman"/>
          <w:b w:val="0"/>
          <w:color w:val="000000" w:themeColor="text1"/>
          <w:sz w:val="18"/>
          <w:szCs w:val="18"/>
        </w:rPr>
      </w:pPr>
      <w:r w:rsidRPr="00F71031">
        <w:rPr>
          <w:rStyle w:val="Funotenzeichen"/>
          <w:rFonts w:cs="Times New Roman"/>
          <w:b w:val="0"/>
          <w:sz w:val="18"/>
          <w:szCs w:val="18"/>
        </w:rPr>
        <w:footnoteRef/>
      </w:r>
      <w:r w:rsidRPr="00F71031">
        <w:rPr>
          <w:rFonts w:cs="Times New Roman"/>
          <w:b w:val="0"/>
          <w:sz w:val="18"/>
          <w:szCs w:val="18"/>
        </w:rPr>
        <w:t xml:space="preserve"> Top </w:t>
      </w:r>
      <w:r w:rsidRPr="00F71031">
        <w:rPr>
          <w:rFonts w:cs="Times New Roman"/>
          <w:b w:val="0"/>
          <w:color w:val="000000" w:themeColor="text1"/>
          <w:sz w:val="18"/>
          <w:szCs w:val="18"/>
        </w:rPr>
        <w:t>Online vom 20. Februar 2019:</w:t>
      </w:r>
      <w:r w:rsidRPr="00F71031">
        <w:rPr>
          <w:rFonts w:cs="Times New Roman"/>
          <w:color w:val="000000" w:themeColor="text1"/>
          <w:sz w:val="18"/>
          <w:szCs w:val="18"/>
        </w:rPr>
        <w:t xml:space="preserve"> «</w:t>
      </w:r>
      <w:r w:rsidRPr="00F71031">
        <w:rPr>
          <w:rFonts w:cs="Times New Roman"/>
          <w:b w:val="0"/>
          <w:bCs/>
          <w:color w:val="000000" w:themeColor="text1"/>
          <w:sz w:val="18"/>
          <w:szCs w:val="18"/>
        </w:rPr>
        <w:t>Appenzell Innerrhoden hat Mühe den freien Posten des Staatsanwalts zu besetzen» (</w:t>
      </w:r>
      <w:r w:rsidRPr="00F71031">
        <w:rPr>
          <w:rFonts w:cs="Times New Roman"/>
          <w:b w:val="0"/>
          <w:sz w:val="18"/>
          <w:szCs w:val="18"/>
        </w:rPr>
        <w:t>https://www.toponline.ch/, besucht im Juni 2020).</w:t>
      </w:r>
    </w:p>
  </w:footnote>
  <w:footnote w:id="3">
    <w:p w14:paraId="7CA0636A" w14:textId="50187123" w:rsidR="00EB50CA" w:rsidRPr="00F71031" w:rsidRDefault="00EB50CA" w:rsidP="00F71031">
      <w:pPr>
        <w:pStyle w:val="Funotentext"/>
        <w:spacing w:after="60" w:line="240" w:lineRule="auto"/>
        <w:rPr>
          <w:rFonts w:cs="Times New Roman"/>
          <w:sz w:val="18"/>
          <w:szCs w:val="18"/>
        </w:rPr>
      </w:pPr>
      <w:r w:rsidRPr="00F71031">
        <w:rPr>
          <w:rStyle w:val="Funotenzeichen"/>
          <w:rFonts w:cs="Times New Roman"/>
          <w:sz w:val="18"/>
          <w:szCs w:val="18"/>
        </w:rPr>
        <w:footnoteRef/>
      </w:r>
      <w:r w:rsidRPr="00F71031">
        <w:rPr>
          <w:rFonts w:cs="Times New Roman"/>
          <w:sz w:val="18"/>
          <w:szCs w:val="18"/>
        </w:rPr>
        <w:t xml:space="preserve"> NZZ vom 30. August 2019, 19: «Zürich greift Schwyz unter die Arme: Übernahme des Zivilstandswesens infolge Mangels an Fachleuten</w:t>
      </w:r>
      <w:r w:rsidR="004853A0" w:rsidRPr="00F71031">
        <w:rPr>
          <w:rFonts w:cs="Times New Roman"/>
          <w:bCs/>
          <w:color w:val="000000" w:themeColor="text1"/>
          <w:sz w:val="18"/>
          <w:szCs w:val="18"/>
        </w:rPr>
        <w:t>»</w:t>
      </w:r>
      <w:r w:rsidRPr="00F71031">
        <w:rPr>
          <w:rFonts w:cs="Times New Roman"/>
          <w:sz w:val="18"/>
          <w:szCs w:val="18"/>
        </w:rPr>
        <w:t>.</w:t>
      </w:r>
    </w:p>
  </w:footnote>
  <w:footnote w:id="4">
    <w:p w14:paraId="7E381FC2" w14:textId="5FB5F172"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Die Schweizer Kantone haben im Schnitt ca. 308'000 Einwohner, der kleinste Kanton (Appenzell Innerrhoden) zählt 16'000 Einwohner. Die US-Gliedstaaten</w:t>
      </w:r>
      <w:r w:rsidR="00B12B06">
        <w:rPr>
          <w:rFonts w:cs="Times New Roman"/>
          <w:sz w:val="18"/>
          <w:szCs w:val="18"/>
          <w:lang w:val="de-CH"/>
        </w:rPr>
        <w:t xml:space="preserve"> haben</w:t>
      </w:r>
      <w:r w:rsidRPr="00F71031">
        <w:rPr>
          <w:rFonts w:cs="Times New Roman"/>
          <w:sz w:val="18"/>
          <w:szCs w:val="18"/>
          <w:lang w:val="de-CH"/>
        </w:rPr>
        <w:t xml:space="preserve"> im Schnitt ca. 7,6 Mio. Einwohner und der kleinste Gliedstaat (Wyoming) ca. 564'000 Einwohner. Die deutschen Länder</w:t>
      </w:r>
      <w:r w:rsidR="006C2AEA">
        <w:rPr>
          <w:rFonts w:cs="Times New Roman"/>
          <w:sz w:val="18"/>
          <w:szCs w:val="18"/>
          <w:lang w:val="de-CH"/>
        </w:rPr>
        <w:t xml:space="preserve"> verfügen</w:t>
      </w:r>
      <w:r w:rsidRPr="00F71031">
        <w:rPr>
          <w:rFonts w:cs="Times New Roman"/>
          <w:sz w:val="18"/>
          <w:szCs w:val="18"/>
          <w:lang w:val="de-CH"/>
        </w:rPr>
        <w:t xml:space="preserve"> im Schnitt</w:t>
      </w:r>
      <w:r w:rsidR="006C2AEA">
        <w:rPr>
          <w:rFonts w:cs="Times New Roman"/>
          <w:sz w:val="18"/>
          <w:szCs w:val="18"/>
          <w:lang w:val="de-CH"/>
        </w:rPr>
        <w:t xml:space="preserve"> über</w:t>
      </w:r>
      <w:r w:rsidRPr="00F71031">
        <w:rPr>
          <w:rFonts w:cs="Times New Roman"/>
          <w:sz w:val="18"/>
          <w:szCs w:val="18"/>
          <w:lang w:val="de-CH"/>
        </w:rPr>
        <w:t xml:space="preserve"> ca. 5 Mio. Einwohner und das kleinste Land (Bremen) </w:t>
      </w:r>
      <w:r w:rsidR="006C2AEA">
        <w:rPr>
          <w:rFonts w:cs="Times New Roman"/>
          <w:sz w:val="18"/>
          <w:szCs w:val="18"/>
          <w:lang w:val="de-CH"/>
        </w:rPr>
        <w:t xml:space="preserve">über </w:t>
      </w:r>
      <w:r w:rsidRPr="00F71031">
        <w:rPr>
          <w:rFonts w:cs="Times New Roman"/>
          <w:sz w:val="18"/>
          <w:szCs w:val="18"/>
          <w:lang w:val="de-CH"/>
        </w:rPr>
        <w:t>ca. 683'000 Einwohner. Die österreichischen Länder</w:t>
      </w:r>
      <w:r w:rsidR="006C2AEA">
        <w:rPr>
          <w:rFonts w:cs="Times New Roman"/>
          <w:sz w:val="18"/>
          <w:szCs w:val="18"/>
          <w:lang w:val="de-CH"/>
        </w:rPr>
        <w:t xml:space="preserve"> haben</w:t>
      </w:r>
      <w:r w:rsidRPr="00F71031">
        <w:rPr>
          <w:rFonts w:cs="Times New Roman"/>
          <w:sz w:val="18"/>
          <w:szCs w:val="18"/>
          <w:lang w:val="de-CH"/>
        </w:rPr>
        <w:t xml:space="preserve"> im Schnitt ca. 1 Mio. Einwohner und das kleinste Land (Burgenland) ca. 293'000 Einwohner.</w:t>
      </w:r>
    </w:p>
  </w:footnote>
  <w:footnote w:id="5">
    <w:p w14:paraId="41DF3726" w14:textId="5E2F42C3" w:rsidR="00EB50CA" w:rsidRPr="00F71031" w:rsidRDefault="00EB50CA" w:rsidP="00F71031">
      <w:pPr>
        <w:pStyle w:val="Funotentext"/>
        <w:spacing w:after="60" w:line="240" w:lineRule="auto"/>
        <w:rPr>
          <w:rFonts w:cs="Times New Roman"/>
          <w:sz w:val="18"/>
          <w:szCs w:val="18"/>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mallCaps/>
          <w:sz w:val="18"/>
          <w:szCs w:val="18"/>
        </w:rPr>
        <w:t>Max Imboden</w:t>
      </w:r>
      <w:r w:rsidRPr="00F71031">
        <w:rPr>
          <w:rFonts w:cs="Times New Roman"/>
          <w:sz w:val="18"/>
          <w:szCs w:val="18"/>
        </w:rPr>
        <w:t xml:space="preserve">, Verfassungsrevision als Weg in die Zukunft (1966), in: </w:t>
      </w:r>
      <w:r w:rsidR="004853A0" w:rsidRPr="00F71031">
        <w:rPr>
          <w:rFonts w:cs="Times New Roman"/>
          <w:sz w:val="18"/>
          <w:szCs w:val="18"/>
        </w:rPr>
        <w:t>Max Imboden</w:t>
      </w:r>
      <w:r w:rsidRPr="00F71031">
        <w:rPr>
          <w:rFonts w:cs="Times New Roman"/>
          <w:sz w:val="18"/>
          <w:szCs w:val="18"/>
        </w:rPr>
        <w:t>, Staat und Recht, Ausgewählte Schriften und Vorträge, Basel/Stuttgart 1971, 309 ff., 314.</w:t>
      </w:r>
    </w:p>
  </w:footnote>
  <w:footnote w:id="6">
    <w:p w14:paraId="433FA293" w14:textId="75F4DBE9"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lang w:val="en-GB"/>
        </w:rPr>
        <w:t xml:space="preserve"> Vgl. </w:t>
      </w:r>
      <w:r w:rsidRPr="00F71031">
        <w:rPr>
          <w:rFonts w:cs="Times New Roman"/>
          <w:iCs/>
          <w:smallCaps/>
          <w:sz w:val="18"/>
          <w:szCs w:val="18"/>
          <w:lang w:val="en-GB"/>
        </w:rPr>
        <w:t xml:space="preserve">Güller </w:t>
      </w:r>
      <w:r w:rsidRPr="00F71031">
        <w:rPr>
          <w:rFonts w:cs="Times New Roman"/>
          <w:iCs/>
          <w:sz w:val="18"/>
          <w:szCs w:val="18"/>
          <w:lang w:val="en-GB"/>
        </w:rPr>
        <w:t>et al</w:t>
      </w:r>
      <w:r w:rsidRPr="00F71031">
        <w:rPr>
          <w:rFonts w:cs="Times New Roman"/>
          <w:smallCaps/>
          <w:sz w:val="18"/>
          <w:szCs w:val="18"/>
          <w:lang w:val="en-GB"/>
        </w:rPr>
        <w:t>.,</w:t>
      </w:r>
      <w:r w:rsidRPr="00F71031">
        <w:rPr>
          <w:rFonts w:cs="Times New Roman"/>
          <w:sz w:val="18"/>
          <w:szCs w:val="18"/>
          <w:lang w:val="en-GB"/>
        </w:rPr>
        <w:t xml:space="preserve"> </w:t>
      </w:r>
      <w:r w:rsidRPr="00F71031">
        <w:rPr>
          <w:rFonts w:cs="Times New Roman"/>
          <w:sz w:val="18"/>
          <w:szCs w:val="18"/>
          <w:lang w:val="en-US"/>
        </w:rPr>
        <w:t xml:space="preserve">Lower hospital volume is associated with higher mortality after oesophageal, gastric, pancreatic </w:t>
      </w:r>
      <w:r w:rsidRPr="00F71031">
        <w:rPr>
          <w:rFonts w:cs="Times New Roman"/>
          <w:sz w:val="18"/>
          <w:szCs w:val="18"/>
          <w:lang w:val="en-GB"/>
        </w:rPr>
        <w:t>and rectal cancer resection, Swiss Medical Weekly vom 24. </w:t>
      </w:r>
      <w:r w:rsidRPr="00F71031">
        <w:rPr>
          <w:rFonts w:cs="Times New Roman"/>
          <w:sz w:val="18"/>
          <w:szCs w:val="18"/>
          <w:lang w:val="de-CH"/>
        </w:rPr>
        <w:t>Juli 2017, 1 ff.</w:t>
      </w:r>
    </w:p>
  </w:footnote>
  <w:footnote w:id="7">
    <w:p w14:paraId="6B3291D0" w14:textId="473F8798" w:rsidR="00EB50CA" w:rsidRPr="00F71031" w:rsidRDefault="00EB50CA" w:rsidP="00F71031">
      <w:pPr>
        <w:pStyle w:val="Funotentext"/>
        <w:spacing w:after="60" w:line="240" w:lineRule="auto"/>
        <w:rPr>
          <w:rFonts w:cs="Times New Roman"/>
          <w:sz w:val="18"/>
          <w:szCs w:val="18"/>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mallCaps/>
          <w:sz w:val="18"/>
          <w:szCs w:val="18"/>
        </w:rPr>
        <w:t>Dennis J. Galligan</w:t>
      </w:r>
      <w:r w:rsidRPr="00F71031">
        <w:rPr>
          <w:rFonts w:cs="Times New Roman"/>
          <w:sz w:val="18"/>
          <w:szCs w:val="18"/>
        </w:rPr>
        <w:t xml:space="preserve">, </w:t>
      </w:r>
      <w:r w:rsidRPr="00F71031">
        <w:rPr>
          <w:rFonts w:cs="Times New Roman"/>
          <w:sz w:val="18"/>
          <w:szCs w:val="18"/>
          <w:lang w:val="de-CH"/>
        </w:rPr>
        <w:t xml:space="preserve">Discretionary Powers: A Legal Study of Official Discretion, Oxford 1990, 250; </w:t>
      </w:r>
      <w:r w:rsidRPr="00F71031">
        <w:rPr>
          <w:rFonts w:cs="Times New Roman"/>
          <w:smallCaps/>
          <w:sz w:val="18"/>
          <w:szCs w:val="18"/>
        </w:rPr>
        <w:t>Benjamin Schindler</w:t>
      </w:r>
      <w:r w:rsidRPr="00F71031">
        <w:rPr>
          <w:rFonts w:cs="Times New Roman"/>
          <w:sz w:val="18"/>
          <w:szCs w:val="18"/>
        </w:rPr>
        <w:t>, Verwaltungsermessen: Gestaltungskompetenzen der öffentlichen Verwaltung in der Schweiz, Habil. Zürich, Zürich/St. Gallen 2010, Rz. 473.</w:t>
      </w:r>
    </w:p>
  </w:footnote>
  <w:footnote w:id="8">
    <w:p w14:paraId="7BA1DD16" w14:textId="4D94631A"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mallCaps/>
          <w:sz w:val="18"/>
          <w:szCs w:val="18"/>
        </w:rPr>
        <w:t>Benjamin Schindler</w:t>
      </w:r>
      <w:r w:rsidRPr="00F71031">
        <w:rPr>
          <w:rFonts w:cs="Times New Roman"/>
          <w:sz w:val="18"/>
          <w:szCs w:val="18"/>
        </w:rPr>
        <w:t xml:space="preserve">, Richterliche Unabhängigkeit in kleinräumigen Verhältnissen, ZBl 2016, 113 f. Vgl. auch den Hinweis in </w:t>
      </w:r>
      <w:r w:rsidRPr="00F71031">
        <w:rPr>
          <w:rFonts w:cs="Times New Roman"/>
          <w:sz w:val="18"/>
          <w:szCs w:val="18"/>
          <w:lang w:val="de-CH"/>
        </w:rPr>
        <w:t xml:space="preserve">BGer-Urteil 1B_718/2011 vom 11. Juli 2011, E. 3: </w:t>
      </w:r>
      <w:r w:rsidRPr="00F71031">
        <w:rPr>
          <w:rFonts w:cs="Times New Roman"/>
          <w:iCs/>
          <w:sz w:val="18"/>
          <w:szCs w:val="18"/>
          <w:lang w:val="de-CH"/>
        </w:rPr>
        <w:t>«Der Beschwerdeführer weist auf die ‹provinziellen und zu sehr überblickbaren Verhältnisse› in Trogen hin, wo das Kantonsgericht und das Obergericht in demselben Gebäude untergebracht sind und wo zudem auch die Staatsanwaltschaft ihren Sitz hat. Sinngemäss rügt er damit, dass das Obergericht nicht unvoreingenommen zu urteilen vermöge.» Das BGer verneinte im Folgenden die Befangenheit, da es der Beschwerdeführer bei diesem allgemeinen Hinweis beliess und keine weiteren Umstände einer konkreten Befangenheit darlegen konnte.</w:t>
      </w:r>
    </w:p>
  </w:footnote>
  <w:footnote w:id="9">
    <w:p w14:paraId="2B00B690" w14:textId="72C6D9F9" w:rsidR="00EB50CA" w:rsidRPr="00F71031" w:rsidRDefault="00EB50CA" w:rsidP="00F71031">
      <w:pPr>
        <w:pStyle w:val="Funotentext"/>
        <w:spacing w:after="60" w:line="240" w:lineRule="auto"/>
        <w:rPr>
          <w:rFonts w:cs="Times New Roman"/>
          <w:sz w:val="18"/>
          <w:szCs w:val="18"/>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mallCaps/>
          <w:sz w:val="18"/>
          <w:szCs w:val="18"/>
          <w:lang w:val="de-CH"/>
        </w:rPr>
        <w:t>Christoph A. Schaltegger/Janine Studerus</w:t>
      </w:r>
      <w:r w:rsidRPr="00F71031">
        <w:rPr>
          <w:rFonts w:cs="Times New Roman"/>
          <w:sz w:val="18"/>
          <w:szCs w:val="18"/>
          <w:lang w:val="de-CH"/>
        </w:rPr>
        <w:t>, Gemeindefusionen ohne Spareffekt, Neue Zürcher Zeitung vom 14. März 2017, 9.</w:t>
      </w:r>
    </w:p>
  </w:footnote>
  <w:footnote w:id="10">
    <w:p w14:paraId="68EFECA4" w14:textId="1958728C" w:rsidR="00273D05" w:rsidRPr="00F71031" w:rsidRDefault="00273D05" w:rsidP="006C2AEA">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Bundesverfassung der Schweizerischen Eidgenossenschaft vom 18. April 1999 (BV), SR 101.</w:t>
      </w:r>
    </w:p>
  </w:footnote>
  <w:footnote w:id="11">
    <w:p w14:paraId="4F56A3F8" w14:textId="1A7FBD56"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 xml:space="preserve">Vgl. Art. 3, 47 und 48 BV sowie Art. 14 Abs. 1 und Art. 17 Abs. 1 StPO; hierzu </w:t>
      </w:r>
      <w:r w:rsidR="00273D05" w:rsidRPr="00F71031">
        <w:rPr>
          <w:rFonts w:cs="Times New Roman"/>
          <w:smallCaps/>
          <w:sz w:val="18"/>
          <w:szCs w:val="18"/>
          <w:lang w:val="de-CH"/>
        </w:rPr>
        <w:t>Biaggini</w:t>
      </w:r>
      <w:r w:rsidRPr="00F71031">
        <w:rPr>
          <w:rFonts w:cs="Times New Roman"/>
          <w:sz w:val="18"/>
          <w:szCs w:val="18"/>
          <w:lang w:val="de-CH"/>
        </w:rPr>
        <w:t xml:space="preserve">, </w:t>
      </w:r>
      <w:r w:rsidR="00273D05" w:rsidRPr="00F71031">
        <w:rPr>
          <w:rFonts w:cs="Times New Roman"/>
          <w:sz w:val="18"/>
          <w:szCs w:val="18"/>
          <w:lang w:val="de-CH"/>
        </w:rPr>
        <w:t xml:space="preserve">OFK, </w:t>
      </w:r>
      <w:r w:rsidRPr="00F71031">
        <w:rPr>
          <w:rFonts w:cs="Times New Roman"/>
          <w:sz w:val="18"/>
          <w:szCs w:val="18"/>
          <w:lang w:val="de-CH"/>
        </w:rPr>
        <w:t>Art. 191</w:t>
      </w:r>
      <w:r w:rsidRPr="00F71031">
        <w:rPr>
          <w:rFonts w:cs="Times New Roman"/>
          <w:i/>
          <w:iCs/>
          <w:sz w:val="18"/>
          <w:szCs w:val="18"/>
          <w:lang w:val="de-CH"/>
        </w:rPr>
        <w:t>b</w:t>
      </w:r>
      <w:r w:rsidRPr="00F71031">
        <w:rPr>
          <w:rFonts w:cs="Times New Roman"/>
          <w:sz w:val="18"/>
          <w:szCs w:val="18"/>
          <w:lang w:val="de-CH"/>
        </w:rPr>
        <w:t xml:space="preserve"> </w:t>
      </w:r>
      <w:r w:rsidR="00273D05" w:rsidRPr="00F71031">
        <w:rPr>
          <w:rFonts w:cs="Times New Roman"/>
          <w:sz w:val="18"/>
          <w:szCs w:val="18"/>
          <w:lang w:val="de-CH"/>
        </w:rPr>
        <w:t>BV N</w:t>
      </w:r>
      <w:r w:rsidRPr="00F71031">
        <w:rPr>
          <w:rFonts w:cs="Times New Roman"/>
          <w:sz w:val="18"/>
          <w:szCs w:val="18"/>
          <w:lang w:val="de-CH"/>
        </w:rPr>
        <w:t xml:space="preserve"> 3; </w:t>
      </w:r>
      <w:r w:rsidRPr="00F71031">
        <w:rPr>
          <w:rFonts w:cs="Times New Roman"/>
          <w:smallCaps/>
          <w:sz w:val="18"/>
          <w:szCs w:val="18"/>
          <w:lang w:val="de-CH"/>
        </w:rPr>
        <w:t>Kiss/Koller</w:t>
      </w:r>
      <w:r w:rsidRPr="00F71031">
        <w:rPr>
          <w:rFonts w:cs="Times New Roman"/>
          <w:sz w:val="18"/>
          <w:szCs w:val="18"/>
          <w:lang w:val="de-CH"/>
        </w:rPr>
        <w:t xml:space="preserve">, St. Galler Kommentar </w:t>
      </w:r>
      <w:r w:rsidR="00273D05" w:rsidRPr="00F71031">
        <w:rPr>
          <w:rFonts w:cs="Times New Roman"/>
          <w:sz w:val="18"/>
          <w:szCs w:val="18"/>
          <w:lang w:val="de-CH"/>
        </w:rPr>
        <w:t xml:space="preserve">zu </w:t>
      </w:r>
      <w:r w:rsidRPr="00F71031">
        <w:rPr>
          <w:rFonts w:cs="Times New Roman"/>
          <w:sz w:val="18"/>
          <w:szCs w:val="18"/>
          <w:lang w:val="de-CH"/>
        </w:rPr>
        <w:t>Art. 191</w:t>
      </w:r>
      <w:r w:rsidRPr="00F71031">
        <w:rPr>
          <w:rFonts w:cs="Times New Roman"/>
          <w:i/>
          <w:iCs/>
          <w:sz w:val="18"/>
          <w:szCs w:val="18"/>
          <w:lang w:val="de-CH"/>
        </w:rPr>
        <w:t>b</w:t>
      </w:r>
      <w:r w:rsidRPr="00F71031">
        <w:rPr>
          <w:rFonts w:cs="Times New Roman"/>
          <w:sz w:val="18"/>
          <w:szCs w:val="18"/>
          <w:lang w:val="de-CH"/>
        </w:rPr>
        <w:t xml:space="preserve"> </w:t>
      </w:r>
      <w:r w:rsidR="00273D05" w:rsidRPr="00F71031">
        <w:rPr>
          <w:rFonts w:cs="Times New Roman"/>
          <w:sz w:val="18"/>
          <w:szCs w:val="18"/>
          <w:lang w:val="de-CH"/>
        </w:rPr>
        <w:t xml:space="preserve">BV, </w:t>
      </w:r>
      <w:r w:rsidRPr="00F71031">
        <w:rPr>
          <w:rFonts w:cs="Times New Roman"/>
          <w:sz w:val="18"/>
          <w:szCs w:val="18"/>
          <w:lang w:val="de-CH"/>
        </w:rPr>
        <w:t>Rz. 1</w:t>
      </w:r>
      <w:r w:rsidR="00C53E2F">
        <w:rPr>
          <w:rFonts w:cs="Times New Roman"/>
          <w:sz w:val="18"/>
          <w:szCs w:val="18"/>
          <w:lang w:val="de-CH"/>
        </w:rPr>
        <w:t>7</w:t>
      </w:r>
      <w:r w:rsidRPr="00F71031">
        <w:rPr>
          <w:rFonts w:cs="Times New Roman"/>
          <w:sz w:val="18"/>
          <w:szCs w:val="18"/>
          <w:lang w:val="de-CH"/>
        </w:rPr>
        <w:t xml:space="preserve"> ff.; </w:t>
      </w:r>
      <w:r w:rsidR="003A3F73" w:rsidRPr="00F71031">
        <w:rPr>
          <w:rFonts w:cs="Times New Roman"/>
          <w:sz w:val="18"/>
          <w:szCs w:val="18"/>
          <w:lang w:val="de-CH"/>
        </w:rPr>
        <w:t>BSK BV-</w:t>
      </w:r>
      <w:r w:rsidRPr="00F71031">
        <w:rPr>
          <w:rFonts w:cs="Times New Roman"/>
          <w:smallCaps/>
          <w:sz w:val="18"/>
          <w:szCs w:val="18"/>
          <w:lang w:val="de-CH"/>
        </w:rPr>
        <w:t>Waldmann</w:t>
      </w:r>
      <w:r w:rsidRPr="00F71031">
        <w:rPr>
          <w:rFonts w:cs="Times New Roman"/>
          <w:sz w:val="18"/>
          <w:szCs w:val="18"/>
          <w:lang w:val="de-CH"/>
        </w:rPr>
        <w:t>, Art. 191</w:t>
      </w:r>
      <w:r w:rsidR="003A3F73" w:rsidRPr="00F71031">
        <w:rPr>
          <w:rFonts w:cs="Times New Roman"/>
          <w:i/>
          <w:iCs/>
          <w:sz w:val="18"/>
          <w:szCs w:val="18"/>
          <w:lang w:val="de-CH"/>
        </w:rPr>
        <w:t>b</w:t>
      </w:r>
      <w:r w:rsidRPr="00F71031">
        <w:rPr>
          <w:rFonts w:cs="Times New Roman"/>
          <w:sz w:val="18"/>
          <w:szCs w:val="18"/>
          <w:lang w:val="de-CH"/>
        </w:rPr>
        <w:t xml:space="preserve"> </w:t>
      </w:r>
      <w:r w:rsidR="003A3F73" w:rsidRPr="00F71031">
        <w:rPr>
          <w:rFonts w:cs="Times New Roman"/>
          <w:sz w:val="18"/>
          <w:szCs w:val="18"/>
          <w:lang w:val="de-CH"/>
        </w:rPr>
        <w:t>N</w:t>
      </w:r>
      <w:r w:rsidRPr="00F71031">
        <w:rPr>
          <w:rFonts w:cs="Times New Roman"/>
          <w:sz w:val="18"/>
          <w:szCs w:val="18"/>
          <w:lang w:val="de-CH"/>
        </w:rPr>
        <w:t> 8 ff.</w:t>
      </w:r>
    </w:p>
  </w:footnote>
  <w:footnote w:id="12">
    <w:p w14:paraId="44B64DED" w14:textId="5FA97F06"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 xml:space="preserve">Mit weiteren Nachweisen </w:t>
      </w:r>
      <w:r w:rsidRPr="00F71031">
        <w:rPr>
          <w:rFonts w:cs="Times New Roman"/>
          <w:smallCaps/>
          <w:sz w:val="18"/>
          <w:szCs w:val="18"/>
          <w:lang w:val="de-CH"/>
        </w:rPr>
        <w:t>Daniela Thurnherr</w:t>
      </w:r>
      <w:r w:rsidRPr="00F71031">
        <w:rPr>
          <w:rFonts w:cs="Times New Roman"/>
          <w:sz w:val="18"/>
          <w:szCs w:val="18"/>
          <w:lang w:val="de-CH"/>
        </w:rPr>
        <w:t>, Organisation der Verwaltungsjustiz: Herausforderungen und Perspektiven, ZSR 139 (2019) II, 101 ff., 166.</w:t>
      </w:r>
    </w:p>
  </w:footnote>
  <w:footnote w:id="13">
    <w:p w14:paraId="7358F097" w14:textId="4BF241D4"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mallCaps/>
          <w:sz w:val="18"/>
          <w:szCs w:val="18"/>
          <w:lang w:val="de-CH"/>
        </w:rPr>
        <w:t>Thurnherr</w:t>
      </w:r>
      <w:r w:rsidRPr="00F71031">
        <w:rPr>
          <w:rFonts w:cs="Times New Roman"/>
          <w:sz w:val="18"/>
          <w:szCs w:val="18"/>
          <w:lang w:val="de-CH"/>
        </w:rPr>
        <w:t xml:space="preserve"> (FN </w:t>
      </w:r>
      <w:r w:rsidRPr="00F71031">
        <w:rPr>
          <w:rFonts w:cs="Times New Roman"/>
          <w:sz w:val="18"/>
          <w:szCs w:val="18"/>
          <w:lang w:val="de-CH"/>
        </w:rPr>
        <w:fldChar w:fldCharType="begin"/>
      </w:r>
      <w:r w:rsidRPr="00F71031">
        <w:rPr>
          <w:rFonts w:cs="Times New Roman"/>
          <w:sz w:val="18"/>
          <w:szCs w:val="18"/>
          <w:lang w:val="de-CH"/>
        </w:rPr>
        <w:instrText xml:space="preserve"> NOTEREF _Ref41665182 \h </w:instrText>
      </w:r>
      <w:r w:rsidR="00F71031" w:rsidRPr="00F71031">
        <w:rPr>
          <w:rFonts w:cs="Times New Roman"/>
          <w:sz w:val="18"/>
          <w:szCs w:val="18"/>
          <w:lang w:val="de-CH"/>
        </w:rPr>
        <w:instrText xml:space="preserve"> \* MERGEFORMAT </w:instrText>
      </w:r>
      <w:r w:rsidRPr="00F71031">
        <w:rPr>
          <w:rFonts w:cs="Times New Roman"/>
          <w:sz w:val="18"/>
          <w:szCs w:val="18"/>
          <w:lang w:val="de-CH"/>
        </w:rPr>
      </w:r>
      <w:r w:rsidRPr="00F71031">
        <w:rPr>
          <w:rFonts w:cs="Times New Roman"/>
          <w:sz w:val="18"/>
          <w:szCs w:val="18"/>
          <w:lang w:val="de-CH"/>
        </w:rPr>
        <w:fldChar w:fldCharType="separate"/>
      </w:r>
      <w:r w:rsidR="00D2043F">
        <w:rPr>
          <w:rFonts w:cs="Times New Roman"/>
          <w:sz w:val="18"/>
          <w:szCs w:val="18"/>
          <w:lang w:val="de-CH"/>
        </w:rPr>
        <w:t>11</w:t>
      </w:r>
      <w:r w:rsidRPr="00F71031">
        <w:rPr>
          <w:rFonts w:cs="Times New Roman"/>
          <w:sz w:val="18"/>
          <w:szCs w:val="18"/>
          <w:lang w:val="de-CH"/>
        </w:rPr>
        <w:fldChar w:fldCharType="end"/>
      </w:r>
      <w:r w:rsidRPr="00F71031">
        <w:rPr>
          <w:rFonts w:cs="Times New Roman"/>
          <w:sz w:val="18"/>
          <w:szCs w:val="18"/>
          <w:lang w:val="de-CH"/>
        </w:rPr>
        <w:t>), 166.</w:t>
      </w:r>
    </w:p>
  </w:footnote>
  <w:footnote w:id="14">
    <w:p w14:paraId="433F87EA" w14:textId="5FB1A0C1"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Amtl. Bull. Ständerat, Sonderdruck Totalrevision BV1998 117.</w:t>
      </w:r>
    </w:p>
  </w:footnote>
  <w:footnote w:id="15">
    <w:p w14:paraId="3E63281B" w14:textId="1EEB492E" w:rsidR="00094F53" w:rsidRPr="00094F53" w:rsidRDefault="00094F53" w:rsidP="00094F53">
      <w:pPr>
        <w:pStyle w:val="Funotentext"/>
        <w:spacing w:after="60" w:line="240" w:lineRule="auto"/>
        <w:rPr>
          <w:sz w:val="18"/>
          <w:szCs w:val="18"/>
        </w:rPr>
      </w:pPr>
      <w:r>
        <w:rPr>
          <w:rStyle w:val="Funotenzeichen"/>
        </w:rPr>
        <w:footnoteRef/>
      </w:r>
      <w:r>
        <w:t xml:space="preserve"> </w:t>
      </w:r>
      <w:r w:rsidRPr="00094F53">
        <w:rPr>
          <w:sz w:val="18"/>
          <w:szCs w:val="18"/>
        </w:rPr>
        <w:t>Schweizerische Strafprozessordnung vom 5. Oktober 2007 (SR 312.0).</w:t>
      </w:r>
    </w:p>
  </w:footnote>
  <w:footnote w:id="16">
    <w:p w14:paraId="421F4BA3" w14:textId="1921953F" w:rsidR="00C748DA" w:rsidRPr="00C748DA" w:rsidRDefault="00C748DA" w:rsidP="00C13C6C">
      <w:pPr>
        <w:pStyle w:val="Funotentext"/>
        <w:spacing w:after="60" w:line="240" w:lineRule="auto"/>
      </w:pPr>
      <w:r>
        <w:rPr>
          <w:rStyle w:val="Funotenzeichen"/>
        </w:rPr>
        <w:footnoteRef/>
      </w:r>
      <w:r>
        <w:t xml:space="preserve"> </w:t>
      </w:r>
      <w:r>
        <w:rPr>
          <w:rFonts w:cs="Times New Roman"/>
          <w:sz w:val="18"/>
          <w:szCs w:val="18"/>
          <w:lang w:val="de-CH"/>
        </w:rPr>
        <w:t xml:space="preserve">Vgl. </w:t>
      </w:r>
      <w:r w:rsidRPr="00F71031">
        <w:rPr>
          <w:rFonts w:cs="Times New Roman"/>
          <w:sz w:val="18"/>
          <w:szCs w:val="18"/>
          <w:lang w:val="de-CH"/>
        </w:rPr>
        <w:t xml:space="preserve">BGE </w:t>
      </w:r>
      <w:r w:rsidRPr="00F71031">
        <w:rPr>
          <w:rFonts w:cs="Times New Roman"/>
          <w:color w:val="000000"/>
          <w:sz w:val="18"/>
          <w:szCs w:val="18"/>
          <w:shd w:val="clear" w:color="auto" w:fill="FFFFFF"/>
        </w:rPr>
        <w:t>141 IV 178 E. 3.2.2 S. 178 f.</w:t>
      </w:r>
    </w:p>
  </w:footnote>
  <w:footnote w:id="17">
    <w:p w14:paraId="39BC19FA" w14:textId="143617E6" w:rsidR="00AA3929" w:rsidRPr="00AA3929" w:rsidRDefault="00AA3929" w:rsidP="00C13C6C">
      <w:pPr>
        <w:pStyle w:val="Funotentext"/>
        <w:spacing w:after="60" w:line="240" w:lineRule="auto"/>
        <w:rPr>
          <w:sz w:val="18"/>
          <w:szCs w:val="18"/>
        </w:rPr>
      </w:pPr>
      <w:r>
        <w:rPr>
          <w:rStyle w:val="Funotenzeichen"/>
        </w:rPr>
        <w:footnoteRef/>
      </w:r>
      <w:r>
        <w:t xml:space="preserve"> </w:t>
      </w:r>
      <w:r w:rsidRPr="00AA3929">
        <w:rPr>
          <w:sz w:val="18"/>
          <w:szCs w:val="18"/>
        </w:rPr>
        <w:t xml:space="preserve">Begriffsprägend </w:t>
      </w:r>
      <w:r w:rsidRPr="00AA3929">
        <w:rPr>
          <w:smallCaps/>
          <w:sz w:val="18"/>
          <w:szCs w:val="18"/>
        </w:rPr>
        <w:t>Alfred Kölz</w:t>
      </w:r>
      <w:r w:rsidRPr="00AA3929">
        <w:rPr>
          <w:sz w:val="18"/>
          <w:szCs w:val="18"/>
        </w:rPr>
        <w:t>, Die kantonale Volksinitiative in der Rechtsprechung des Bundesgerichts, ZBl</w:t>
      </w:r>
      <w:r w:rsidR="000A4796">
        <w:rPr>
          <w:sz w:val="18"/>
          <w:szCs w:val="18"/>
        </w:rPr>
        <w:t xml:space="preserve"> </w:t>
      </w:r>
      <w:r w:rsidRPr="00AA3929">
        <w:rPr>
          <w:sz w:val="18"/>
          <w:szCs w:val="18"/>
        </w:rPr>
        <w:t>1982, 1 ff., 47.</w:t>
      </w:r>
    </w:p>
  </w:footnote>
  <w:footnote w:id="18">
    <w:p w14:paraId="6D830902" w14:textId="600436A1"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Vgl. Art. 38 Abs. 1 Bst. c KV ZH (hierzu BGE 134 I 125 E. 3.2 S. 132 f</w:t>
      </w:r>
      <w:r w:rsidRPr="00F71031">
        <w:rPr>
          <w:rFonts w:cs="Times New Roman"/>
          <w:color w:val="000000"/>
          <w:sz w:val="18"/>
          <w:szCs w:val="18"/>
          <w:shd w:val="clear" w:color="auto" w:fill="FFFFFF"/>
        </w:rPr>
        <w:t>.)</w:t>
      </w:r>
      <w:r w:rsidRPr="00F71031">
        <w:rPr>
          <w:rFonts w:cs="Times New Roman"/>
          <w:sz w:val="18"/>
          <w:szCs w:val="18"/>
          <w:lang w:val="de-CH"/>
        </w:rPr>
        <w:t xml:space="preserve">; Art. 69 Abs. 4 Bst. d KV BE; § 45 Abs. 2 Bst. d KV LU; § 50 Bst. b KV SZ; Art. 60 KV OW; Art. 60 Abs. 1 Ziff. 2 KV NW; Art. 102 Abs. 2 KV GL; Art. 86 Bst. a KV SO; § 81 Abs. 1 Bst. a KV BL; Art. 50 Bst. f. KV SH; Art. 69 Bst. d KV AR; Art. 67 Bst. a KV SG; Art. 31 Abs. 2 Ziff. 5 KV GR; § 78 Abs. 1 und 94 Abs. 1 KV AG; § 36 Abs. 1 KV TG. Abweichend hingegen Art. 29 Abs. 1 KV AI (Verwaltungsorganisation als Kompetenz des Grossen Rates, nicht der Landsgemeinde). </w:t>
      </w:r>
      <w:r w:rsidR="00094F53">
        <w:rPr>
          <w:rFonts w:cs="Times New Roman"/>
          <w:sz w:val="18"/>
          <w:szCs w:val="18"/>
          <w:lang w:val="de-CH"/>
        </w:rPr>
        <w:t>Auf Einzelnachweise für die Kantonsverfassungen</w:t>
      </w:r>
      <w:r w:rsidR="00A41AC2">
        <w:rPr>
          <w:rFonts w:cs="Times New Roman"/>
          <w:sz w:val="18"/>
          <w:szCs w:val="18"/>
          <w:lang w:val="de-CH"/>
        </w:rPr>
        <w:t xml:space="preserve"> (KV)</w:t>
      </w:r>
      <w:r w:rsidR="00094F53">
        <w:rPr>
          <w:rFonts w:cs="Times New Roman"/>
          <w:sz w:val="18"/>
          <w:szCs w:val="18"/>
          <w:lang w:val="de-CH"/>
        </w:rPr>
        <w:t xml:space="preserve"> wird hier verzichtet (vgl. ihre Publikation in SR 131.211-131.235). </w:t>
      </w:r>
      <w:r w:rsidRPr="00F71031">
        <w:rPr>
          <w:rFonts w:cs="Times New Roman"/>
          <w:sz w:val="18"/>
          <w:szCs w:val="18"/>
          <w:lang w:val="de-CH"/>
        </w:rPr>
        <w:t xml:space="preserve">Vgl. auch </w:t>
      </w:r>
      <w:r w:rsidRPr="00F71031">
        <w:rPr>
          <w:rFonts w:cs="Times New Roman"/>
          <w:smallCaps/>
          <w:sz w:val="18"/>
          <w:szCs w:val="18"/>
          <w:lang w:val="de-CH"/>
        </w:rPr>
        <w:t>Andreas Auer</w:t>
      </w:r>
      <w:r w:rsidRPr="00F71031">
        <w:rPr>
          <w:rFonts w:cs="Times New Roman"/>
          <w:sz w:val="18"/>
          <w:szCs w:val="18"/>
          <w:lang w:val="de-CH"/>
        </w:rPr>
        <w:t>, Staatsrecht der schweizerischen Kantone, Bern 2016, Rz. 654, 667 ff.</w:t>
      </w:r>
    </w:p>
  </w:footnote>
  <w:footnote w:id="19">
    <w:p w14:paraId="7B2251B6" w14:textId="25736514"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Art. 103 Abs. 1 KV UR; Art. 112 Abs. 1 KV GL; § 48 KV ZG; Art. 87 Abs. 2 KV SO; § 117 Abs. 2 KV BS; § 87 Abs. 1 KV BL; Art. 72 Abs. 1 KV SH; Art. 94 Abs. 1 Bst. e KV AR; Art. 40 Abs. 3 und Art. 45 Abs. 1 KV AI; Art. 77 Abs. 2 KV SG; § 97 Abs. 1 KV AG; § 51 Abs. 2 KV TG; Art. 80 KV TI; Art. 127 Abs. 1 KV VD; Art.</w:t>
      </w:r>
      <w:r w:rsidRPr="00F71031">
        <w:rPr>
          <w:rFonts w:cs="Times New Roman"/>
          <w:sz w:val="18"/>
          <w:szCs w:val="18"/>
        </w:rPr>
        <w:t xml:space="preserve">83 Abs. 1 KV NE; Art. 107 KV JU; </w:t>
      </w:r>
      <w:r w:rsidRPr="00F71031">
        <w:rPr>
          <w:rFonts w:cs="Times New Roman"/>
          <w:sz w:val="18"/>
          <w:szCs w:val="18"/>
          <w:lang w:val="de-CH"/>
        </w:rPr>
        <w:t>BGE 134 I 125 E. 3.2 S. 132 f</w:t>
      </w:r>
      <w:r w:rsidRPr="00F71031">
        <w:rPr>
          <w:rFonts w:cs="Times New Roman"/>
          <w:color w:val="000000"/>
          <w:sz w:val="18"/>
          <w:szCs w:val="18"/>
          <w:shd w:val="clear" w:color="auto" w:fill="FFFFFF"/>
        </w:rPr>
        <w:t>.</w:t>
      </w:r>
      <w:r w:rsidRPr="00F71031">
        <w:rPr>
          <w:rFonts w:cs="Times New Roman"/>
          <w:sz w:val="18"/>
          <w:szCs w:val="18"/>
        </w:rPr>
        <w:t xml:space="preserve"> </w:t>
      </w:r>
      <w:r w:rsidRPr="00F71031">
        <w:rPr>
          <w:rFonts w:cs="Times New Roman"/>
          <w:sz w:val="18"/>
          <w:szCs w:val="18"/>
          <w:lang w:val="de-CH"/>
        </w:rPr>
        <w:t>(</w:t>
      </w:r>
      <w:r w:rsidRPr="00F71031">
        <w:rPr>
          <w:rFonts w:cs="Times New Roman"/>
          <w:color w:val="000000"/>
          <w:sz w:val="18"/>
          <w:szCs w:val="18"/>
          <w:shd w:val="clear" w:color="auto" w:fill="FFFFFF"/>
        </w:rPr>
        <w:t>Der Zürcher Regierungsrat ist nicht befugt, die gerichtliche Zuständigkeitsordnung zur richterlichen Überprüfung von Massnahmen gemäss BWIS in Abweichung von der allgemeinen Gerichtsorganisation durch eine blosse Verordnung festzulegen).</w:t>
      </w:r>
    </w:p>
  </w:footnote>
  <w:footnote w:id="20">
    <w:p w14:paraId="1F17AE8D" w14:textId="144CA478" w:rsidR="001E2D9F" w:rsidRPr="00F71031" w:rsidRDefault="001E2D9F"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lang w:val="de-CH"/>
        </w:rPr>
        <w:t xml:space="preserve"> Die Staatsanwaltschaften müssen im Regelfall nicht den erhöhten Anforderungen an eine unabhängige Justiz gemäss Art. 30 BV genügen, sondern lediglich den Anforderungen an ein faires Verfahren gemäss Art. 29 Abs. 1 BV </w:t>
      </w:r>
      <w:r w:rsidR="00C53E2F">
        <w:rPr>
          <w:rFonts w:cs="Times New Roman"/>
          <w:sz w:val="18"/>
          <w:szCs w:val="18"/>
          <w:lang w:val="de-CH"/>
        </w:rPr>
        <w:t>entsprechen</w:t>
      </w:r>
      <w:r w:rsidRPr="00F71031">
        <w:rPr>
          <w:rFonts w:cs="Times New Roman"/>
          <w:sz w:val="18"/>
          <w:szCs w:val="18"/>
          <w:lang w:val="de-CH"/>
        </w:rPr>
        <w:t xml:space="preserve">: BGE </w:t>
      </w:r>
      <w:r w:rsidRPr="00F71031">
        <w:rPr>
          <w:rFonts w:cs="Times New Roman"/>
          <w:color w:val="000000"/>
          <w:sz w:val="18"/>
          <w:szCs w:val="18"/>
          <w:shd w:val="clear" w:color="auto" w:fill="FFFFFF"/>
        </w:rPr>
        <w:t>141 IV 178 E. 3.2.2 S.</w:t>
      </w:r>
      <w:r w:rsidR="001E79E0" w:rsidRPr="00F71031">
        <w:rPr>
          <w:rFonts w:cs="Times New Roman"/>
          <w:color w:val="000000"/>
          <w:sz w:val="18"/>
          <w:szCs w:val="18"/>
          <w:shd w:val="clear" w:color="auto" w:fill="FFFFFF"/>
        </w:rPr>
        <w:t> </w:t>
      </w:r>
      <w:r w:rsidRPr="00F71031">
        <w:rPr>
          <w:rFonts w:cs="Times New Roman"/>
          <w:color w:val="000000"/>
          <w:sz w:val="18"/>
          <w:szCs w:val="18"/>
          <w:shd w:val="clear" w:color="auto" w:fill="FFFFFF"/>
        </w:rPr>
        <w:t>178 f.</w:t>
      </w:r>
    </w:p>
  </w:footnote>
  <w:footnote w:id="21">
    <w:p w14:paraId="533A7DB1" w14:textId="2C4A0502" w:rsidR="00EB50CA" w:rsidRPr="00F71031" w:rsidRDefault="00EB50CA" w:rsidP="00F71031">
      <w:pPr>
        <w:pStyle w:val="Funotentext"/>
        <w:spacing w:after="60" w:line="240" w:lineRule="auto"/>
        <w:rPr>
          <w:rFonts w:cs="Times New Roman"/>
          <w:sz w:val="18"/>
          <w:szCs w:val="18"/>
          <w:lang w:val="fr-CH"/>
        </w:rPr>
      </w:pPr>
      <w:r w:rsidRPr="00F71031">
        <w:rPr>
          <w:rStyle w:val="Funotenzeichen"/>
          <w:rFonts w:cs="Times New Roman"/>
          <w:sz w:val="18"/>
          <w:szCs w:val="18"/>
        </w:rPr>
        <w:footnoteRef/>
      </w:r>
      <w:r w:rsidRPr="00F71031">
        <w:rPr>
          <w:rFonts w:cs="Times New Roman"/>
          <w:sz w:val="18"/>
          <w:szCs w:val="18"/>
          <w:lang w:val="fr-CH"/>
        </w:rPr>
        <w:t xml:space="preserve"> Art. 125</w:t>
      </w:r>
      <w:r w:rsidRPr="00F71031">
        <w:rPr>
          <w:rFonts w:cs="Times New Roman"/>
          <w:i/>
          <w:sz w:val="18"/>
          <w:szCs w:val="18"/>
          <w:lang w:val="fr-CH"/>
        </w:rPr>
        <w:t>a</w:t>
      </w:r>
      <w:r w:rsidRPr="00F71031">
        <w:rPr>
          <w:rFonts w:cs="Times New Roman"/>
          <w:sz w:val="18"/>
          <w:szCs w:val="18"/>
          <w:lang w:val="fr-CH"/>
        </w:rPr>
        <w:t xml:space="preserve"> KV VD: «</w:t>
      </w:r>
      <w:r w:rsidRPr="00F71031">
        <w:rPr>
          <w:rFonts w:cs="Times New Roman"/>
          <w:sz w:val="18"/>
          <w:szCs w:val="18"/>
          <w:shd w:val="clear" w:color="auto" w:fill="FFFFFF"/>
          <w:lang w:val="fr-CH"/>
        </w:rPr>
        <w:t>La loi régit son organisation, son fonctionnement et ses compétences.»</w:t>
      </w:r>
    </w:p>
  </w:footnote>
  <w:footnote w:id="22">
    <w:p w14:paraId="0B5E24F5" w14:textId="13B5B5FC"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lang w:val="de-CH"/>
        </w:rPr>
        <w:t xml:space="preserve"> Art. 33 Abs. 1 Bst. a KV ZH; Art. 62 Abs. 1 Bst. b KV BE; § 48 Abs. 1 KV LU; Art. 25 Abs. 2 Bst. b i.V.m. Art. 93 Bst. a KV UR; § 35 Abs. 1 Bst. a KV SZ; Art. 52</w:t>
      </w:r>
      <w:r w:rsidRPr="00F71031">
        <w:rPr>
          <w:rFonts w:cs="Times New Roman"/>
          <w:i/>
          <w:sz w:val="18"/>
          <w:szCs w:val="18"/>
          <w:lang w:val="de-CH"/>
        </w:rPr>
        <w:t>a</w:t>
      </w:r>
      <w:r w:rsidRPr="00F71031">
        <w:rPr>
          <w:rFonts w:cs="Times New Roman"/>
          <w:sz w:val="18"/>
          <w:szCs w:val="18"/>
          <w:lang w:val="de-CH"/>
        </w:rPr>
        <w:t xml:space="preserve"> Abs. 1 Ziff. 1 i.V.m. Art. 60 Abs. 2 KV NW; Art. 69 Abs. 2 Bst. a KV GL; § 34 Abs. 1 i.V.m. § 41 Bst. i KV ZG; Art. 13 Abs. 3 des Gesetzes über die interkantonalen Verträge des Kantons Freiburg vom 11.09.2009 (</w:t>
      </w:r>
      <w:r w:rsidR="00CF35CC">
        <w:rPr>
          <w:rFonts w:cs="Times New Roman"/>
          <w:sz w:val="18"/>
          <w:szCs w:val="18"/>
          <w:lang w:val="de-CH"/>
        </w:rPr>
        <w:t>Systematische Gesetzessammlung Freiburg</w:t>
      </w:r>
      <w:r w:rsidRPr="00F71031">
        <w:rPr>
          <w:rFonts w:cs="Times New Roman"/>
          <w:sz w:val="18"/>
          <w:szCs w:val="18"/>
          <w:lang w:val="de-CH"/>
        </w:rPr>
        <w:t xml:space="preserve"> 121.3); Art. 36 Abs. 1 Bst. b KV SO; § 52 Abs. 1 Bst. c KV BS; § 30 Bst. b KV KV BL; Art. 33 Abs. 1 Bst. b KV SH; Art. 60bis Bst. b KV AR; Art. 49 Abs. 1 Bst. b KV SG; Art. 17 Abs. 1 Ziff. 2 KV GR; § 63 Abs. 1 Bst. c KV AG; § 22 KV TG; Art. 42 Bst. c KV TI; Art. 84 Abs. 1 Bst. b KV VD; Art. 31 Abs. 1 Bst. b KV VS; Art. 42 Abs. 3 Bst. e KV NE; Art. 93 Abs. 1 KV GE; Art. 78 Bst. c KV NE; BGE 137 I 31 E. 6.3 S. 45 f. (Das </w:t>
      </w:r>
      <w:r w:rsidRPr="00F71031">
        <w:rPr>
          <w:rFonts w:cs="Times New Roman"/>
          <w:color w:val="000000"/>
          <w:sz w:val="18"/>
          <w:szCs w:val="18"/>
          <w:shd w:val="clear" w:color="auto" w:fill="FFFFFF"/>
        </w:rPr>
        <w:t>Konkordat über Massnahmen gegen Gewalt anlässlich von Sportveranstaltungen genügt im Kanton Zürich als formellgesetzliche Grundlage, da es dem fakultativen Referendum unterstand</w:t>
      </w:r>
      <w:r w:rsidRPr="00F71031">
        <w:rPr>
          <w:rFonts w:cs="Times New Roman"/>
          <w:sz w:val="18"/>
          <w:szCs w:val="18"/>
          <w:lang w:val="de-CH"/>
        </w:rPr>
        <w:t xml:space="preserve">). Lediglich eine Genehmigung durch das Parlament vorsehend hingegen Art. 70 Ziff. 13 KV OW und Art. 27 Abs. 3 KV AI. Vgl. auch </w:t>
      </w:r>
      <w:r w:rsidRPr="00F71031">
        <w:rPr>
          <w:rFonts w:cs="Times New Roman"/>
          <w:smallCaps/>
          <w:sz w:val="18"/>
          <w:szCs w:val="18"/>
          <w:lang w:val="de-CH"/>
        </w:rPr>
        <w:t>Auer</w:t>
      </w:r>
      <w:r w:rsidR="002F716E" w:rsidRPr="00F71031">
        <w:rPr>
          <w:rFonts w:cs="Times New Roman"/>
          <w:smallCaps/>
          <w:sz w:val="18"/>
          <w:szCs w:val="18"/>
          <w:lang w:val="de-CH"/>
        </w:rPr>
        <w:t xml:space="preserve"> (FN </w:t>
      </w:r>
      <w:r w:rsidR="002F716E" w:rsidRPr="00F71031">
        <w:rPr>
          <w:rFonts w:cs="Times New Roman"/>
          <w:smallCaps/>
          <w:sz w:val="18"/>
          <w:szCs w:val="18"/>
          <w:lang w:val="de-CH"/>
        </w:rPr>
        <w:fldChar w:fldCharType="begin"/>
      </w:r>
      <w:r w:rsidR="002F716E" w:rsidRPr="00F71031">
        <w:rPr>
          <w:rFonts w:cs="Times New Roman"/>
          <w:smallCaps/>
          <w:sz w:val="18"/>
          <w:szCs w:val="18"/>
          <w:lang w:val="de-CH"/>
        </w:rPr>
        <w:instrText xml:space="preserve"> NOTEREF _Ref41925176 \h </w:instrText>
      </w:r>
      <w:r w:rsidR="00F71031" w:rsidRPr="00F71031">
        <w:rPr>
          <w:rFonts w:cs="Times New Roman"/>
          <w:smallCaps/>
          <w:sz w:val="18"/>
          <w:szCs w:val="18"/>
          <w:lang w:val="de-CH"/>
        </w:rPr>
        <w:instrText xml:space="preserve"> \* MERGEFORMAT </w:instrText>
      </w:r>
      <w:r w:rsidR="002F716E" w:rsidRPr="00F71031">
        <w:rPr>
          <w:rFonts w:cs="Times New Roman"/>
          <w:smallCaps/>
          <w:sz w:val="18"/>
          <w:szCs w:val="18"/>
          <w:lang w:val="de-CH"/>
        </w:rPr>
      </w:r>
      <w:r w:rsidR="002F716E" w:rsidRPr="00F71031">
        <w:rPr>
          <w:rFonts w:cs="Times New Roman"/>
          <w:smallCaps/>
          <w:sz w:val="18"/>
          <w:szCs w:val="18"/>
          <w:lang w:val="de-CH"/>
        </w:rPr>
        <w:fldChar w:fldCharType="separate"/>
      </w:r>
      <w:r w:rsidR="00D2043F">
        <w:rPr>
          <w:rFonts w:cs="Times New Roman"/>
          <w:smallCaps/>
          <w:sz w:val="18"/>
          <w:szCs w:val="18"/>
          <w:lang w:val="de-CH"/>
        </w:rPr>
        <w:t>16</w:t>
      </w:r>
      <w:r w:rsidR="002F716E" w:rsidRPr="00F71031">
        <w:rPr>
          <w:rFonts w:cs="Times New Roman"/>
          <w:smallCaps/>
          <w:sz w:val="18"/>
          <w:szCs w:val="18"/>
          <w:lang w:val="de-CH"/>
        </w:rPr>
        <w:fldChar w:fldCharType="end"/>
      </w:r>
      <w:r w:rsidR="002F716E" w:rsidRPr="00F71031">
        <w:rPr>
          <w:rFonts w:cs="Times New Roman"/>
          <w:smallCaps/>
          <w:sz w:val="18"/>
          <w:szCs w:val="18"/>
          <w:lang w:val="de-CH"/>
        </w:rPr>
        <w:t>)</w:t>
      </w:r>
      <w:r w:rsidRPr="00F71031">
        <w:rPr>
          <w:rFonts w:cs="Times New Roman"/>
          <w:sz w:val="18"/>
          <w:szCs w:val="18"/>
          <w:lang w:val="de-CH"/>
        </w:rPr>
        <w:t>, Rz. 853 ff.</w:t>
      </w:r>
    </w:p>
  </w:footnote>
  <w:footnote w:id="23">
    <w:p w14:paraId="2BE56FB1" w14:textId="3313CD4F"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Art. 69 Abs. 2 Bst. c KV OW; Art. 88 Abs. 2 KV GL; Art. 103 Abs. 1 Bst. e KV FR; Art. 75 Abs. 1 Bst. c und d KV SO; Art. 36 Abs. 1 Bst. c KV TI; Art. 84 Bst. a KV JU.</w:t>
      </w:r>
    </w:p>
  </w:footnote>
  <w:footnote w:id="24">
    <w:p w14:paraId="22A586A7" w14:textId="1C531409"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 54 Abs. 1 Bst. d KV SZ; § 38 Abs. 2 KV TG; Art. 106 Abs. 1 Bst. e KV VD; Art. 39 Abs. 2 KV VS.</w:t>
      </w:r>
    </w:p>
  </w:footnote>
  <w:footnote w:id="25">
    <w:p w14:paraId="5683E7F9" w14:textId="1CDE68D4"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Art. 82 Abs. 2 KV AR (Aufsicht durch die Regierung); Art. 65a Abs. 2 KV VS (Aufsicht durch den Justizrat).</w:t>
      </w:r>
    </w:p>
  </w:footnote>
  <w:footnote w:id="26">
    <w:p w14:paraId="6D977E12" w14:textId="3BD54A38"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Art. 125</w:t>
      </w:r>
      <w:r w:rsidRPr="00F71031">
        <w:rPr>
          <w:rFonts w:cs="Times New Roman"/>
          <w:i/>
          <w:sz w:val="18"/>
          <w:szCs w:val="18"/>
          <w:lang w:val="de-CH"/>
        </w:rPr>
        <w:t>a</w:t>
      </w:r>
      <w:r w:rsidRPr="00F71031">
        <w:rPr>
          <w:rFonts w:cs="Times New Roman"/>
          <w:sz w:val="18"/>
          <w:szCs w:val="18"/>
          <w:lang w:val="de-CH"/>
        </w:rPr>
        <w:t xml:space="preserve"> KV VD.</w:t>
      </w:r>
    </w:p>
  </w:footnote>
  <w:footnote w:id="27">
    <w:p w14:paraId="5D66DFB6" w14:textId="2864198D" w:rsidR="00EB50CA" w:rsidRPr="00F71031" w:rsidRDefault="00EB50CA" w:rsidP="00F71031">
      <w:pPr>
        <w:pStyle w:val="Funotentext"/>
        <w:spacing w:after="60" w:line="240" w:lineRule="auto"/>
        <w:rPr>
          <w:rFonts w:cs="Times New Roman"/>
          <w:sz w:val="18"/>
          <w:szCs w:val="18"/>
        </w:rPr>
      </w:pPr>
      <w:r w:rsidRPr="00F71031">
        <w:rPr>
          <w:rStyle w:val="Funotenzeichen"/>
          <w:rFonts w:cs="Times New Roman"/>
          <w:sz w:val="18"/>
          <w:szCs w:val="18"/>
        </w:rPr>
        <w:footnoteRef/>
      </w:r>
      <w:r w:rsidRPr="00F71031">
        <w:rPr>
          <w:rFonts w:cs="Times New Roman"/>
          <w:sz w:val="18"/>
          <w:szCs w:val="18"/>
        </w:rPr>
        <w:t xml:space="preserve"> So etwa die (geplante) Interkantonale Geldspielaufsicht (GESPA), die Strafanstalt Bostadel oder die Interkantonale Polizeischule Hitzkirch.</w:t>
      </w:r>
    </w:p>
  </w:footnote>
  <w:footnote w:id="28">
    <w:p w14:paraId="176682BA" w14:textId="1BA949F1" w:rsidR="00EB50CA" w:rsidRPr="00F71031" w:rsidRDefault="00EB50CA" w:rsidP="00F71031">
      <w:pPr>
        <w:pStyle w:val="Funotentext"/>
        <w:spacing w:after="60" w:line="240" w:lineRule="auto"/>
        <w:rPr>
          <w:rFonts w:cs="Times New Roman"/>
          <w:sz w:val="18"/>
          <w:szCs w:val="18"/>
        </w:rPr>
      </w:pPr>
      <w:r w:rsidRPr="00F71031">
        <w:rPr>
          <w:rStyle w:val="Funotenzeichen"/>
          <w:rFonts w:cs="Times New Roman"/>
          <w:sz w:val="18"/>
          <w:szCs w:val="18"/>
        </w:rPr>
        <w:footnoteRef/>
      </w:r>
      <w:r w:rsidRPr="00F71031">
        <w:rPr>
          <w:rFonts w:cs="Times New Roman"/>
          <w:sz w:val="18"/>
          <w:szCs w:val="18"/>
        </w:rPr>
        <w:t xml:space="preserve"> So die Evangelisch-Reformierte Kirche beider Appenzell. </w:t>
      </w:r>
      <w:r w:rsidR="00C53E2F">
        <w:rPr>
          <w:rFonts w:cs="Times New Roman"/>
          <w:sz w:val="18"/>
          <w:szCs w:val="18"/>
        </w:rPr>
        <w:t>Auch d</w:t>
      </w:r>
      <w:r w:rsidRPr="00F71031">
        <w:rPr>
          <w:rFonts w:cs="Times New Roman"/>
          <w:sz w:val="18"/>
          <w:szCs w:val="18"/>
        </w:rPr>
        <w:t xml:space="preserve">ie frühere Interkantonale Vereinigung für die Kontrolle der Heilmittel war als interkantonale Körperschaft ausgestaltet. </w:t>
      </w:r>
    </w:p>
  </w:footnote>
  <w:footnote w:id="29">
    <w:p w14:paraId="5BC9FE9F" w14:textId="31683E91" w:rsidR="00EB50CA" w:rsidRPr="00F71031" w:rsidRDefault="00EB50CA" w:rsidP="00F71031">
      <w:pPr>
        <w:pStyle w:val="Funotentext"/>
        <w:spacing w:after="60" w:line="240" w:lineRule="auto"/>
        <w:rPr>
          <w:rFonts w:cs="Times New Roman"/>
          <w:sz w:val="18"/>
          <w:szCs w:val="18"/>
        </w:rPr>
      </w:pPr>
      <w:r w:rsidRPr="00F71031">
        <w:rPr>
          <w:rStyle w:val="Funotenzeichen"/>
          <w:rFonts w:cs="Times New Roman"/>
          <w:sz w:val="18"/>
          <w:szCs w:val="18"/>
        </w:rPr>
        <w:footnoteRef/>
      </w:r>
      <w:r w:rsidRPr="00F71031">
        <w:rPr>
          <w:rFonts w:cs="Times New Roman"/>
          <w:sz w:val="18"/>
          <w:szCs w:val="18"/>
        </w:rPr>
        <w:t xml:space="preserve"> So die Fondation romande de détention LMC (= Loi fédérale sur les mesures de contrainte en matière de droit des étrangers; vgl. heute Art. 73 ff. Bundesgesetz über die Ausländerinnen und Ausländer</w:t>
      </w:r>
      <w:r w:rsidR="00BB03CF" w:rsidRPr="00F71031">
        <w:rPr>
          <w:rFonts w:cs="Times New Roman"/>
          <w:sz w:val="18"/>
          <w:szCs w:val="18"/>
        </w:rPr>
        <w:t xml:space="preserve"> und über die Integration</w:t>
      </w:r>
      <w:r w:rsidRPr="00F71031">
        <w:rPr>
          <w:rFonts w:cs="Times New Roman"/>
          <w:sz w:val="18"/>
          <w:szCs w:val="18"/>
        </w:rPr>
        <w:t xml:space="preserve"> vom 16. Dezember 2005 [AIG], SR 142.20).</w:t>
      </w:r>
    </w:p>
  </w:footnote>
  <w:footnote w:id="30">
    <w:p w14:paraId="7656DDDF" w14:textId="313F39CE" w:rsidR="00EB50CA" w:rsidRPr="00F71031" w:rsidRDefault="00EB50CA" w:rsidP="00F71031">
      <w:pPr>
        <w:pStyle w:val="Funotentext"/>
        <w:spacing w:after="60" w:line="240" w:lineRule="auto"/>
        <w:rPr>
          <w:rFonts w:cs="Times New Roman"/>
          <w:sz w:val="18"/>
          <w:szCs w:val="18"/>
        </w:rPr>
      </w:pPr>
      <w:r w:rsidRPr="00F71031">
        <w:rPr>
          <w:rStyle w:val="Funotenzeichen"/>
          <w:rFonts w:cs="Times New Roman"/>
          <w:sz w:val="18"/>
          <w:szCs w:val="18"/>
        </w:rPr>
        <w:footnoteRef/>
      </w:r>
      <w:r w:rsidRPr="00F71031">
        <w:rPr>
          <w:rFonts w:cs="Times New Roman"/>
          <w:sz w:val="18"/>
          <w:szCs w:val="18"/>
        </w:rPr>
        <w:t xml:space="preserve"> So die Konferenz der Kantonalen Justiz- und Polizeidirektorinnen und -direktoren (KKJPD), die Schweizerische Staatsanwälte-Konferenz (SSK) oder der Verein der Kantonalen Polizeikommandanten der Schweiz (KKPKS).</w:t>
      </w:r>
    </w:p>
  </w:footnote>
  <w:footnote w:id="31">
    <w:p w14:paraId="50220229" w14:textId="6C282726" w:rsidR="00EB50CA" w:rsidRPr="00F71031" w:rsidRDefault="00EB50CA" w:rsidP="00F71031">
      <w:pPr>
        <w:pStyle w:val="Funotentext"/>
        <w:spacing w:after="60" w:line="240" w:lineRule="auto"/>
        <w:rPr>
          <w:rFonts w:cs="Times New Roman"/>
          <w:sz w:val="18"/>
          <w:szCs w:val="18"/>
        </w:rPr>
      </w:pPr>
      <w:r w:rsidRPr="00F71031">
        <w:rPr>
          <w:rStyle w:val="Funotenzeichen"/>
          <w:rFonts w:cs="Times New Roman"/>
          <w:sz w:val="18"/>
          <w:szCs w:val="18"/>
        </w:rPr>
        <w:footnoteRef/>
      </w:r>
      <w:r w:rsidRPr="00F71031">
        <w:rPr>
          <w:rFonts w:cs="Times New Roman"/>
          <w:sz w:val="18"/>
          <w:szCs w:val="18"/>
        </w:rPr>
        <w:t xml:space="preserve"> So das Schweizerische Kompetenzzentrum für den Justizvollzug (SKJV).</w:t>
      </w:r>
    </w:p>
  </w:footnote>
  <w:footnote w:id="32">
    <w:p w14:paraId="530EFA2E" w14:textId="200E1ABE" w:rsidR="00EB50CA" w:rsidRPr="00F71031" w:rsidRDefault="00EB50CA" w:rsidP="00F71031">
      <w:pPr>
        <w:pStyle w:val="Funotentext"/>
        <w:spacing w:after="60" w:line="240" w:lineRule="auto"/>
        <w:rPr>
          <w:rFonts w:cs="Times New Roman"/>
          <w:sz w:val="18"/>
          <w:szCs w:val="18"/>
        </w:rPr>
      </w:pPr>
      <w:r w:rsidRPr="00F71031">
        <w:rPr>
          <w:rStyle w:val="Funotenzeichen"/>
          <w:rFonts w:cs="Times New Roman"/>
          <w:sz w:val="18"/>
          <w:szCs w:val="18"/>
        </w:rPr>
        <w:footnoteRef/>
      </w:r>
      <w:r w:rsidRPr="00F71031">
        <w:rPr>
          <w:rFonts w:cs="Times New Roman"/>
          <w:sz w:val="18"/>
          <w:szCs w:val="18"/>
        </w:rPr>
        <w:t xml:space="preserve"> So die Swisslos (Interkantonale Landeslotterie).</w:t>
      </w:r>
    </w:p>
  </w:footnote>
  <w:footnote w:id="33">
    <w:p w14:paraId="4D37B32C" w14:textId="2B188142" w:rsidR="00EB50CA" w:rsidRPr="00F71031" w:rsidRDefault="00EB50CA" w:rsidP="00F71031">
      <w:pPr>
        <w:pStyle w:val="Funotentext"/>
        <w:spacing w:after="60" w:line="240" w:lineRule="auto"/>
        <w:rPr>
          <w:rFonts w:cs="Times New Roman"/>
          <w:sz w:val="18"/>
          <w:szCs w:val="18"/>
        </w:rPr>
      </w:pPr>
      <w:r w:rsidRPr="00F71031">
        <w:rPr>
          <w:rStyle w:val="Funotenzeichen"/>
          <w:rFonts w:cs="Times New Roman"/>
          <w:sz w:val="18"/>
          <w:szCs w:val="18"/>
        </w:rPr>
        <w:footnoteRef/>
      </w:r>
      <w:r w:rsidRPr="00F71031">
        <w:rPr>
          <w:rFonts w:cs="Times New Roman"/>
          <w:sz w:val="18"/>
          <w:szCs w:val="18"/>
        </w:rPr>
        <w:t xml:space="preserve"> Hierfür gibt es zahllose Beispiele im Bereich der Leistungsverwaltung (öffentlicher Verkehr, Wasser- und Energieversorgung, </w:t>
      </w:r>
      <w:r w:rsidR="002E4844">
        <w:rPr>
          <w:rFonts w:cs="Times New Roman"/>
          <w:sz w:val="18"/>
          <w:szCs w:val="18"/>
        </w:rPr>
        <w:t>Abfalle</w:t>
      </w:r>
      <w:r w:rsidRPr="00F71031">
        <w:rPr>
          <w:rFonts w:cs="Times New Roman"/>
          <w:sz w:val="18"/>
          <w:szCs w:val="18"/>
        </w:rPr>
        <w:t>ntsorgung</w:t>
      </w:r>
      <w:r w:rsidR="002E4844">
        <w:rPr>
          <w:rFonts w:cs="Times New Roman"/>
          <w:sz w:val="18"/>
          <w:szCs w:val="18"/>
        </w:rPr>
        <w:t>, Gewässerreinigung</w:t>
      </w:r>
      <w:r w:rsidRPr="00F71031">
        <w:rPr>
          <w:rFonts w:cs="Times New Roman"/>
          <w:sz w:val="18"/>
          <w:szCs w:val="18"/>
        </w:rPr>
        <w:t xml:space="preserve"> etc.).</w:t>
      </w:r>
    </w:p>
  </w:footnote>
  <w:footnote w:id="34">
    <w:p w14:paraId="1064FCE9" w14:textId="69D1A1A0" w:rsidR="00EB50CA" w:rsidRPr="00F71031" w:rsidRDefault="00EB50CA" w:rsidP="00F71031">
      <w:pPr>
        <w:pStyle w:val="Funotentext"/>
        <w:spacing w:after="60" w:line="240" w:lineRule="auto"/>
        <w:rPr>
          <w:rFonts w:cs="Times New Roman"/>
          <w:sz w:val="18"/>
          <w:szCs w:val="18"/>
        </w:rPr>
      </w:pPr>
      <w:r w:rsidRPr="00F71031">
        <w:rPr>
          <w:rStyle w:val="Funotenzeichen"/>
          <w:rFonts w:cs="Times New Roman"/>
          <w:sz w:val="18"/>
          <w:szCs w:val="18"/>
        </w:rPr>
        <w:footnoteRef/>
      </w:r>
      <w:r w:rsidRPr="00F71031">
        <w:rPr>
          <w:rFonts w:cs="Times New Roman"/>
          <w:sz w:val="18"/>
          <w:szCs w:val="18"/>
        </w:rPr>
        <w:t xml:space="preserve"> So ist die Ostschweizer Polizeischule eine Abteilung der Kantonspolizei Thurgau. Die Staatsanwaltschaft für Wirtschaftsdelikte der Kantone Nidwalden, Obwalden und Uri wird weitestgehend durch die Staatsanwaltschaft Nidwalden sichergestellt. Und die Zentralstelle ViCLAS (= Violent Crime Linkage Analysis System) wird durch die Kantonspolizei Bern </w:t>
      </w:r>
      <w:r w:rsidR="002E4844">
        <w:rPr>
          <w:rFonts w:cs="Times New Roman"/>
          <w:sz w:val="18"/>
          <w:szCs w:val="18"/>
        </w:rPr>
        <w:t>betrieben</w:t>
      </w:r>
      <w:r w:rsidRPr="00F71031">
        <w:rPr>
          <w:rFonts w:cs="Times New Roman"/>
          <w:sz w:val="18"/>
          <w:szCs w:val="18"/>
        </w:rPr>
        <w:t>.</w:t>
      </w:r>
    </w:p>
  </w:footnote>
  <w:footnote w:id="35">
    <w:p w14:paraId="07E9C4F3" w14:textId="77777777"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mallCaps/>
          <w:sz w:val="18"/>
          <w:szCs w:val="18"/>
          <w:lang w:val="de-CH"/>
        </w:rPr>
        <w:t>Bernhard Ehrenzeller</w:t>
      </w:r>
      <w:r w:rsidRPr="00F71031">
        <w:rPr>
          <w:rFonts w:cs="Times New Roman"/>
          <w:sz w:val="18"/>
          <w:szCs w:val="18"/>
          <w:lang w:val="de-CH"/>
        </w:rPr>
        <w:t>, Kooperativer Föderalismus und Demokratie, in Waldmann (Hrsg.), 1. Nationale Föderalismuskonferenz: Der kooperative Föderalismus vor neuen Herausforderungen, Basel 2005, 67 ff., 78 f.</w:t>
      </w:r>
    </w:p>
  </w:footnote>
  <w:footnote w:id="36">
    <w:p w14:paraId="11DEEF42" w14:textId="0D0D2AF8" w:rsidR="00EB50CA" w:rsidRPr="00F71031" w:rsidRDefault="00EB50CA" w:rsidP="00F71031">
      <w:pPr>
        <w:pStyle w:val="Funotentext"/>
        <w:spacing w:after="60" w:line="240" w:lineRule="auto"/>
        <w:rPr>
          <w:rFonts w:cs="Times New Roman"/>
          <w:sz w:val="18"/>
          <w:szCs w:val="18"/>
        </w:rPr>
      </w:pPr>
      <w:r w:rsidRPr="00F71031">
        <w:rPr>
          <w:rStyle w:val="Funotenzeichen"/>
          <w:rFonts w:cs="Times New Roman"/>
          <w:sz w:val="18"/>
          <w:szCs w:val="18"/>
        </w:rPr>
        <w:footnoteRef/>
      </w:r>
      <w:r w:rsidRPr="00F71031">
        <w:rPr>
          <w:rFonts w:cs="Times New Roman"/>
          <w:sz w:val="18"/>
          <w:szCs w:val="18"/>
        </w:rPr>
        <w:t xml:space="preserve"> Dies ist heute etwa bei der</w:t>
      </w:r>
      <w:r w:rsidR="002E4844">
        <w:rPr>
          <w:rFonts w:cs="Times New Roman"/>
          <w:sz w:val="18"/>
          <w:szCs w:val="18"/>
        </w:rPr>
        <w:t xml:space="preserve"> Interkantonalen Lotterie- und Wettkommission</w:t>
      </w:r>
      <w:r w:rsidRPr="00F71031">
        <w:rPr>
          <w:rFonts w:cs="Times New Roman"/>
          <w:sz w:val="18"/>
          <w:szCs w:val="18"/>
        </w:rPr>
        <w:t xml:space="preserve"> </w:t>
      </w:r>
      <w:r w:rsidR="002E4844">
        <w:rPr>
          <w:rFonts w:cs="Times New Roman"/>
          <w:sz w:val="18"/>
          <w:szCs w:val="18"/>
        </w:rPr>
        <w:t>(</w:t>
      </w:r>
      <w:r w:rsidRPr="00F71031">
        <w:rPr>
          <w:rFonts w:cs="Times New Roman"/>
          <w:sz w:val="18"/>
          <w:szCs w:val="18"/>
        </w:rPr>
        <w:t>ComLot</w:t>
      </w:r>
      <w:r w:rsidR="002E4844">
        <w:rPr>
          <w:rFonts w:cs="Times New Roman"/>
          <w:sz w:val="18"/>
          <w:szCs w:val="18"/>
        </w:rPr>
        <w:t>)</w:t>
      </w:r>
      <w:r w:rsidRPr="00F71031">
        <w:rPr>
          <w:rFonts w:cs="Times New Roman"/>
          <w:sz w:val="18"/>
          <w:szCs w:val="18"/>
        </w:rPr>
        <w:t xml:space="preserve"> der Fall</w:t>
      </w:r>
      <w:r w:rsidR="002E4844">
        <w:rPr>
          <w:rFonts w:cs="Times New Roman"/>
          <w:sz w:val="18"/>
          <w:szCs w:val="18"/>
        </w:rPr>
        <w:t>.</w:t>
      </w:r>
    </w:p>
  </w:footnote>
  <w:footnote w:id="37">
    <w:p w14:paraId="6036FFD6" w14:textId="33C73E96"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mallCaps/>
          <w:sz w:val="18"/>
          <w:szCs w:val="18"/>
          <w:lang w:val="de-CH"/>
        </w:rPr>
        <w:t>Stefan Vogel</w:t>
      </w:r>
      <w:r w:rsidRPr="00F71031">
        <w:rPr>
          <w:rFonts w:cs="Times New Roman"/>
          <w:sz w:val="18"/>
          <w:szCs w:val="18"/>
          <w:lang w:val="de-CH"/>
        </w:rPr>
        <w:t>, Einheit der Verwaltung – Verwaltungseinheiten, Habil. Zürich, Zürich/Basel/Genf 2008, 227 f.</w:t>
      </w:r>
    </w:p>
  </w:footnote>
  <w:footnote w:id="38">
    <w:p w14:paraId="2B3AB108" w14:textId="56CA10FA"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mallCaps/>
          <w:sz w:val="18"/>
          <w:szCs w:val="18"/>
          <w:lang w:val="de-CH"/>
        </w:rPr>
        <w:t>Fritz Fleiner</w:t>
      </w:r>
      <w:r w:rsidRPr="00F71031">
        <w:rPr>
          <w:rFonts w:cs="Times New Roman"/>
          <w:sz w:val="18"/>
          <w:szCs w:val="18"/>
          <w:lang w:val="de-CH"/>
        </w:rPr>
        <w:t xml:space="preserve"> (Institutionen des Deutschen Verwaltungsrechts, 8.</w:t>
      </w:r>
      <w:r w:rsidR="00B801E6" w:rsidRPr="00F71031">
        <w:rPr>
          <w:rFonts w:cs="Times New Roman"/>
          <w:sz w:val="18"/>
          <w:szCs w:val="18"/>
          <w:lang w:val="de-CH"/>
        </w:rPr>
        <w:t xml:space="preserve"> </w:t>
      </w:r>
      <w:r w:rsidRPr="00F71031">
        <w:rPr>
          <w:rFonts w:cs="Times New Roman"/>
          <w:sz w:val="18"/>
          <w:szCs w:val="18"/>
          <w:lang w:val="de-CH"/>
        </w:rPr>
        <w:t>Aufl.</w:t>
      </w:r>
      <w:r w:rsidR="00A6353A" w:rsidRPr="00F71031">
        <w:rPr>
          <w:rFonts w:cs="Times New Roman"/>
          <w:sz w:val="18"/>
          <w:szCs w:val="18"/>
          <w:lang w:val="de-CH"/>
        </w:rPr>
        <w:t>,</w:t>
      </w:r>
      <w:r w:rsidRPr="00F71031">
        <w:rPr>
          <w:rFonts w:cs="Times New Roman"/>
          <w:sz w:val="18"/>
          <w:szCs w:val="18"/>
          <w:lang w:val="de-CH"/>
        </w:rPr>
        <w:t xml:space="preserve"> Tübingen 1928,</w:t>
      </w:r>
      <w:r w:rsidR="00492ABA" w:rsidRPr="00F71031">
        <w:rPr>
          <w:rFonts w:cs="Times New Roman"/>
          <w:sz w:val="18"/>
          <w:szCs w:val="18"/>
          <w:lang w:val="de-CH"/>
        </w:rPr>
        <w:t xml:space="preserve"> </w:t>
      </w:r>
      <w:r w:rsidRPr="00F71031">
        <w:rPr>
          <w:rFonts w:cs="Times New Roman"/>
          <w:sz w:val="18"/>
          <w:szCs w:val="18"/>
          <w:lang w:val="de-CH"/>
        </w:rPr>
        <w:t>326) stellt die Anstalt als typische Rechtsform der «Betriebsverwaltung», die gegenüber ihren Benutzern Leistungen erbringt, der «Hoheitsverwaltung» gegenüber.</w:t>
      </w:r>
    </w:p>
  </w:footnote>
  <w:footnote w:id="39">
    <w:p w14:paraId="6AD64358" w14:textId="0019859E"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mallCaps/>
          <w:sz w:val="18"/>
          <w:szCs w:val="18"/>
        </w:rPr>
        <w:t>Otto Mayer</w:t>
      </w:r>
      <w:r w:rsidRPr="00F71031">
        <w:rPr>
          <w:rFonts w:cs="Times New Roman"/>
          <w:sz w:val="18"/>
          <w:szCs w:val="18"/>
        </w:rPr>
        <w:t>, Deutsches Verwaltungsrecht, 3.</w:t>
      </w:r>
      <w:r w:rsidR="00B801E6" w:rsidRPr="00F71031">
        <w:rPr>
          <w:rFonts w:cs="Times New Roman"/>
          <w:sz w:val="18"/>
          <w:szCs w:val="18"/>
        </w:rPr>
        <w:t xml:space="preserve"> </w:t>
      </w:r>
      <w:r w:rsidRPr="00F71031">
        <w:rPr>
          <w:rFonts w:cs="Times New Roman"/>
          <w:sz w:val="18"/>
          <w:szCs w:val="18"/>
        </w:rPr>
        <w:t>Aufl.</w:t>
      </w:r>
      <w:r w:rsidR="00A6353A" w:rsidRPr="00F71031">
        <w:rPr>
          <w:rFonts w:cs="Times New Roman"/>
          <w:sz w:val="18"/>
          <w:szCs w:val="18"/>
        </w:rPr>
        <w:t>,</w:t>
      </w:r>
      <w:r w:rsidRPr="00F71031">
        <w:rPr>
          <w:rFonts w:cs="Times New Roman"/>
          <w:sz w:val="18"/>
          <w:szCs w:val="18"/>
        </w:rPr>
        <w:t xml:space="preserve"> Berlin 1924, II. Band, 338 f.</w:t>
      </w:r>
    </w:p>
  </w:footnote>
  <w:footnote w:id="40">
    <w:p w14:paraId="5646C934" w14:textId="11F2234B"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 xml:space="preserve">Art. 4 ff. des Reglements zur Vollziehung der Strafbestimmungen des Bundesgesetzes vom 23. Dezember 1886 betreffend gebrannte Wasser vom 24. Juni 1888, BBl 1888 III 875 ff. Auf die Anstalt als Organisationsform der hoheitlichen Eingriffsverwaltung verweist sodann </w:t>
      </w:r>
      <w:r w:rsidRPr="00F71031">
        <w:rPr>
          <w:rFonts w:cs="Times New Roman"/>
          <w:smallCaps/>
          <w:sz w:val="18"/>
          <w:szCs w:val="18"/>
          <w:lang w:val="de-CH"/>
        </w:rPr>
        <w:t>Guido Lazzarini</w:t>
      </w:r>
      <w:r w:rsidRPr="00F71031">
        <w:rPr>
          <w:rFonts w:cs="Times New Roman"/>
          <w:sz w:val="18"/>
          <w:szCs w:val="18"/>
          <w:lang w:val="de-CH"/>
        </w:rPr>
        <w:t>, Öffentlich-rechtliche Anstalten des Bundes im Vergleich, Diss. Zürich 1982, 6.</w:t>
      </w:r>
    </w:p>
  </w:footnote>
  <w:footnote w:id="41">
    <w:p w14:paraId="68BF8BA1" w14:textId="53830585"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Art. 24 ff. Bundesgesetz über die Eidgenössische Finanzmarktaufsicht vom 22. Juni 2007 (FINMAG), SR 956.1.</w:t>
      </w:r>
    </w:p>
  </w:footnote>
  <w:footnote w:id="42">
    <w:p w14:paraId="37123235" w14:textId="4602202C"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Vertrag zwischen den Kantonen Basel-Stadt und Zug zur Errichtung und zum Betrieb einer gemeinsamen Strafanstalt im Bostadel (Kanton Zug) vom 27. Dezember 1973</w:t>
      </w:r>
      <w:r w:rsidR="00FE66F9">
        <w:rPr>
          <w:rFonts w:cs="Times New Roman"/>
          <w:sz w:val="18"/>
          <w:szCs w:val="18"/>
          <w:lang w:val="de-CH"/>
        </w:rPr>
        <w:t xml:space="preserve"> (</w:t>
      </w:r>
      <w:r w:rsidR="00642B0E">
        <w:rPr>
          <w:rFonts w:cs="Times New Roman"/>
          <w:sz w:val="18"/>
          <w:szCs w:val="18"/>
          <w:lang w:val="de-CH"/>
        </w:rPr>
        <w:t xml:space="preserve">Systematisch </w:t>
      </w:r>
      <w:r w:rsidR="00CF35CC">
        <w:rPr>
          <w:rFonts w:cs="Times New Roman"/>
          <w:sz w:val="18"/>
          <w:szCs w:val="18"/>
          <w:lang w:val="de-CH"/>
        </w:rPr>
        <w:t>Gesetzessammlung</w:t>
      </w:r>
      <w:r w:rsidR="00642B0E">
        <w:rPr>
          <w:rFonts w:cs="Times New Roman"/>
          <w:sz w:val="18"/>
          <w:szCs w:val="18"/>
          <w:lang w:val="de-CH"/>
        </w:rPr>
        <w:t xml:space="preserve"> [SG]</w:t>
      </w:r>
      <w:r w:rsidR="00CF35CC">
        <w:rPr>
          <w:rFonts w:cs="Times New Roman"/>
          <w:sz w:val="18"/>
          <w:szCs w:val="18"/>
          <w:lang w:val="de-CH"/>
        </w:rPr>
        <w:t xml:space="preserve"> Basel-Stadt</w:t>
      </w:r>
      <w:r w:rsidR="00FE66F9">
        <w:rPr>
          <w:rFonts w:cs="Times New Roman"/>
          <w:sz w:val="18"/>
          <w:szCs w:val="18"/>
          <w:lang w:val="de-CH"/>
        </w:rPr>
        <w:t xml:space="preserve"> 258.500)</w:t>
      </w:r>
      <w:r w:rsidRPr="00F71031">
        <w:rPr>
          <w:rFonts w:cs="Times New Roman"/>
          <w:sz w:val="18"/>
          <w:szCs w:val="18"/>
          <w:lang w:val="de-CH"/>
        </w:rPr>
        <w:t>.</w:t>
      </w:r>
    </w:p>
  </w:footnote>
  <w:footnote w:id="43">
    <w:p w14:paraId="34F0462F" w14:textId="6BFD024F" w:rsidR="00B312BC" w:rsidRPr="00B312BC" w:rsidRDefault="00B312BC" w:rsidP="00905CC7">
      <w:pPr>
        <w:pStyle w:val="Funotentext"/>
        <w:spacing w:after="60" w:line="240" w:lineRule="auto"/>
        <w:rPr>
          <w:sz w:val="18"/>
          <w:szCs w:val="18"/>
          <w:lang w:val="de-CH"/>
        </w:rPr>
      </w:pPr>
      <w:r>
        <w:rPr>
          <w:rStyle w:val="Funotenzeichen"/>
        </w:rPr>
        <w:footnoteRef/>
      </w:r>
      <w:r>
        <w:t xml:space="preserve"> </w:t>
      </w:r>
      <w:r w:rsidRPr="00B312BC">
        <w:rPr>
          <w:sz w:val="18"/>
          <w:szCs w:val="18"/>
          <w:lang w:val="de-CH"/>
        </w:rPr>
        <w:t>Grundlage ist das Gesamtschweizerische Geldspielkonkordat (GSK), das sich zur Zeit (Stand Juni 2020) noch in der Ratifizierungsphase befindet. Bereits publiziert ist es in der Gesetzessammlung des Kantos Basel-Landschaft (</w:t>
      </w:r>
      <w:r w:rsidR="00CF35CC">
        <w:rPr>
          <w:sz w:val="18"/>
          <w:szCs w:val="18"/>
          <w:lang w:val="de-CH"/>
        </w:rPr>
        <w:t xml:space="preserve">Gesetzessammlung </w:t>
      </w:r>
      <w:r w:rsidR="00642B0E">
        <w:rPr>
          <w:sz w:val="18"/>
          <w:szCs w:val="18"/>
          <w:lang w:val="de-CH"/>
        </w:rPr>
        <w:t xml:space="preserve">[GS] </w:t>
      </w:r>
      <w:r w:rsidR="00CF35CC">
        <w:rPr>
          <w:sz w:val="18"/>
          <w:szCs w:val="18"/>
          <w:lang w:val="de-CH"/>
        </w:rPr>
        <w:t>Basel-Landschaft</w:t>
      </w:r>
      <w:r w:rsidR="00905CC7">
        <w:rPr>
          <w:sz w:val="18"/>
          <w:szCs w:val="18"/>
          <w:lang w:val="de-CH"/>
        </w:rPr>
        <w:t xml:space="preserve"> </w:t>
      </w:r>
      <w:r w:rsidRPr="00B312BC">
        <w:rPr>
          <w:sz w:val="18"/>
          <w:szCs w:val="18"/>
          <w:lang w:val="de-CH"/>
        </w:rPr>
        <w:t>543.4).</w:t>
      </w:r>
    </w:p>
  </w:footnote>
  <w:footnote w:id="44">
    <w:p w14:paraId="3AB6C470" w14:textId="26E6BA4B" w:rsidR="00905CC7" w:rsidRPr="00905CC7" w:rsidRDefault="00905CC7" w:rsidP="00905CC7">
      <w:pPr>
        <w:pStyle w:val="Funotentext"/>
        <w:spacing w:after="60" w:line="240" w:lineRule="auto"/>
        <w:rPr>
          <w:sz w:val="18"/>
          <w:szCs w:val="18"/>
        </w:rPr>
      </w:pPr>
      <w:r>
        <w:rPr>
          <w:rStyle w:val="Funotenzeichen"/>
        </w:rPr>
        <w:footnoteRef/>
      </w:r>
      <w:r>
        <w:t xml:space="preserve"> </w:t>
      </w:r>
      <w:r w:rsidRPr="00905CC7">
        <w:rPr>
          <w:sz w:val="18"/>
          <w:szCs w:val="18"/>
        </w:rPr>
        <w:t>Art. 3 der Vereinbarung über die Errichtung und den Betrieb einer Ostschweizer Polizeischule in Amriswil vom 1. April 2005</w:t>
      </w:r>
      <w:r w:rsidR="00CF35CC">
        <w:rPr>
          <w:sz w:val="18"/>
          <w:szCs w:val="18"/>
        </w:rPr>
        <w:t xml:space="preserve"> (Rechtsbuch </w:t>
      </w:r>
      <w:r w:rsidR="00642B0E">
        <w:rPr>
          <w:sz w:val="18"/>
          <w:szCs w:val="18"/>
        </w:rPr>
        <w:t xml:space="preserve">[RB] </w:t>
      </w:r>
      <w:r w:rsidR="00CF35CC">
        <w:rPr>
          <w:sz w:val="18"/>
          <w:szCs w:val="18"/>
        </w:rPr>
        <w:t>Thurgau 552.14)</w:t>
      </w:r>
      <w:r w:rsidRPr="00905CC7">
        <w:rPr>
          <w:sz w:val="18"/>
          <w:szCs w:val="18"/>
        </w:rPr>
        <w:t xml:space="preserve">. </w:t>
      </w:r>
    </w:p>
  </w:footnote>
  <w:footnote w:id="45">
    <w:p w14:paraId="05657F5D" w14:textId="26F06068"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Jahresbericht des Forensischen Instituts Zürich 2019, S. 13.</w:t>
      </w:r>
    </w:p>
  </w:footnote>
  <w:footnote w:id="46">
    <w:p w14:paraId="36008408" w14:textId="3115D7E3" w:rsidR="00CF35CC" w:rsidRPr="00CF35CC" w:rsidRDefault="00CF35CC" w:rsidP="00CF35CC">
      <w:pPr>
        <w:pStyle w:val="Funotentext"/>
        <w:spacing w:after="60" w:line="240" w:lineRule="auto"/>
        <w:rPr>
          <w:rFonts w:cs="Times New Roman"/>
          <w:sz w:val="18"/>
          <w:szCs w:val="18"/>
        </w:rPr>
      </w:pPr>
      <w:r>
        <w:rPr>
          <w:rStyle w:val="Funotenzeichen"/>
        </w:rPr>
        <w:footnoteRef/>
      </w:r>
      <w:r>
        <w:t xml:space="preserve"> </w:t>
      </w:r>
      <w:r w:rsidRPr="00CF35CC">
        <w:rPr>
          <w:rFonts w:cs="Times New Roman"/>
          <w:sz w:val="18"/>
          <w:szCs w:val="18"/>
        </w:rPr>
        <w:t>Art. 5 der Interkantonalen Vereinbarung über die computergestützte Zusammenarbeit der Kantone bei der Aufklärung von Gewaltdelikten vom 2. April 2009 (</w:t>
      </w:r>
      <w:r w:rsidR="00642B0E">
        <w:rPr>
          <w:rFonts w:cs="Times New Roman"/>
          <w:sz w:val="18"/>
          <w:szCs w:val="18"/>
        </w:rPr>
        <w:t xml:space="preserve">Bernische </w:t>
      </w:r>
      <w:r w:rsidRPr="00CF35CC">
        <w:rPr>
          <w:rFonts w:cs="Times New Roman"/>
          <w:sz w:val="18"/>
          <w:szCs w:val="18"/>
        </w:rPr>
        <w:t xml:space="preserve">Systematische Gesetzessammlung </w:t>
      </w:r>
      <w:r w:rsidR="00642B0E">
        <w:rPr>
          <w:rFonts w:cs="Times New Roman"/>
          <w:sz w:val="18"/>
          <w:szCs w:val="18"/>
        </w:rPr>
        <w:t>[BSG]</w:t>
      </w:r>
      <w:r w:rsidRPr="00CF35CC">
        <w:rPr>
          <w:rFonts w:cs="Times New Roman"/>
          <w:sz w:val="18"/>
          <w:szCs w:val="18"/>
        </w:rPr>
        <w:t xml:space="preserve"> 559.15-1).</w:t>
      </w:r>
    </w:p>
  </w:footnote>
  <w:footnote w:id="47">
    <w:p w14:paraId="13C949F0" w14:textId="7C901DA3"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Art. 1 der </w:t>
      </w:r>
      <w:r w:rsidRPr="00F71031">
        <w:rPr>
          <w:rFonts w:cs="Times New Roman"/>
          <w:sz w:val="18"/>
          <w:szCs w:val="18"/>
          <w:lang w:val="de-CH"/>
        </w:rPr>
        <w:t>Vereinbarung über die Zusammenarbeit bei der Verfolgung von Wirtschaftsdelikten vom 12. Oktober 2010</w:t>
      </w:r>
      <w:r w:rsidR="00B54577">
        <w:rPr>
          <w:rFonts w:cs="Times New Roman"/>
          <w:sz w:val="18"/>
          <w:szCs w:val="18"/>
          <w:lang w:val="de-CH"/>
        </w:rPr>
        <w:t xml:space="preserve"> (N</w:t>
      </w:r>
      <w:r w:rsidR="00642B0E">
        <w:rPr>
          <w:rFonts w:cs="Times New Roman"/>
          <w:sz w:val="18"/>
          <w:szCs w:val="18"/>
          <w:lang w:val="de-CH"/>
        </w:rPr>
        <w:t xml:space="preserve">idwaldner </w:t>
      </w:r>
      <w:r w:rsidR="001A0318">
        <w:rPr>
          <w:rFonts w:cs="Times New Roman"/>
          <w:sz w:val="18"/>
          <w:szCs w:val="18"/>
          <w:lang w:val="de-CH"/>
        </w:rPr>
        <w:t>Gesetzessammlung</w:t>
      </w:r>
      <w:r w:rsidR="00B54577">
        <w:rPr>
          <w:rFonts w:cs="Times New Roman"/>
          <w:sz w:val="18"/>
          <w:szCs w:val="18"/>
          <w:lang w:val="de-CH"/>
        </w:rPr>
        <w:t xml:space="preserve"> </w:t>
      </w:r>
      <w:r w:rsidR="00642B0E">
        <w:rPr>
          <w:rFonts w:cs="Times New Roman"/>
          <w:sz w:val="18"/>
          <w:szCs w:val="18"/>
          <w:lang w:val="de-CH"/>
        </w:rPr>
        <w:t xml:space="preserve">[NG] </w:t>
      </w:r>
      <w:r w:rsidR="00B54577">
        <w:rPr>
          <w:rFonts w:cs="Times New Roman"/>
          <w:sz w:val="18"/>
          <w:szCs w:val="18"/>
          <w:lang w:val="de-CH"/>
        </w:rPr>
        <w:t>263.2)</w:t>
      </w:r>
      <w:r w:rsidRPr="00F71031">
        <w:rPr>
          <w:rFonts w:cs="Times New Roman"/>
          <w:sz w:val="18"/>
          <w:szCs w:val="18"/>
          <w:lang w:val="de-CH"/>
        </w:rPr>
        <w:t>.</w:t>
      </w:r>
    </w:p>
  </w:footnote>
  <w:footnote w:id="48">
    <w:p w14:paraId="6738E7E9" w14:textId="25F16900"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Art. 5 der Vereinbarung (FN </w:t>
      </w:r>
      <w:r w:rsidRPr="00F71031">
        <w:rPr>
          <w:rFonts w:cs="Times New Roman"/>
          <w:sz w:val="18"/>
          <w:szCs w:val="18"/>
          <w:lang w:val="de-CH"/>
        </w:rPr>
        <w:fldChar w:fldCharType="begin"/>
      </w:r>
      <w:r w:rsidRPr="00F71031">
        <w:rPr>
          <w:rFonts w:cs="Times New Roman"/>
          <w:sz w:val="18"/>
          <w:szCs w:val="18"/>
          <w:lang w:val="de-CH"/>
        </w:rPr>
        <w:instrText xml:space="preserve"> NOTEREF _Ref41667982 \h </w:instrText>
      </w:r>
      <w:r w:rsidR="00F71031" w:rsidRPr="00F71031">
        <w:rPr>
          <w:rFonts w:cs="Times New Roman"/>
          <w:sz w:val="18"/>
          <w:szCs w:val="18"/>
          <w:lang w:val="de-CH"/>
        </w:rPr>
        <w:instrText xml:space="preserve"> \* MERGEFORMAT </w:instrText>
      </w:r>
      <w:r w:rsidRPr="00F71031">
        <w:rPr>
          <w:rFonts w:cs="Times New Roman"/>
          <w:sz w:val="18"/>
          <w:szCs w:val="18"/>
          <w:lang w:val="de-CH"/>
        </w:rPr>
      </w:r>
      <w:r w:rsidRPr="00F71031">
        <w:rPr>
          <w:rFonts w:cs="Times New Roman"/>
          <w:sz w:val="18"/>
          <w:szCs w:val="18"/>
          <w:lang w:val="de-CH"/>
        </w:rPr>
        <w:fldChar w:fldCharType="separate"/>
      </w:r>
      <w:r w:rsidR="00D2043F">
        <w:rPr>
          <w:rFonts w:cs="Times New Roman"/>
          <w:sz w:val="18"/>
          <w:szCs w:val="18"/>
          <w:lang w:val="de-CH"/>
        </w:rPr>
        <w:t>45</w:t>
      </w:r>
      <w:r w:rsidRPr="00F71031">
        <w:rPr>
          <w:rFonts w:cs="Times New Roman"/>
          <w:sz w:val="18"/>
          <w:szCs w:val="18"/>
          <w:lang w:val="de-CH"/>
        </w:rPr>
        <w:fldChar w:fldCharType="end"/>
      </w:r>
      <w:r w:rsidRPr="00F71031">
        <w:rPr>
          <w:rFonts w:cs="Times New Roman"/>
          <w:sz w:val="18"/>
          <w:szCs w:val="18"/>
          <w:lang w:val="de-CH"/>
        </w:rPr>
        <w:t>).</w:t>
      </w:r>
    </w:p>
  </w:footnote>
  <w:footnote w:id="49">
    <w:p w14:paraId="05D04883" w14:textId="0EA7D995"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 xml:space="preserve">Hierzu </w:t>
      </w:r>
      <w:r w:rsidRPr="00F71031">
        <w:rPr>
          <w:rFonts w:cs="Times New Roman"/>
          <w:smallCaps/>
          <w:sz w:val="18"/>
          <w:szCs w:val="18"/>
          <w:lang w:val="de-CH"/>
        </w:rPr>
        <w:t>Damian K. Graf</w:t>
      </w:r>
      <w:r w:rsidRPr="00F71031">
        <w:rPr>
          <w:rFonts w:cs="Times New Roman"/>
          <w:sz w:val="18"/>
          <w:szCs w:val="18"/>
          <w:lang w:val="de-CH"/>
        </w:rPr>
        <w:t xml:space="preserve">, </w:t>
      </w:r>
      <w:bookmarkStart w:id="24" w:name="_Toc38134941"/>
      <w:r w:rsidRPr="00F71031">
        <w:rPr>
          <w:rFonts w:cs="Times New Roman"/>
          <w:sz w:val="18"/>
          <w:szCs w:val="18"/>
        </w:rPr>
        <w:t>Diener dreier Herren: Die Staatsanwaltschaft für Wirtschaftsdelikte der Kantone Nidwalden, Obwalden und Uri</w:t>
      </w:r>
      <w:bookmarkEnd w:id="24"/>
      <w:r w:rsidRPr="00F71031">
        <w:rPr>
          <w:rFonts w:cs="Times New Roman"/>
          <w:sz w:val="18"/>
          <w:szCs w:val="18"/>
          <w:lang w:val="de-CH"/>
        </w:rPr>
        <w:t xml:space="preserve"> in diesem Heft, Abschnitt III, 5.</w:t>
      </w:r>
    </w:p>
  </w:footnote>
  <w:footnote w:id="50">
    <w:p w14:paraId="08038073" w14:textId="08FF03DF"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Dementsprechend ist die Vereinbarung im Urner Rechtsbuch nicht publiziert.</w:t>
      </w:r>
    </w:p>
  </w:footnote>
  <w:footnote w:id="51">
    <w:p w14:paraId="6AC4E69B" w14:textId="2F109E77"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Art. 4 der Vereinbarung (FN </w:t>
      </w:r>
      <w:r w:rsidRPr="00F71031">
        <w:rPr>
          <w:rFonts w:cs="Times New Roman"/>
          <w:sz w:val="18"/>
          <w:szCs w:val="18"/>
          <w:lang w:val="de-CH"/>
        </w:rPr>
        <w:fldChar w:fldCharType="begin"/>
      </w:r>
      <w:r w:rsidRPr="00F71031">
        <w:rPr>
          <w:rFonts w:cs="Times New Roman"/>
          <w:sz w:val="18"/>
          <w:szCs w:val="18"/>
          <w:lang w:val="de-CH"/>
        </w:rPr>
        <w:instrText xml:space="preserve"> NOTEREF _Ref41667982 \h </w:instrText>
      </w:r>
      <w:r w:rsidR="00F71031" w:rsidRPr="00F71031">
        <w:rPr>
          <w:rFonts w:cs="Times New Roman"/>
          <w:sz w:val="18"/>
          <w:szCs w:val="18"/>
          <w:lang w:val="de-CH"/>
        </w:rPr>
        <w:instrText xml:space="preserve"> \* MERGEFORMAT </w:instrText>
      </w:r>
      <w:r w:rsidRPr="00F71031">
        <w:rPr>
          <w:rFonts w:cs="Times New Roman"/>
          <w:sz w:val="18"/>
          <w:szCs w:val="18"/>
          <w:lang w:val="de-CH"/>
        </w:rPr>
      </w:r>
      <w:r w:rsidRPr="00F71031">
        <w:rPr>
          <w:rFonts w:cs="Times New Roman"/>
          <w:sz w:val="18"/>
          <w:szCs w:val="18"/>
          <w:lang w:val="de-CH"/>
        </w:rPr>
        <w:fldChar w:fldCharType="separate"/>
      </w:r>
      <w:r w:rsidR="00D2043F">
        <w:rPr>
          <w:rFonts w:cs="Times New Roman"/>
          <w:sz w:val="18"/>
          <w:szCs w:val="18"/>
          <w:lang w:val="de-CH"/>
        </w:rPr>
        <w:t>45</w:t>
      </w:r>
      <w:r w:rsidRPr="00F71031">
        <w:rPr>
          <w:rFonts w:cs="Times New Roman"/>
          <w:sz w:val="18"/>
          <w:szCs w:val="18"/>
          <w:lang w:val="de-CH"/>
        </w:rPr>
        <w:fldChar w:fldCharType="end"/>
      </w:r>
      <w:r w:rsidRPr="00F71031">
        <w:rPr>
          <w:rFonts w:cs="Times New Roman"/>
          <w:sz w:val="18"/>
          <w:szCs w:val="18"/>
          <w:lang w:val="de-CH"/>
        </w:rPr>
        <w:t>).</w:t>
      </w:r>
    </w:p>
  </w:footnote>
  <w:footnote w:id="52">
    <w:p w14:paraId="1E425265" w14:textId="5AEA919F"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Vgl. insb. Art. 7 Vereinbarung über die interkantonalen Polizeieinsätze</w:t>
      </w:r>
      <w:r w:rsidR="00520A02">
        <w:rPr>
          <w:rFonts w:cs="Times New Roman"/>
          <w:sz w:val="18"/>
          <w:szCs w:val="18"/>
          <w:lang w:val="de-CH"/>
        </w:rPr>
        <w:t xml:space="preserve"> (IKAPOL)</w:t>
      </w:r>
      <w:r w:rsidRPr="00F71031">
        <w:rPr>
          <w:rFonts w:cs="Times New Roman"/>
          <w:sz w:val="18"/>
          <w:szCs w:val="18"/>
          <w:lang w:val="de-CH"/>
        </w:rPr>
        <w:t xml:space="preserve"> vom 14.</w:t>
      </w:r>
      <w:r w:rsidR="00642B0E">
        <w:rPr>
          <w:rFonts w:cs="Times New Roman"/>
          <w:sz w:val="18"/>
          <w:szCs w:val="18"/>
          <w:lang w:val="de-CH"/>
        </w:rPr>
        <w:t xml:space="preserve"> März </w:t>
      </w:r>
      <w:r w:rsidRPr="00F71031">
        <w:rPr>
          <w:rFonts w:cs="Times New Roman"/>
          <w:sz w:val="18"/>
          <w:szCs w:val="18"/>
          <w:lang w:val="de-CH"/>
        </w:rPr>
        <w:t>2006</w:t>
      </w:r>
      <w:r w:rsidR="00520A02">
        <w:rPr>
          <w:rFonts w:cs="Times New Roman"/>
          <w:sz w:val="18"/>
          <w:szCs w:val="18"/>
          <w:lang w:val="de-CH"/>
        </w:rPr>
        <w:t xml:space="preserve"> (BGS 559.13-1)</w:t>
      </w:r>
      <w:r w:rsidRPr="00F71031">
        <w:rPr>
          <w:rFonts w:cs="Times New Roman"/>
          <w:sz w:val="18"/>
          <w:szCs w:val="18"/>
          <w:lang w:val="de-CH"/>
        </w:rPr>
        <w:t>.</w:t>
      </w:r>
    </w:p>
  </w:footnote>
  <w:footnote w:id="53">
    <w:p w14:paraId="33C04B3A" w14:textId="4E3D2404"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Ziff. 8 der Vereinbarung über eine gemeinsame Lebensmittelkontrolle der Kantone Appenzell Ausserrhoden, Appenzell Innerrhoden, Glarus und Schaffhausen vom 15. Dezember 2009</w:t>
      </w:r>
      <w:r w:rsidR="00520A02">
        <w:rPr>
          <w:rFonts w:cs="Times New Roman"/>
          <w:sz w:val="18"/>
          <w:szCs w:val="18"/>
          <w:lang w:val="de-CH"/>
        </w:rPr>
        <w:t xml:space="preserve"> (Rechtsbuch [RB] Schaffhausen 817.002)</w:t>
      </w:r>
      <w:r w:rsidRPr="00F71031">
        <w:rPr>
          <w:rFonts w:cs="Times New Roman"/>
          <w:sz w:val="18"/>
          <w:szCs w:val="18"/>
          <w:lang w:val="de-CH"/>
        </w:rPr>
        <w:t>.</w:t>
      </w:r>
    </w:p>
  </w:footnote>
  <w:footnote w:id="54">
    <w:p w14:paraId="3EB31163" w14:textId="1C8B149A"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Ziff. 9 Vereinbarung (FN </w:t>
      </w:r>
      <w:r w:rsidRPr="00F71031">
        <w:rPr>
          <w:rFonts w:cs="Times New Roman"/>
          <w:sz w:val="18"/>
          <w:szCs w:val="18"/>
          <w:lang w:val="de-CH"/>
        </w:rPr>
        <w:fldChar w:fldCharType="begin"/>
      </w:r>
      <w:r w:rsidRPr="00F71031">
        <w:rPr>
          <w:rFonts w:cs="Times New Roman"/>
          <w:sz w:val="18"/>
          <w:szCs w:val="18"/>
          <w:lang w:val="de-CH"/>
        </w:rPr>
        <w:instrText xml:space="preserve"> NOTEREF _Ref41668344 \h </w:instrText>
      </w:r>
      <w:r w:rsidR="00F71031" w:rsidRPr="00F71031">
        <w:rPr>
          <w:rFonts w:cs="Times New Roman"/>
          <w:sz w:val="18"/>
          <w:szCs w:val="18"/>
          <w:lang w:val="de-CH"/>
        </w:rPr>
        <w:instrText xml:space="preserve"> \* MERGEFORMAT </w:instrText>
      </w:r>
      <w:r w:rsidRPr="00F71031">
        <w:rPr>
          <w:rFonts w:cs="Times New Roman"/>
          <w:sz w:val="18"/>
          <w:szCs w:val="18"/>
          <w:lang w:val="de-CH"/>
        </w:rPr>
      </w:r>
      <w:r w:rsidRPr="00F71031">
        <w:rPr>
          <w:rFonts w:cs="Times New Roman"/>
          <w:sz w:val="18"/>
          <w:szCs w:val="18"/>
          <w:lang w:val="de-CH"/>
        </w:rPr>
        <w:fldChar w:fldCharType="separate"/>
      </w:r>
      <w:r w:rsidR="00D2043F">
        <w:rPr>
          <w:rFonts w:cs="Times New Roman"/>
          <w:sz w:val="18"/>
          <w:szCs w:val="18"/>
          <w:lang w:val="de-CH"/>
        </w:rPr>
        <w:t>51</w:t>
      </w:r>
      <w:r w:rsidRPr="00F71031">
        <w:rPr>
          <w:rFonts w:cs="Times New Roman"/>
          <w:sz w:val="18"/>
          <w:szCs w:val="18"/>
          <w:lang w:val="de-CH"/>
        </w:rPr>
        <w:fldChar w:fldCharType="end"/>
      </w:r>
      <w:r w:rsidRPr="00F71031">
        <w:rPr>
          <w:rFonts w:cs="Times New Roman"/>
          <w:sz w:val="18"/>
          <w:szCs w:val="18"/>
          <w:lang w:val="de-CH"/>
        </w:rPr>
        <w:t>).</w:t>
      </w:r>
    </w:p>
  </w:footnote>
  <w:footnote w:id="55">
    <w:p w14:paraId="2DA0CE67" w14:textId="4E0C6CD2"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Das gilt auch für die anderen Modelle. Vgl. Art. 8 der Vereinbarung über die Zusammenarbeit bei der Verfolgung von Wirtschaftsdelikten (FN </w:t>
      </w:r>
      <w:r w:rsidRPr="00F71031">
        <w:rPr>
          <w:rFonts w:cs="Times New Roman"/>
          <w:sz w:val="18"/>
          <w:szCs w:val="18"/>
          <w:lang w:val="de-CH"/>
        </w:rPr>
        <w:fldChar w:fldCharType="begin"/>
      </w:r>
      <w:r w:rsidRPr="00F71031">
        <w:rPr>
          <w:rFonts w:cs="Times New Roman"/>
          <w:sz w:val="18"/>
          <w:szCs w:val="18"/>
          <w:lang w:val="de-CH"/>
        </w:rPr>
        <w:instrText xml:space="preserve"> NOTEREF _Ref41667982 \h </w:instrText>
      </w:r>
      <w:r w:rsidR="00F71031" w:rsidRPr="00F71031">
        <w:rPr>
          <w:rFonts w:cs="Times New Roman"/>
          <w:sz w:val="18"/>
          <w:szCs w:val="18"/>
          <w:lang w:val="de-CH"/>
        </w:rPr>
        <w:instrText xml:space="preserve"> \* MERGEFORMAT </w:instrText>
      </w:r>
      <w:r w:rsidRPr="00F71031">
        <w:rPr>
          <w:rFonts w:cs="Times New Roman"/>
          <w:sz w:val="18"/>
          <w:szCs w:val="18"/>
          <w:lang w:val="de-CH"/>
        </w:rPr>
      </w:r>
      <w:r w:rsidRPr="00F71031">
        <w:rPr>
          <w:rFonts w:cs="Times New Roman"/>
          <w:sz w:val="18"/>
          <w:szCs w:val="18"/>
          <w:lang w:val="de-CH"/>
        </w:rPr>
        <w:fldChar w:fldCharType="separate"/>
      </w:r>
      <w:r w:rsidR="00D2043F">
        <w:rPr>
          <w:rFonts w:cs="Times New Roman"/>
          <w:sz w:val="18"/>
          <w:szCs w:val="18"/>
          <w:lang w:val="de-CH"/>
        </w:rPr>
        <w:t>45</w:t>
      </w:r>
      <w:r w:rsidRPr="00F71031">
        <w:rPr>
          <w:rFonts w:cs="Times New Roman"/>
          <w:sz w:val="18"/>
          <w:szCs w:val="18"/>
          <w:lang w:val="de-CH"/>
        </w:rPr>
        <w:fldChar w:fldCharType="end"/>
      </w:r>
      <w:r w:rsidRPr="00F71031">
        <w:rPr>
          <w:rFonts w:cs="Times New Roman"/>
          <w:sz w:val="18"/>
          <w:szCs w:val="18"/>
          <w:lang w:val="de-CH"/>
        </w:rPr>
        <w:t>), der für die polizeiliche Ermittlung auf die Verantwortung der Kantone verweist.</w:t>
      </w:r>
    </w:p>
  </w:footnote>
  <w:footnote w:id="56">
    <w:p w14:paraId="01C04D47" w14:textId="7FC311CC" w:rsidR="00EB50CA" w:rsidRPr="00F71031" w:rsidRDefault="00EB50CA" w:rsidP="00F71031">
      <w:pPr>
        <w:shd w:val="clear" w:color="auto" w:fill="FFFFFF"/>
        <w:spacing w:after="60" w:line="240" w:lineRule="auto"/>
        <w:jc w:val="left"/>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 xml:space="preserve">Vgl. Art. 8 der </w:t>
      </w:r>
      <w:r w:rsidRPr="00F71031">
        <w:rPr>
          <w:rFonts w:eastAsia="Times New Roman" w:cs="Times New Roman"/>
          <w:sz w:val="18"/>
          <w:szCs w:val="18"/>
          <w:lang w:val="de-CH" w:eastAsia="de-CH"/>
        </w:rPr>
        <w:t>Verordnung über die Geschäftsführung und Organisation der Staats- und Jugendanwaltschaft vom 30.</w:t>
      </w:r>
      <w:r w:rsidR="0074277C" w:rsidRPr="00F71031">
        <w:rPr>
          <w:rFonts w:eastAsia="Times New Roman" w:cs="Times New Roman"/>
          <w:sz w:val="18"/>
          <w:szCs w:val="18"/>
          <w:lang w:val="de-CH" w:eastAsia="de-CH"/>
        </w:rPr>
        <w:t xml:space="preserve"> November </w:t>
      </w:r>
      <w:r w:rsidRPr="00F71031">
        <w:rPr>
          <w:rFonts w:eastAsia="Times New Roman" w:cs="Times New Roman"/>
          <w:sz w:val="18"/>
          <w:szCs w:val="18"/>
          <w:lang w:val="de-CH" w:eastAsia="de-CH"/>
        </w:rPr>
        <w:t>2010 in der Fassung vom 12.</w:t>
      </w:r>
      <w:r w:rsidR="0074277C" w:rsidRPr="00F71031">
        <w:rPr>
          <w:rFonts w:eastAsia="Times New Roman" w:cs="Times New Roman"/>
          <w:sz w:val="18"/>
          <w:szCs w:val="18"/>
          <w:lang w:val="de-CH" w:eastAsia="de-CH"/>
        </w:rPr>
        <w:t xml:space="preserve"> September </w:t>
      </w:r>
      <w:r w:rsidRPr="00F71031">
        <w:rPr>
          <w:rFonts w:eastAsia="Times New Roman" w:cs="Times New Roman"/>
          <w:sz w:val="18"/>
          <w:szCs w:val="18"/>
          <w:lang w:val="de-CH" w:eastAsia="de-CH"/>
        </w:rPr>
        <w:t>2017 (</w:t>
      </w:r>
      <w:r w:rsidR="004C3659">
        <w:rPr>
          <w:rFonts w:eastAsia="Times New Roman" w:cs="Times New Roman"/>
          <w:sz w:val="18"/>
          <w:szCs w:val="18"/>
          <w:lang w:val="de-CH" w:eastAsia="de-CH"/>
        </w:rPr>
        <w:t>Glarner Gesetzessammlung [</w:t>
      </w:r>
      <w:r w:rsidRPr="00F71031">
        <w:rPr>
          <w:rFonts w:eastAsia="Times New Roman" w:cs="Times New Roman"/>
          <w:sz w:val="18"/>
          <w:szCs w:val="18"/>
          <w:lang w:val="de-CH" w:eastAsia="de-CH"/>
        </w:rPr>
        <w:t>GS</w:t>
      </w:r>
      <w:r w:rsidR="004C3659">
        <w:rPr>
          <w:rFonts w:eastAsia="Times New Roman" w:cs="Times New Roman"/>
          <w:sz w:val="18"/>
          <w:szCs w:val="18"/>
          <w:lang w:val="de-CH" w:eastAsia="de-CH"/>
        </w:rPr>
        <w:t>]</w:t>
      </w:r>
      <w:r w:rsidRPr="00F71031">
        <w:rPr>
          <w:rFonts w:eastAsia="Times New Roman" w:cs="Times New Roman"/>
          <w:sz w:val="18"/>
          <w:szCs w:val="18"/>
          <w:lang w:val="de-CH" w:eastAsia="de-CH"/>
        </w:rPr>
        <w:t xml:space="preserve"> III/F2). </w:t>
      </w:r>
    </w:p>
  </w:footnote>
  <w:footnote w:id="57">
    <w:p w14:paraId="51B49212" w14:textId="190794CE" w:rsidR="00EB50CA" w:rsidRPr="00F71031" w:rsidRDefault="00EB50CA" w:rsidP="00F71031">
      <w:pPr>
        <w:pStyle w:val="Funotentext"/>
        <w:spacing w:after="60" w:line="240" w:lineRule="auto"/>
        <w:rPr>
          <w:rFonts w:cs="Times New Roman"/>
          <w:sz w:val="18"/>
          <w:szCs w:val="18"/>
          <w:lang w:val="de-CH"/>
        </w:rPr>
      </w:pPr>
      <w:r w:rsidRPr="00F71031">
        <w:rPr>
          <w:rStyle w:val="Funotenzeichen"/>
          <w:rFonts w:cs="Times New Roman"/>
          <w:sz w:val="18"/>
          <w:szCs w:val="18"/>
        </w:rPr>
        <w:footnoteRef/>
      </w:r>
      <w:r w:rsidRPr="00F71031">
        <w:rPr>
          <w:rFonts w:cs="Times New Roman"/>
          <w:sz w:val="18"/>
          <w:szCs w:val="18"/>
        </w:rPr>
        <w:t xml:space="preserve"> </w:t>
      </w:r>
      <w:r w:rsidRPr="00F71031">
        <w:rPr>
          <w:rFonts w:cs="Times New Roman"/>
          <w:sz w:val="18"/>
          <w:szCs w:val="18"/>
          <w:lang w:val="de-CH"/>
        </w:rPr>
        <w:t xml:space="preserve">Vgl. </w:t>
      </w:r>
      <w:r w:rsidRPr="00F71031">
        <w:rPr>
          <w:rFonts w:cs="Times New Roman"/>
          <w:smallCaps/>
          <w:sz w:val="18"/>
          <w:szCs w:val="18"/>
          <w:lang w:val="de-CH"/>
        </w:rPr>
        <w:t>Anna-Carolina Perrez</w:t>
      </w:r>
      <w:r w:rsidRPr="00F71031">
        <w:rPr>
          <w:rFonts w:cs="Times New Roman"/>
          <w:sz w:val="18"/>
          <w:szCs w:val="18"/>
          <w:lang w:val="de-CH"/>
        </w:rPr>
        <w:t xml:space="preserve">, Fremde Richter: Die Rechtsprechung im Fürstentum Liechtenstein unter dem Einfluss schweizerischer und deutsch-österreichischer Richter 1938-1945, Zürich 2015; </w:t>
      </w:r>
      <w:r w:rsidRPr="00F71031">
        <w:rPr>
          <w:rFonts w:cs="Times New Roman"/>
          <w:smallCaps/>
          <w:sz w:val="18"/>
          <w:szCs w:val="18"/>
          <w:lang w:val="de-CH"/>
        </w:rPr>
        <w:t>Schindler</w:t>
      </w:r>
      <w:r w:rsidR="00B0688B" w:rsidRPr="00F71031">
        <w:rPr>
          <w:rFonts w:cs="Times New Roman"/>
          <w:sz w:val="18"/>
          <w:szCs w:val="18"/>
          <w:lang w:val="de-CH"/>
        </w:rPr>
        <w:t xml:space="preserve"> (FN </w:t>
      </w:r>
      <w:r w:rsidR="00B0688B" w:rsidRPr="00F71031">
        <w:rPr>
          <w:rFonts w:cs="Times New Roman"/>
          <w:sz w:val="18"/>
          <w:szCs w:val="18"/>
          <w:lang w:val="de-CH"/>
        </w:rPr>
        <w:fldChar w:fldCharType="begin"/>
      </w:r>
      <w:r w:rsidR="00B0688B" w:rsidRPr="00F71031">
        <w:rPr>
          <w:rFonts w:cs="Times New Roman"/>
          <w:sz w:val="18"/>
          <w:szCs w:val="18"/>
          <w:lang w:val="de-CH"/>
        </w:rPr>
        <w:instrText xml:space="preserve"> NOTEREF _Ref41669252 \h </w:instrText>
      </w:r>
      <w:r w:rsidR="00F71031" w:rsidRPr="00F71031">
        <w:rPr>
          <w:rFonts w:cs="Times New Roman"/>
          <w:sz w:val="18"/>
          <w:szCs w:val="18"/>
          <w:lang w:val="de-CH"/>
        </w:rPr>
        <w:instrText xml:space="preserve"> \* MERGEFORMAT </w:instrText>
      </w:r>
      <w:r w:rsidR="00B0688B" w:rsidRPr="00F71031">
        <w:rPr>
          <w:rFonts w:cs="Times New Roman"/>
          <w:sz w:val="18"/>
          <w:szCs w:val="18"/>
          <w:lang w:val="de-CH"/>
        </w:rPr>
      </w:r>
      <w:r w:rsidR="00B0688B" w:rsidRPr="00F71031">
        <w:rPr>
          <w:rFonts w:cs="Times New Roman"/>
          <w:sz w:val="18"/>
          <w:szCs w:val="18"/>
          <w:lang w:val="de-CH"/>
        </w:rPr>
        <w:fldChar w:fldCharType="separate"/>
      </w:r>
      <w:r w:rsidR="00D2043F">
        <w:rPr>
          <w:rFonts w:cs="Times New Roman"/>
          <w:sz w:val="18"/>
          <w:szCs w:val="18"/>
          <w:lang w:val="de-CH"/>
        </w:rPr>
        <w:t>7</w:t>
      </w:r>
      <w:r w:rsidR="00B0688B" w:rsidRPr="00F71031">
        <w:rPr>
          <w:rFonts w:cs="Times New Roman"/>
          <w:sz w:val="18"/>
          <w:szCs w:val="18"/>
          <w:lang w:val="de-CH"/>
        </w:rPr>
        <w:fldChar w:fldCharType="end"/>
      </w:r>
      <w:r w:rsidR="00B0688B" w:rsidRPr="00F71031">
        <w:rPr>
          <w:rFonts w:cs="Times New Roman"/>
          <w:sz w:val="18"/>
          <w:szCs w:val="18"/>
          <w:lang w:val="de-CH"/>
        </w:rPr>
        <w:t>), 114.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7115E"/>
    <w:multiLevelType w:val="hybridMultilevel"/>
    <w:tmpl w:val="154AF8CC"/>
    <w:lvl w:ilvl="0" w:tplc="4F82949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0242114"/>
    <w:multiLevelType w:val="hybridMultilevel"/>
    <w:tmpl w:val="718A4E3A"/>
    <w:lvl w:ilvl="0" w:tplc="D9621EAC">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2E54A96"/>
    <w:multiLevelType w:val="hybridMultilevel"/>
    <w:tmpl w:val="3AF671D8"/>
    <w:lvl w:ilvl="0" w:tplc="2E08755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53C7556"/>
    <w:multiLevelType w:val="hybridMultilevel"/>
    <w:tmpl w:val="458C677E"/>
    <w:lvl w:ilvl="0" w:tplc="EAA20ADC">
      <w:start w:val="1"/>
      <w:numFmt w:val="decimal"/>
      <w:lvlText w:val="%1."/>
      <w:lvlJc w:val="left"/>
      <w:pPr>
        <w:ind w:left="1854" w:hanging="360"/>
      </w:pPr>
      <w:rPr>
        <w:rFonts w:hint="default"/>
      </w:rPr>
    </w:lvl>
    <w:lvl w:ilvl="1" w:tplc="04070019" w:tentative="1">
      <w:start w:val="1"/>
      <w:numFmt w:val="lowerLetter"/>
      <w:lvlText w:val="%2."/>
      <w:lvlJc w:val="left"/>
      <w:pPr>
        <w:ind w:left="2574" w:hanging="360"/>
      </w:pPr>
    </w:lvl>
    <w:lvl w:ilvl="2" w:tplc="0407001B" w:tentative="1">
      <w:start w:val="1"/>
      <w:numFmt w:val="lowerRoman"/>
      <w:lvlText w:val="%3."/>
      <w:lvlJc w:val="right"/>
      <w:pPr>
        <w:ind w:left="3294" w:hanging="180"/>
      </w:pPr>
    </w:lvl>
    <w:lvl w:ilvl="3" w:tplc="0407000F" w:tentative="1">
      <w:start w:val="1"/>
      <w:numFmt w:val="decimal"/>
      <w:lvlText w:val="%4."/>
      <w:lvlJc w:val="left"/>
      <w:pPr>
        <w:ind w:left="4014" w:hanging="360"/>
      </w:pPr>
    </w:lvl>
    <w:lvl w:ilvl="4" w:tplc="04070019" w:tentative="1">
      <w:start w:val="1"/>
      <w:numFmt w:val="lowerLetter"/>
      <w:lvlText w:val="%5."/>
      <w:lvlJc w:val="left"/>
      <w:pPr>
        <w:ind w:left="4734" w:hanging="360"/>
      </w:pPr>
    </w:lvl>
    <w:lvl w:ilvl="5" w:tplc="0407001B" w:tentative="1">
      <w:start w:val="1"/>
      <w:numFmt w:val="lowerRoman"/>
      <w:lvlText w:val="%6."/>
      <w:lvlJc w:val="right"/>
      <w:pPr>
        <w:ind w:left="5454" w:hanging="180"/>
      </w:pPr>
    </w:lvl>
    <w:lvl w:ilvl="6" w:tplc="0407000F" w:tentative="1">
      <w:start w:val="1"/>
      <w:numFmt w:val="decimal"/>
      <w:lvlText w:val="%7."/>
      <w:lvlJc w:val="left"/>
      <w:pPr>
        <w:ind w:left="6174" w:hanging="360"/>
      </w:pPr>
    </w:lvl>
    <w:lvl w:ilvl="7" w:tplc="04070019" w:tentative="1">
      <w:start w:val="1"/>
      <w:numFmt w:val="lowerLetter"/>
      <w:lvlText w:val="%8."/>
      <w:lvlJc w:val="left"/>
      <w:pPr>
        <w:ind w:left="6894" w:hanging="360"/>
      </w:pPr>
    </w:lvl>
    <w:lvl w:ilvl="8" w:tplc="0407001B" w:tentative="1">
      <w:start w:val="1"/>
      <w:numFmt w:val="lowerRoman"/>
      <w:lvlText w:val="%9."/>
      <w:lvlJc w:val="right"/>
      <w:pPr>
        <w:ind w:left="7614" w:hanging="180"/>
      </w:pPr>
    </w:lvl>
  </w:abstractNum>
  <w:abstractNum w:abstractNumId="4" w15:restartNumberingAfterBreak="0">
    <w:nsid w:val="09066759"/>
    <w:multiLevelType w:val="multilevel"/>
    <w:tmpl w:val="613E23CC"/>
    <w:lvl w:ilvl="0">
      <w:start w:val="1"/>
      <w:numFmt w:val="decimal"/>
      <w:pStyle w:val="Randziffer"/>
      <w:suff w:val="nothing"/>
      <w:lvlText w:val="%1"/>
      <w:lvlJc w:val="center"/>
      <w:pPr>
        <w:ind w:left="0" w:firstLine="0"/>
      </w:pPr>
      <w:rPr>
        <w:rFonts w:hint="default"/>
        <w:b w:val="0"/>
        <w:bCs w:val="0"/>
        <w:i w:val="0"/>
        <w:iCs w:val="0"/>
        <w:caps w:val="0"/>
        <w:strike w:val="0"/>
        <w:dstrike w:val="0"/>
        <w:vanish w:val="0"/>
        <w:color w:val="auto"/>
        <w:spacing w:val="0"/>
        <w:kern w:val="0"/>
        <w:position w:val="0"/>
        <w:sz w:val="15"/>
        <w:szCs w:val="15"/>
        <w:u w:val="none"/>
        <w:vertAlign w:val="baseline"/>
      </w:rPr>
    </w:lvl>
    <w:lvl w:ilvl="1">
      <w:start w:val="1"/>
      <w:numFmt w:val="decimal"/>
      <w:suff w:val="space"/>
      <w:lvlText w:val="%1.%2"/>
      <w:lvlJc w:val="left"/>
      <w:pPr>
        <w:ind w:left="0" w:firstLine="0"/>
      </w:pPr>
      <w:rPr>
        <w:rFonts w:cs="Times New Roman" w:hint="default"/>
      </w:rPr>
    </w:lvl>
    <w:lvl w:ilvl="2">
      <w:start w:val="1"/>
      <w:numFmt w:val="decimal"/>
      <w:suff w:val="space"/>
      <w:lvlText w:val="%1.%2.%3"/>
      <w:lvlJc w:val="left"/>
      <w:pPr>
        <w:ind w:left="0" w:firstLine="0"/>
      </w:pPr>
      <w:rPr>
        <w:rFonts w:cs="Times New Roman" w:hint="default"/>
      </w:rPr>
    </w:lvl>
    <w:lvl w:ilvl="3">
      <w:start w:val="1"/>
      <w:numFmt w:val="decimal"/>
      <w:suff w:val="space"/>
      <w:lvlText w:val="%1.%2.%3.%4"/>
      <w:lvlJc w:val="left"/>
      <w:pPr>
        <w:ind w:left="0" w:firstLine="0"/>
      </w:pPr>
      <w:rPr>
        <w:rFonts w:cs="Times New Roman" w:hint="default"/>
      </w:rPr>
    </w:lvl>
    <w:lvl w:ilvl="4">
      <w:start w:val="1"/>
      <w:numFmt w:val="decimal"/>
      <w:suff w:val="space"/>
      <w:lvlText w:val="%1.%2.%3.%4.%5"/>
      <w:lvlJc w:val="left"/>
      <w:pPr>
        <w:ind w:left="0" w:firstLine="0"/>
      </w:pPr>
      <w:rPr>
        <w:rFonts w:cs="Times New Roman" w:hint="default"/>
      </w:rPr>
    </w:lvl>
    <w:lvl w:ilvl="5">
      <w:start w:val="1"/>
      <w:numFmt w:val="decimal"/>
      <w:suff w:val="space"/>
      <w:lvlText w:val="%1.%2.%3.%4.%5.%6"/>
      <w:lvlJc w:val="left"/>
      <w:pPr>
        <w:ind w:left="0" w:firstLine="0"/>
      </w:pPr>
      <w:rPr>
        <w:rFonts w:cs="Times New Roman" w:hint="default"/>
      </w:rPr>
    </w:lvl>
    <w:lvl w:ilvl="6">
      <w:start w:val="1"/>
      <w:numFmt w:val="decimal"/>
      <w:suff w:val="space"/>
      <w:lvlText w:val="%1.%2.%3.%4.%5.%6.%7"/>
      <w:lvlJc w:val="left"/>
      <w:pPr>
        <w:ind w:left="0" w:firstLine="0"/>
      </w:pPr>
      <w:rPr>
        <w:rFonts w:cs="Times New Roman" w:hint="default"/>
      </w:rPr>
    </w:lvl>
    <w:lvl w:ilvl="7">
      <w:start w:val="1"/>
      <w:numFmt w:val="decimal"/>
      <w:suff w:val="space"/>
      <w:lvlText w:val="%1.%2.%3.%4.%5.%6.%7.%8"/>
      <w:lvlJc w:val="left"/>
      <w:pPr>
        <w:ind w:left="0" w:firstLine="0"/>
      </w:pPr>
      <w:rPr>
        <w:rFonts w:cs="Times New Roman" w:hint="default"/>
      </w:rPr>
    </w:lvl>
    <w:lvl w:ilvl="8">
      <w:start w:val="1"/>
      <w:numFmt w:val="decimal"/>
      <w:suff w:val="space"/>
      <w:lvlText w:val="%1.%2.%3.%4.%5.%6.%7.%8.%9"/>
      <w:lvlJc w:val="left"/>
      <w:pPr>
        <w:ind w:left="0" w:firstLine="0"/>
      </w:pPr>
      <w:rPr>
        <w:rFonts w:cs="Times New Roman" w:hint="default"/>
      </w:rPr>
    </w:lvl>
  </w:abstractNum>
  <w:abstractNum w:abstractNumId="5" w15:restartNumberingAfterBreak="0">
    <w:nsid w:val="0C140BD3"/>
    <w:multiLevelType w:val="multilevel"/>
    <w:tmpl w:val="8CB80824"/>
    <w:lvl w:ilvl="0">
      <w:start w:val="1"/>
      <w:numFmt w:val="decimal"/>
      <w:lvlText w:val="%1."/>
      <w:lvlJc w:val="left"/>
      <w:pPr>
        <w:ind w:left="1854"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2934" w:hanging="1440"/>
      </w:pPr>
      <w:rPr>
        <w:rFonts w:hint="default"/>
      </w:rPr>
    </w:lvl>
  </w:abstractNum>
  <w:abstractNum w:abstractNumId="6" w15:restartNumberingAfterBreak="0">
    <w:nsid w:val="13542C54"/>
    <w:multiLevelType w:val="multilevel"/>
    <w:tmpl w:val="B538C3C8"/>
    <w:lvl w:ilvl="0">
      <w:start w:val="1"/>
      <w:numFmt w:val="decimal"/>
      <w:lvlText w:val="%1."/>
      <w:lvlJc w:val="left"/>
      <w:pPr>
        <w:ind w:left="1854" w:hanging="360"/>
      </w:pPr>
      <w:rPr>
        <w:rFonts w:hint="default"/>
      </w:rPr>
    </w:lvl>
    <w:lvl w:ilvl="1">
      <w:start w:val="1"/>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574" w:hanging="108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2934" w:hanging="1440"/>
      </w:pPr>
      <w:rPr>
        <w:rFonts w:hint="default"/>
      </w:rPr>
    </w:lvl>
  </w:abstractNum>
  <w:abstractNum w:abstractNumId="7" w15:restartNumberingAfterBreak="0">
    <w:nsid w:val="14455235"/>
    <w:multiLevelType w:val="multilevel"/>
    <w:tmpl w:val="0794259A"/>
    <w:lvl w:ilvl="0">
      <w:start w:val="1"/>
      <w:numFmt w:val="decimal"/>
      <w:lvlText w:val="%1."/>
      <w:lvlJc w:val="left"/>
      <w:pPr>
        <w:ind w:left="1854" w:hanging="360"/>
      </w:pPr>
      <w:rPr>
        <w:rFonts w:hint="default"/>
      </w:r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8" w15:restartNumberingAfterBreak="0">
    <w:nsid w:val="23565326"/>
    <w:multiLevelType w:val="hybridMultilevel"/>
    <w:tmpl w:val="2F2615A6"/>
    <w:lvl w:ilvl="0" w:tplc="F1B65D2A">
      <w:start w:val="1"/>
      <w:numFmt w:val="bullet"/>
      <w:lvlText w:val="-"/>
      <w:lvlJc w:val="left"/>
      <w:pPr>
        <w:tabs>
          <w:tab w:val="num" w:pos="720"/>
        </w:tabs>
        <w:ind w:left="720" w:hanging="360"/>
      </w:pPr>
      <w:rPr>
        <w:rFonts w:ascii="Times New Roman" w:hAnsi="Times New Roman" w:hint="default"/>
      </w:rPr>
    </w:lvl>
    <w:lvl w:ilvl="1" w:tplc="7A06D592" w:tentative="1">
      <w:start w:val="1"/>
      <w:numFmt w:val="bullet"/>
      <w:lvlText w:val="-"/>
      <w:lvlJc w:val="left"/>
      <w:pPr>
        <w:tabs>
          <w:tab w:val="num" w:pos="1440"/>
        </w:tabs>
        <w:ind w:left="1440" w:hanging="360"/>
      </w:pPr>
      <w:rPr>
        <w:rFonts w:ascii="Times New Roman" w:hAnsi="Times New Roman" w:hint="default"/>
      </w:rPr>
    </w:lvl>
    <w:lvl w:ilvl="2" w:tplc="EA94EE5E" w:tentative="1">
      <w:start w:val="1"/>
      <w:numFmt w:val="bullet"/>
      <w:lvlText w:val="-"/>
      <w:lvlJc w:val="left"/>
      <w:pPr>
        <w:tabs>
          <w:tab w:val="num" w:pos="2160"/>
        </w:tabs>
        <w:ind w:left="2160" w:hanging="360"/>
      </w:pPr>
      <w:rPr>
        <w:rFonts w:ascii="Times New Roman" w:hAnsi="Times New Roman" w:hint="default"/>
      </w:rPr>
    </w:lvl>
    <w:lvl w:ilvl="3" w:tplc="2EA832C8" w:tentative="1">
      <w:start w:val="1"/>
      <w:numFmt w:val="bullet"/>
      <w:lvlText w:val="-"/>
      <w:lvlJc w:val="left"/>
      <w:pPr>
        <w:tabs>
          <w:tab w:val="num" w:pos="2880"/>
        </w:tabs>
        <w:ind w:left="2880" w:hanging="360"/>
      </w:pPr>
      <w:rPr>
        <w:rFonts w:ascii="Times New Roman" w:hAnsi="Times New Roman" w:hint="default"/>
      </w:rPr>
    </w:lvl>
    <w:lvl w:ilvl="4" w:tplc="75887A28" w:tentative="1">
      <w:start w:val="1"/>
      <w:numFmt w:val="bullet"/>
      <w:lvlText w:val="-"/>
      <w:lvlJc w:val="left"/>
      <w:pPr>
        <w:tabs>
          <w:tab w:val="num" w:pos="3600"/>
        </w:tabs>
        <w:ind w:left="3600" w:hanging="360"/>
      </w:pPr>
      <w:rPr>
        <w:rFonts w:ascii="Times New Roman" w:hAnsi="Times New Roman" w:hint="default"/>
      </w:rPr>
    </w:lvl>
    <w:lvl w:ilvl="5" w:tplc="CF8A77B0" w:tentative="1">
      <w:start w:val="1"/>
      <w:numFmt w:val="bullet"/>
      <w:lvlText w:val="-"/>
      <w:lvlJc w:val="left"/>
      <w:pPr>
        <w:tabs>
          <w:tab w:val="num" w:pos="4320"/>
        </w:tabs>
        <w:ind w:left="4320" w:hanging="360"/>
      </w:pPr>
      <w:rPr>
        <w:rFonts w:ascii="Times New Roman" w:hAnsi="Times New Roman" w:hint="default"/>
      </w:rPr>
    </w:lvl>
    <w:lvl w:ilvl="6" w:tplc="FD821E9C" w:tentative="1">
      <w:start w:val="1"/>
      <w:numFmt w:val="bullet"/>
      <w:lvlText w:val="-"/>
      <w:lvlJc w:val="left"/>
      <w:pPr>
        <w:tabs>
          <w:tab w:val="num" w:pos="5040"/>
        </w:tabs>
        <w:ind w:left="5040" w:hanging="360"/>
      </w:pPr>
      <w:rPr>
        <w:rFonts w:ascii="Times New Roman" w:hAnsi="Times New Roman" w:hint="default"/>
      </w:rPr>
    </w:lvl>
    <w:lvl w:ilvl="7" w:tplc="88080EEE" w:tentative="1">
      <w:start w:val="1"/>
      <w:numFmt w:val="bullet"/>
      <w:lvlText w:val="-"/>
      <w:lvlJc w:val="left"/>
      <w:pPr>
        <w:tabs>
          <w:tab w:val="num" w:pos="5760"/>
        </w:tabs>
        <w:ind w:left="5760" w:hanging="360"/>
      </w:pPr>
      <w:rPr>
        <w:rFonts w:ascii="Times New Roman" w:hAnsi="Times New Roman" w:hint="default"/>
      </w:rPr>
    </w:lvl>
    <w:lvl w:ilvl="8" w:tplc="21923CEA"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8A048F4"/>
    <w:multiLevelType w:val="multilevel"/>
    <w:tmpl w:val="ADF4EE82"/>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8B97348"/>
    <w:multiLevelType w:val="hybridMultilevel"/>
    <w:tmpl w:val="B28A0D7A"/>
    <w:lvl w:ilvl="0" w:tplc="5A304F32">
      <w:start w:val="1"/>
      <w:numFmt w:val="decimal"/>
      <w:lvlText w:val="%1."/>
      <w:lvlJc w:val="left"/>
      <w:pPr>
        <w:ind w:left="1854" w:hanging="360"/>
      </w:pPr>
      <w:rPr>
        <w:rFonts w:hint="default"/>
      </w:rPr>
    </w:lvl>
    <w:lvl w:ilvl="1" w:tplc="04070019" w:tentative="1">
      <w:start w:val="1"/>
      <w:numFmt w:val="lowerLetter"/>
      <w:lvlText w:val="%2."/>
      <w:lvlJc w:val="left"/>
      <w:pPr>
        <w:ind w:left="2574" w:hanging="360"/>
      </w:pPr>
    </w:lvl>
    <w:lvl w:ilvl="2" w:tplc="0407001B" w:tentative="1">
      <w:start w:val="1"/>
      <w:numFmt w:val="lowerRoman"/>
      <w:lvlText w:val="%3."/>
      <w:lvlJc w:val="right"/>
      <w:pPr>
        <w:ind w:left="3294" w:hanging="180"/>
      </w:pPr>
    </w:lvl>
    <w:lvl w:ilvl="3" w:tplc="0407000F" w:tentative="1">
      <w:start w:val="1"/>
      <w:numFmt w:val="decimal"/>
      <w:lvlText w:val="%4."/>
      <w:lvlJc w:val="left"/>
      <w:pPr>
        <w:ind w:left="4014" w:hanging="360"/>
      </w:pPr>
    </w:lvl>
    <w:lvl w:ilvl="4" w:tplc="04070019" w:tentative="1">
      <w:start w:val="1"/>
      <w:numFmt w:val="lowerLetter"/>
      <w:lvlText w:val="%5."/>
      <w:lvlJc w:val="left"/>
      <w:pPr>
        <w:ind w:left="4734" w:hanging="360"/>
      </w:pPr>
    </w:lvl>
    <w:lvl w:ilvl="5" w:tplc="0407001B" w:tentative="1">
      <w:start w:val="1"/>
      <w:numFmt w:val="lowerRoman"/>
      <w:lvlText w:val="%6."/>
      <w:lvlJc w:val="right"/>
      <w:pPr>
        <w:ind w:left="5454" w:hanging="180"/>
      </w:pPr>
    </w:lvl>
    <w:lvl w:ilvl="6" w:tplc="0407000F" w:tentative="1">
      <w:start w:val="1"/>
      <w:numFmt w:val="decimal"/>
      <w:lvlText w:val="%7."/>
      <w:lvlJc w:val="left"/>
      <w:pPr>
        <w:ind w:left="6174" w:hanging="360"/>
      </w:pPr>
    </w:lvl>
    <w:lvl w:ilvl="7" w:tplc="04070019" w:tentative="1">
      <w:start w:val="1"/>
      <w:numFmt w:val="lowerLetter"/>
      <w:lvlText w:val="%8."/>
      <w:lvlJc w:val="left"/>
      <w:pPr>
        <w:ind w:left="6894" w:hanging="360"/>
      </w:pPr>
    </w:lvl>
    <w:lvl w:ilvl="8" w:tplc="0407001B" w:tentative="1">
      <w:start w:val="1"/>
      <w:numFmt w:val="lowerRoman"/>
      <w:lvlText w:val="%9."/>
      <w:lvlJc w:val="right"/>
      <w:pPr>
        <w:ind w:left="7614" w:hanging="180"/>
      </w:pPr>
    </w:lvl>
  </w:abstractNum>
  <w:abstractNum w:abstractNumId="11" w15:restartNumberingAfterBreak="0">
    <w:nsid w:val="2BE64F73"/>
    <w:multiLevelType w:val="hybridMultilevel"/>
    <w:tmpl w:val="84B81094"/>
    <w:lvl w:ilvl="0" w:tplc="5E28AE1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DB64D91"/>
    <w:multiLevelType w:val="hybridMultilevel"/>
    <w:tmpl w:val="F222B830"/>
    <w:lvl w:ilvl="0" w:tplc="0F128052">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F660A5D"/>
    <w:multiLevelType w:val="hybridMultilevel"/>
    <w:tmpl w:val="0794259A"/>
    <w:lvl w:ilvl="0" w:tplc="E1ECA25A">
      <w:start w:val="1"/>
      <w:numFmt w:val="decimal"/>
      <w:lvlText w:val="%1."/>
      <w:lvlJc w:val="left"/>
      <w:pPr>
        <w:ind w:left="1854" w:hanging="360"/>
      </w:pPr>
      <w:rPr>
        <w:rFonts w:hint="default"/>
      </w:rPr>
    </w:lvl>
    <w:lvl w:ilvl="1" w:tplc="04070019" w:tentative="1">
      <w:start w:val="1"/>
      <w:numFmt w:val="lowerLetter"/>
      <w:lvlText w:val="%2."/>
      <w:lvlJc w:val="left"/>
      <w:pPr>
        <w:ind w:left="2574" w:hanging="360"/>
      </w:pPr>
    </w:lvl>
    <w:lvl w:ilvl="2" w:tplc="0407001B" w:tentative="1">
      <w:start w:val="1"/>
      <w:numFmt w:val="lowerRoman"/>
      <w:lvlText w:val="%3."/>
      <w:lvlJc w:val="right"/>
      <w:pPr>
        <w:ind w:left="3294" w:hanging="180"/>
      </w:pPr>
    </w:lvl>
    <w:lvl w:ilvl="3" w:tplc="0407000F" w:tentative="1">
      <w:start w:val="1"/>
      <w:numFmt w:val="decimal"/>
      <w:lvlText w:val="%4."/>
      <w:lvlJc w:val="left"/>
      <w:pPr>
        <w:ind w:left="4014" w:hanging="360"/>
      </w:pPr>
    </w:lvl>
    <w:lvl w:ilvl="4" w:tplc="04070019" w:tentative="1">
      <w:start w:val="1"/>
      <w:numFmt w:val="lowerLetter"/>
      <w:lvlText w:val="%5."/>
      <w:lvlJc w:val="left"/>
      <w:pPr>
        <w:ind w:left="4734" w:hanging="360"/>
      </w:pPr>
    </w:lvl>
    <w:lvl w:ilvl="5" w:tplc="0407001B" w:tentative="1">
      <w:start w:val="1"/>
      <w:numFmt w:val="lowerRoman"/>
      <w:lvlText w:val="%6."/>
      <w:lvlJc w:val="right"/>
      <w:pPr>
        <w:ind w:left="5454" w:hanging="180"/>
      </w:pPr>
    </w:lvl>
    <w:lvl w:ilvl="6" w:tplc="0407000F" w:tentative="1">
      <w:start w:val="1"/>
      <w:numFmt w:val="decimal"/>
      <w:lvlText w:val="%7."/>
      <w:lvlJc w:val="left"/>
      <w:pPr>
        <w:ind w:left="6174" w:hanging="360"/>
      </w:pPr>
    </w:lvl>
    <w:lvl w:ilvl="7" w:tplc="04070019" w:tentative="1">
      <w:start w:val="1"/>
      <w:numFmt w:val="lowerLetter"/>
      <w:lvlText w:val="%8."/>
      <w:lvlJc w:val="left"/>
      <w:pPr>
        <w:ind w:left="6894" w:hanging="360"/>
      </w:pPr>
    </w:lvl>
    <w:lvl w:ilvl="8" w:tplc="0407001B" w:tentative="1">
      <w:start w:val="1"/>
      <w:numFmt w:val="lowerRoman"/>
      <w:lvlText w:val="%9."/>
      <w:lvlJc w:val="right"/>
      <w:pPr>
        <w:ind w:left="7614" w:hanging="180"/>
      </w:pPr>
    </w:lvl>
  </w:abstractNum>
  <w:abstractNum w:abstractNumId="14" w15:restartNumberingAfterBreak="0">
    <w:nsid w:val="33091C78"/>
    <w:multiLevelType w:val="hybridMultilevel"/>
    <w:tmpl w:val="D84C7870"/>
    <w:lvl w:ilvl="0" w:tplc="DBBC76A0">
      <w:start w:val="1"/>
      <w:numFmt w:val="upperRoman"/>
      <w:lvlText w:val="%1."/>
      <w:lvlJc w:val="left"/>
      <w:pPr>
        <w:ind w:left="2214"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0D56C7A"/>
    <w:multiLevelType w:val="hybridMultilevel"/>
    <w:tmpl w:val="AE4C1F98"/>
    <w:lvl w:ilvl="0" w:tplc="256A96CC">
      <w:start w:val="4"/>
      <w:numFmt w:val="bullet"/>
      <w:lvlText w:val="-"/>
      <w:lvlJc w:val="left"/>
      <w:pPr>
        <w:ind w:left="720" w:hanging="360"/>
      </w:pPr>
      <w:rPr>
        <w:rFonts w:ascii="Times New Roman" w:eastAsia="Times New Roman"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2D659E0"/>
    <w:multiLevelType w:val="hybridMultilevel"/>
    <w:tmpl w:val="42447B50"/>
    <w:lvl w:ilvl="0" w:tplc="1886263E">
      <w:start w:val="1"/>
      <w:numFmt w:val="decimal"/>
      <w:lvlText w:val="%1."/>
      <w:lvlJc w:val="left"/>
      <w:pPr>
        <w:ind w:left="1854" w:hanging="360"/>
      </w:pPr>
      <w:rPr>
        <w:rFonts w:hint="default"/>
      </w:rPr>
    </w:lvl>
    <w:lvl w:ilvl="1" w:tplc="04070019">
      <w:start w:val="1"/>
      <w:numFmt w:val="lowerLetter"/>
      <w:lvlText w:val="%2."/>
      <w:lvlJc w:val="left"/>
      <w:pPr>
        <w:ind w:left="2574" w:hanging="360"/>
      </w:pPr>
    </w:lvl>
    <w:lvl w:ilvl="2" w:tplc="0407001B" w:tentative="1">
      <w:start w:val="1"/>
      <w:numFmt w:val="lowerRoman"/>
      <w:lvlText w:val="%3."/>
      <w:lvlJc w:val="right"/>
      <w:pPr>
        <w:ind w:left="3294" w:hanging="180"/>
      </w:pPr>
    </w:lvl>
    <w:lvl w:ilvl="3" w:tplc="0407000F" w:tentative="1">
      <w:start w:val="1"/>
      <w:numFmt w:val="decimal"/>
      <w:lvlText w:val="%4."/>
      <w:lvlJc w:val="left"/>
      <w:pPr>
        <w:ind w:left="4014" w:hanging="360"/>
      </w:pPr>
    </w:lvl>
    <w:lvl w:ilvl="4" w:tplc="04070019" w:tentative="1">
      <w:start w:val="1"/>
      <w:numFmt w:val="lowerLetter"/>
      <w:lvlText w:val="%5."/>
      <w:lvlJc w:val="left"/>
      <w:pPr>
        <w:ind w:left="4734" w:hanging="360"/>
      </w:pPr>
    </w:lvl>
    <w:lvl w:ilvl="5" w:tplc="0407001B" w:tentative="1">
      <w:start w:val="1"/>
      <w:numFmt w:val="lowerRoman"/>
      <w:lvlText w:val="%6."/>
      <w:lvlJc w:val="right"/>
      <w:pPr>
        <w:ind w:left="5454" w:hanging="180"/>
      </w:pPr>
    </w:lvl>
    <w:lvl w:ilvl="6" w:tplc="0407000F" w:tentative="1">
      <w:start w:val="1"/>
      <w:numFmt w:val="decimal"/>
      <w:lvlText w:val="%7."/>
      <w:lvlJc w:val="left"/>
      <w:pPr>
        <w:ind w:left="6174" w:hanging="360"/>
      </w:pPr>
    </w:lvl>
    <w:lvl w:ilvl="7" w:tplc="04070019" w:tentative="1">
      <w:start w:val="1"/>
      <w:numFmt w:val="lowerLetter"/>
      <w:lvlText w:val="%8."/>
      <w:lvlJc w:val="left"/>
      <w:pPr>
        <w:ind w:left="6894" w:hanging="360"/>
      </w:pPr>
    </w:lvl>
    <w:lvl w:ilvl="8" w:tplc="0407001B" w:tentative="1">
      <w:start w:val="1"/>
      <w:numFmt w:val="lowerRoman"/>
      <w:lvlText w:val="%9."/>
      <w:lvlJc w:val="right"/>
      <w:pPr>
        <w:ind w:left="7614" w:hanging="180"/>
      </w:pPr>
    </w:lvl>
  </w:abstractNum>
  <w:abstractNum w:abstractNumId="17" w15:restartNumberingAfterBreak="0">
    <w:nsid w:val="4DFA3286"/>
    <w:multiLevelType w:val="hybridMultilevel"/>
    <w:tmpl w:val="72C8D116"/>
    <w:lvl w:ilvl="0" w:tplc="047660FE">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60A0840"/>
    <w:multiLevelType w:val="hybridMultilevel"/>
    <w:tmpl w:val="AE16082E"/>
    <w:lvl w:ilvl="0" w:tplc="1C66B47C">
      <w:start w:val="4"/>
      <w:numFmt w:val="bullet"/>
      <w:lvlText w:val="-"/>
      <w:lvlJc w:val="left"/>
      <w:pPr>
        <w:ind w:left="720" w:hanging="360"/>
      </w:pPr>
      <w:rPr>
        <w:rFonts w:ascii="Times New Roman" w:eastAsia="Times New Roman"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57256686"/>
    <w:multiLevelType w:val="hybridMultilevel"/>
    <w:tmpl w:val="D3560942"/>
    <w:lvl w:ilvl="0" w:tplc="52CA8F1C">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7CE4265"/>
    <w:multiLevelType w:val="multilevel"/>
    <w:tmpl w:val="B538C3C8"/>
    <w:lvl w:ilvl="0">
      <w:start w:val="1"/>
      <w:numFmt w:val="decimal"/>
      <w:lvlText w:val="%1."/>
      <w:lvlJc w:val="left"/>
      <w:pPr>
        <w:ind w:left="1854" w:hanging="360"/>
      </w:pPr>
      <w:rPr>
        <w:rFonts w:hint="default"/>
      </w:rPr>
    </w:lvl>
    <w:lvl w:ilvl="1">
      <w:start w:val="1"/>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574" w:hanging="108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2934" w:hanging="1440"/>
      </w:pPr>
      <w:rPr>
        <w:rFonts w:hint="default"/>
      </w:rPr>
    </w:lvl>
  </w:abstractNum>
  <w:abstractNum w:abstractNumId="21" w15:restartNumberingAfterBreak="0">
    <w:nsid w:val="62AB0201"/>
    <w:multiLevelType w:val="multilevel"/>
    <w:tmpl w:val="3AAC6BAC"/>
    <w:lvl w:ilvl="0">
      <w:start w:val="2"/>
      <w:numFmt w:val="decimal"/>
      <w:lvlText w:val="%1"/>
      <w:lvlJc w:val="left"/>
      <w:pPr>
        <w:ind w:left="360" w:hanging="360"/>
      </w:pPr>
      <w:rPr>
        <w:rFonts w:hint="default"/>
      </w:rPr>
    </w:lvl>
    <w:lvl w:ilvl="1">
      <w:start w:val="1"/>
      <w:numFmt w:val="decimal"/>
      <w:lvlText w:val="%1.%2"/>
      <w:lvlJc w:val="left"/>
      <w:pPr>
        <w:ind w:left="1854" w:hanging="360"/>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044" w:hanging="108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22" w15:restartNumberingAfterBreak="0">
    <w:nsid w:val="67903A95"/>
    <w:multiLevelType w:val="hybridMultilevel"/>
    <w:tmpl w:val="4CD4B4CC"/>
    <w:lvl w:ilvl="0" w:tplc="4B38FBB8">
      <w:start w:val="1"/>
      <w:numFmt w:val="upperRoman"/>
      <w:lvlText w:val="%1."/>
      <w:lvlJc w:val="left"/>
      <w:pPr>
        <w:ind w:left="1146" w:hanging="72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3" w15:restartNumberingAfterBreak="0">
    <w:nsid w:val="759E001C"/>
    <w:multiLevelType w:val="hybridMultilevel"/>
    <w:tmpl w:val="D65ACA04"/>
    <w:lvl w:ilvl="0" w:tplc="20DCE29A">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82E3DD2"/>
    <w:multiLevelType w:val="hybridMultilevel"/>
    <w:tmpl w:val="AD9CE6AE"/>
    <w:lvl w:ilvl="0" w:tplc="6E1A537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FA77F96"/>
    <w:multiLevelType w:val="hybridMultilevel"/>
    <w:tmpl w:val="BCDE3D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9"/>
  </w:num>
  <w:num w:numId="3">
    <w:abstractNumId w:val="1"/>
  </w:num>
  <w:num w:numId="4">
    <w:abstractNumId w:val="11"/>
  </w:num>
  <w:num w:numId="5">
    <w:abstractNumId w:val="12"/>
  </w:num>
  <w:num w:numId="6">
    <w:abstractNumId w:val="23"/>
  </w:num>
  <w:num w:numId="7">
    <w:abstractNumId w:val="14"/>
  </w:num>
  <w:num w:numId="8">
    <w:abstractNumId w:val="20"/>
  </w:num>
  <w:num w:numId="9">
    <w:abstractNumId w:val="10"/>
  </w:num>
  <w:num w:numId="10">
    <w:abstractNumId w:val="5"/>
  </w:num>
  <w:num w:numId="11">
    <w:abstractNumId w:val="16"/>
  </w:num>
  <w:num w:numId="12">
    <w:abstractNumId w:val="2"/>
  </w:num>
  <w:num w:numId="13">
    <w:abstractNumId w:val="25"/>
  </w:num>
  <w:num w:numId="14">
    <w:abstractNumId w:val="17"/>
  </w:num>
  <w:num w:numId="15">
    <w:abstractNumId w:val="3"/>
  </w:num>
  <w:num w:numId="16">
    <w:abstractNumId w:val="22"/>
  </w:num>
  <w:num w:numId="17">
    <w:abstractNumId w:val="9"/>
  </w:num>
  <w:num w:numId="18">
    <w:abstractNumId w:val="13"/>
  </w:num>
  <w:num w:numId="19">
    <w:abstractNumId w:val="7"/>
  </w:num>
  <w:num w:numId="20">
    <w:abstractNumId w:val="6"/>
  </w:num>
  <w:num w:numId="21">
    <w:abstractNumId w:val="24"/>
  </w:num>
  <w:num w:numId="22">
    <w:abstractNumId w:val="21"/>
  </w:num>
  <w:num w:numId="23">
    <w:abstractNumId w:val="4"/>
  </w:num>
  <w:num w:numId="24">
    <w:abstractNumId w:val="18"/>
  </w:num>
  <w:num w:numId="25">
    <w:abstractNumId w:val="15"/>
  </w:num>
  <w:num w:numId="26">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doNotHyphenateCap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C38"/>
    <w:rsid w:val="0000075A"/>
    <w:rsid w:val="00000BD1"/>
    <w:rsid w:val="00001CF2"/>
    <w:rsid w:val="00002828"/>
    <w:rsid w:val="00002B28"/>
    <w:rsid w:val="00002F89"/>
    <w:rsid w:val="0000383F"/>
    <w:rsid w:val="00003D0F"/>
    <w:rsid w:val="00004550"/>
    <w:rsid w:val="000046D5"/>
    <w:rsid w:val="0000673C"/>
    <w:rsid w:val="00006A27"/>
    <w:rsid w:val="00007AC9"/>
    <w:rsid w:val="000109D3"/>
    <w:rsid w:val="000125A8"/>
    <w:rsid w:val="00014E64"/>
    <w:rsid w:val="0001683F"/>
    <w:rsid w:val="00016DEA"/>
    <w:rsid w:val="00020A13"/>
    <w:rsid w:val="000211A3"/>
    <w:rsid w:val="000214F7"/>
    <w:rsid w:val="00021687"/>
    <w:rsid w:val="000225EA"/>
    <w:rsid w:val="00024828"/>
    <w:rsid w:val="00024A52"/>
    <w:rsid w:val="00024B2A"/>
    <w:rsid w:val="00024C51"/>
    <w:rsid w:val="00025630"/>
    <w:rsid w:val="00025FDB"/>
    <w:rsid w:val="00025FE5"/>
    <w:rsid w:val="0003020A"/>
    <w:rsid w:val="00030B06"/>
    <w:rsid w:val="000320C4"/>
    <w:rsid w:val="000332CD"/>
    <w:rsid w:val="000336C7"/>
    <w:rsid w:val="00033C12"/>
    <w:rsid w:val="00034A51"/>
    <w:rsid w:val="000359AF"/>
    <w:rsid w:val="000359D3"/>
    <w:rsid w:val="00035DB7"/>
    <w:rsid w:val="000360AA"/>
    <w:rsid w:val="00036131"/>
    <w:rsid w:val="000368B7"/>
    <w:rsid w:val="000370DE"/>
    <w:rsid w:val="000403B3"/>
    <w:rsid w:val="00041A9D"/>
    <w:rsid w:val="000423B5"/>
    <w:rsid w:val="000424B5"/>
    <w:rsid w:val="00042722"/>
    <w:rsid w:val="00044AAC"/>
    <w:rsid w:val="00044C69"/>
    <w:rsid w:val="000451F3"/>
    <w:rsid w:val="00046601"/>
    <w:rsid w:val="00046B6F"/>
    <w:rsid w:val="000477AF"/>
    <w:rsid w:val="00047B38"/>
    <w:rsid w:val="00047E46"/>
    <w:rsid w:val="00050AE0"/>
    <w:rsid w:val="00052E1A"/>
    <w:rsid w:val="00053DDD"/>
    <w:rsid w:val="00053E64"/>
    <w:rsid w:val="00055A99"/>
    <w:rsid w:val="00055B22"/>
    <w:rsid w:val="000565F2"/>
    <w:rsid w:val="00057310"/>
    <w:rsid w:val="00057413"/>
    <w:rsid w:val="00061C36"/>
    <w:rsid w:val="000633F8"/>
    <w:rsid w:val="000664D9"/>
    <w:rsid w:val="00066DED"/>
    <w:rsid w:val="00067464"/>
    <w:rsid w:val="00067481"/>
    <w:rsid w:val="00067BA2"/>
    <w:rsid w:val="00067F21"/>
    <w:rsid w:val="0007067A"/>
    <w:rsid w:val="000710D6"/>
    <w:rsid w:val="000714CB"/>
    <w:rsid w:val="00071531"/>
    <w:rsid w:val="00071700"/>
    <w:rsid w:val="00071801"/>
    <w:rsid w:val="00071C5B"/>
    <w:rsid w:val="00073DB4"/>
    <w:rsid w:val="00073DE9"/>
    <w:rsid w:val="00074E57"/>
    <w:rsid w:val="00075EFB"/>
    <w:rsid w:val="00075F16"/>
    <w:rsid w:val="00076323"/>
    <w:rsid w:val="00076A09"/>
    <w:rsid w:val="00077460"/>
    <w:rsid w:val="000775FF"/>
    <w:rsid w:val="00077A28"/>
    <w:rsid w:val="00080504"/>
    <w:rsid w:val="00080838"/>
    <w:rsid w:val="00081643"/>
    <w:rsid w:val="0008224E"/>
    <w:rsid w:val="00082A3F"/>
    <w:rsid w:val="0008356E"/>
    <w:rsid w:val="00083D09"/>
    <w:rsid w:val="00083E2C"/>
    <w:rsid w:val="000842A7"/>
    <w:rsid w:val="00085483"/>
    <w:rsid w:val="00085CDD"/>
    <w:rsid w:val="000861DA"/>
    <w:rsid w:val="00086A07"/>
    <w:rsid w:val="000870EA"/>
    <w:rsid w:val="0008726C"/>
    <w:rsid w:val="00087CB1"/>
    <w:rsid w:val="0009058E"/>
    <w:rsid w:val="00090A2A"/>
    <w:rsid w:val="00090D9C"/>
    <w:rsid w:val="00090F98"/>
    <w:rsid w:val="0009155A"/>
    <w:rsid w:val="00091CC6"/>
    <w:rsid w:val="000921AD"/>
    <w:rsid w:val="000924B4"/>
    <w:rsid w:val="00092D39"/>
    <w:rsid w:val="00092F92"/>
    <w:rsid w:val="00093BE4"/>
    <w:rsid w:val="00093CC6"/>
    <w:rsid w:val="000942A7"/>
    <w:rsid w:val="000945EA"/>
    <w:rsid w:val="00094F53"/>
    <w:rsid w:val="0009574B"/>
    <w:rsid w:val="00096330"/>
    <w:rsid w:val="00096B77"/>
    <w:rsid w:val="000A004F"/>
    <w:rsid w:val="000A0054"/>
    <w:rsid w:val="000A10E4"/>
    <w:rsid w:val="000A3EDF"/>
    <w:rsid w:val="000A3FDD"/>
    <w:rsid w:val="000A44A0"/>
    <w:rsid w:val="000A4796"/>
    <w:rsid w:val="000A76EC"/>
    <w:rsid w:val="000A7C80"/>
    <w:rsid w:val="000A7F57"/>
    <w:rsid w:val="000B1A31"/>
    <w:rsid w:val="000B2BD1"/>
    <w:rsid w:val="000B5821"/>
    <w:rsid w:val="000B5C28"/>
    <w:rsid w:val="000B620F"/>
    <w:rsid w:val="000B641C"/>
    <w:rsid w:val="000B67FC"/>
    <w:rsid w:val="000B7A6D"/>
    <w:rsid w:val="000B7D33"/>
    <w:rsid w:val="000B7E0F"/>
    <w:rsid w:val="000C09AE"/>
    <w:rsid w:val="000C0A1A"/>
    <w:rsid w:val="000C1AB4"/>
    <w:rsid w:val="000C3720"/>
    <w:rsid w:val="000C3EFC"/>
    <w:rsid w:val="000C4D92"/>
    <w:rsid w:val="000C6C74"/>
    <w:rsid w:val="000C7147"/>
    <w:rsid w:val="000C71FD"/>
    <w:rsid w:val="000C76A5"/>
    <w:rsid w:val="000C7D41"/>
    <w:rsid w:val="000D0616"/>
    <w:rsid w:val="000D099B"/>
    <w:rsid w:val="000D165C"/>
    <w:rsid w:val="000D1A41"/>
    <w:rsid w:val="000D1DF8"/>
    <w:rsid w:val="000D2DF2"/>
    <w:rsid w:val="000D31F0"/>
    <w:rsid w:val="000D3BB1"/>
    <w:rsid w:val="000D3CBA"/>
    <w:rsid w:val="000D4899"/>
    <w:rsid w:val="000D4BED"/>
    <w:rsid w:val="000D57BB"/>
    <w:rsid w:val="000D6022"/>
    <w:rsid w:val="000D66C7"/>
    <w:rsid w:val="000D67DC"/>
    <w:rsid w:val="000D725A"/>
    <w:rsid w:val="000D7FC1"/>
    <w:rsid w:val="000E011B"/>
    <w:rsid w:val="000E12AD"/>
    <w:rsid w:val="000E12EA"/>
    <w:rsid w:val="000E199B"/>
    <w:rsid w:val="000E1FFC"/>
    <w:rsid w:val="000E2B9A"/>
    <w:rsid w:val="000E4008"/>
    <w:rsid w:val="000E4EB2"/>
    <w:rsid w:val="000F37BC"/>
    <w:rsid w:val="000F39FC"/>
    <w:rsid w:val="000F403B"/>
    <w:rsid w:val="000F4FEE"/>
    <w:rsid w:val="000F67A7"/>
    <w:rsid w:val="000F706A"/>
    <w:rsid w:val="001002A0"/>
    <w:rsid w:val="001002D5"/>
    <w:rsid w:val="00101B9E"/>
    <w:rsid w:val="00102A5F"/>
    <w:rsid w:val="00102E8D"/>
    <w:rsid w:val="00103C29"/>
    <w:rsid w:val="00103D58"/>
    <w:rsid w:val="00104390"/>
    <w:rsid w:val="0010442E"/>
    <w:rsid w:val="0010449A"/>
    <w:rsid w:val="00105195"/>
    <w:rsid w:val="00105304"/>
    <w:rsid w:val="001057FE"/>
    <w:rsid w:val="001066A2"/>
    <w:rsid w:val="00107F67"/>
    <w:rsid w:val="00110CB7"/>
    <w:rsid w:val="00110D73"/>
    <w:rsid w:val="00113045"/>
    <w:rsid w:val="001138CF"/>
    <w:rsid w:val="00113F1F"/>
    <w:rsid w:val="00114111"/>
    <w:rsid w:val="0011496D"/>
    <w:rsid w:val="0011554C"/>
    <w:rsid w:val="00115DFD"/>
    <w:rsid w:val="001162C8"/>
    <w:rsid w:val="00116C88"/>
    <w:rsid w:val="0011750D"/>
    <w:rsid w:val="0012036F"/>
    <w:rsid w:val="0012123B"/>
    <w:rsid w:val="00121D8A"/>
    <w:rsid w:val="00125A0D"/>
    <w:rsid w:val="00125FD6"/>
    <w:rsid w:val="00126557"/>
    <w:rsid w:val="00126E75"/>
    <w:rsid w:val="00127353"/>
    <w:rsid w:val="00130013"/>
    <w:rsid w:val="0013196C"/>
    <w:rsid w:val="001325EE"/>
    <w:rsid w:val="0013422F"/>
    <w:rsid w:val="001356E0"/>
    <w:rsid w:val="00136603"/>
    <w:rsid w:val="00140632"/>
    <w:rsid w:val="00140A82"/>
    <w:rsid w:val="001412D2"/>
    <w:rsid w:val="00141CCA"/>
    <w:rsid w:val="00142A3A"/>
    <w:rsid w:val="001432F8"/>
    <w:rsid w:val="001440BD"/>
    <w:rsid w:val="00144192"/>
    <w:rsid w:val="001442F2"/>
    <w:rsid w:val="0014465D"/>
    <w:rsid w:val="001461A4"/>
    <w:rsid w:val="00146F74"/>
    <w:rsid w:val="00147E15"/>
    <w:rsid w:val="00150709"/>
    <w:rsid w:val="0015084F"/>
    <w:rsid w:val="00151092"/>
    <w:rsid w:val="00151263"/>
    <w:rsid w:val="00151296"/>
    <w:rsid w:val="00153607"/>
    <w:rsid w:val="0015371C"/>
    <w:rsid w:val="00153948"/>
    <w:rsid w:val="00156058"/>
    <w:rsid w:val="0015671D"/>
    <w:rsid w:val="00156AFC"/>
    <w:rsid w:val="001600D8"/>
    <w:rsid w:val="001602F2"/>
    <w:rsid w:val="00160427"/>
    <w:rsid w:val="00163321"/>
    <w:rsid w:val="0016527E"/>
    <w:rsid w:val="0016659A"/>
    <w:rsid w:val="00166A2A"/>
    <w:rsid w:val="00166DA3"/>
    <w:rsid w:val="00167740"/>
    <w:rsid w:val="00167776"/>
    <w:rsid w:val="001705A7"/>
    <w:rsid w:val="001708B6"/>
    <w:rsid w:val="00170F93"/>
    <w:rsid w:val="00173320"/>
    <w:rsid w:val="00173840"/>
    <w:rsid w:val="00173D2A"/>
    <w:rsid w:val="00174DDA"/>
    <w:rsid w:val="0017546E"/>
    <w:rsid w:val="0017592D"/>
    <w:rsid w:val="00175D5E"/>
    <w:rsid w:val="00176772"/>
    <w:rsid w:val="00181A55"/>
    <w:rsid w:val="001835F2"/>
    <w:rsid w:val="001839DD"/>
    <w:rsid w:val="00183CE7"/>
    <w:rsid w:val="0018404F"/>
    <w:rsid w:val="00185162"/>
    <w:rsid w:val="00186A72"/>
    <w:rsid w:val="00186ADC"/>
    <w:rsid w:val="00187DE5"/>
    <w:rsid w:val="00190C4D"/>
    <w:rsid w:val="00190E1D"/>
    <w:rsid w:val="001918D3"/>
    <w:rsid w:val="00191EF7"/>
    <w:rsid w:val="00191FB7"/>
    <w:rsid w:val="00193446"/>
    <w:rsid w:val="00193ADB"/>
    <w:rsid w:val="0019503F"/>
    <w:rsid w:val="00195562"/>
    <w:rsid w:val="00195C37"/>
    <w:rsid w:val="00195FF5"/>
    <w:rsid w:val="00196DE5"/>
    <w:rsid w:val="00197D95"/>
    <w:rsid w:val="001A0318"/>
    <w:rsid w:val="001A0661"/>
    <w:rsid w:val="001A0702"/>
    <w:rsid w:val="001A2407"/>
    <w:rsid w:val="001A2B80"/>
    <w:rsid w:val="001A3E28"/>
    <w:rsid w:val="001A3F24"/>
    <w:rsid w:val="001A43B4"/>
    <w:rsid w:val="001A4782"/>
    <w:rsid w:val="001A4F2D"/>
    <w:rsid w:val="001A5124"/>
    <w:rsid w:val="001A5B7C"/>
    <w:rsid w:val="001A7959"/>
    <w:rsid w:val="001B22A7"/>
    <w:rsid w:val="001B298D"/>
    <w:rsid w:val="001B3592"/>
    <w:rsid w:val="001B404F"/>
    <w:rsid w:val="001B4149"/>
    <w:rsid w:val="001B4818"/>
    <w:rsid w:val="001B4B75"/>
    <w:rsid w:val="001B59C3"/>
    <w:rsid w:val="001B785B"/>
    <w:rsid w:val="001C0CCC"/>
    <w:rsid w:val="001C1674"/>
    <w:rsid w:val="001C2697"/>
    <w:rsid w:val="001C2A17"/>
    <w:rsid w:val="001C2A61"/>
    <w:rsid w:val="001C2B4D"/>
    <w:rsid w:val="001C49B3"/>
    <w:rsid w:val="001C4D4E"/>
    <w:rsid w:val="001C5164"/>
    <w:rsid w:val="001C6C7F"/>
    <w:rsid w:val="001C7F3A"/>
    <w:rsid w:val="001D05C7"/>
    <w:rsid w:val="001D0D31"/>
    <w:rsid w:val="001D0EEB"/>
    <w:rsid w:val="001D30A7"/>
    <w:rsid w:val="001D3AD2"/>
    <w:rsid w:val="001D4653"/>
    <w:rsid w:val="001D633D"/>
    <w:rsid w:val="001D7D67"/>
    <w:rsid w:val="001E1A4D"/>
    <w:rsid w:val="001E20D6"/>
    <w:rsid w:val="001E2583"/>
    <w:rsid w:val="001E2D9F"/>
    <w:rsid w:val="001E2E59"/>
    <w:rsid w:val="001E403F"/>
    <w:rsid w:val="001E5873"/>
    <w:rsid w:val="001E5A99"/>
    <w:rsid w:val="001E5E63"/>
    <w:rsid w:val="001E6A38"/>
    <w:rsid w:val="001E6DF9"/>
    <w:rsid w:val="001E79E0"/>
    <w:rsid w:val="001F1075"/>
    <w:rsid w:val="001F1BC2"/>
    <w:rsid w:val="001F23B4"/>
    <w:rsid w:val="001F2664"/>
    <w:rsid w:val="001F26EC"/>
    <w:rsid w:val="001F2B89"/>
    <w:rsid w:val="001F67B5"/>
    <w:rsid w:val="001F6F04"/>
    <w:rsid w:val="001F728E"/>
    <w:rsid w:val="001F7CB0"/>
    <w:rsid w:val="00200717"/>
    <w:rsid w:val="00200C41"/>
    <w:rsid w:val="00201813"/>
    <w:rsid w:val="00201EDB"/>
    <w:rsid w:val="002022F2"/>
    <w:rsid w:val="002026FE"/>
    <w:rsid w:val="00202CB0"/>
    <w:rsid w:val="00202F80"/>
    <w:rsid w:val="00202F9C"/>
    <w:rsid w:val="00203601"/>
    <w:rsid w:val="002038E1"/>
    <w:rsid w:val="00203C59"/>
    <w:rsid w:val="0020400B"/>
    <w:rsid w:val="00205886"/>
    <w:rsid w:val="00205B83"/>
    <w:rsid w:val="00205C0D"/>
    <w:rsid w:val="00205E40"/>
    <w:rsid w:val="00207CC7"/>
    <w:rsid w:val="00212317"/>
    <w:rsid w:val="00212473"/>
    <w:rsid w:val="0021374B"/>
    <w:rsid w:val="00213E30"/>
    <w:rsid w:val="00214508"/>
    <w:rsid w:val="00215596"/>
    <w:rsid w:val="00215AD8"/>
    <w:rsid w:val="00216AC6"/>
    <w:rsid w:val="00217EF1"/>
    <w:rsid w:val="00220194"/>
    <w:rsid w:val="00220289"/>
    <w:rsid w:val="0022117F"/>
    <w:rsid w:val="002215C5"/>
    <w:rsid w:val="002216FD"/>
    <w:rsid w:val="0022270D"/>
    <w:rsid w:val="002228FD"/>
    <w:rsid w:val="00222B1D"/>
    <w:rsid w:val="0022366C"/>
    <w:rsid w:val="00223682"/>
    <w:rsid w:val="002242D3"/>
    <w:rsid w:val="0022490E"/>
    <w:rsid w:val="002249AA"/>
    <w:rsid w:val="00225139"/>
    <w:rsid w:val="002306F7"/>
    <w:rsid w:val="00230C25"/>
    <w:rsid w:val="00232D57"/>
    <w:rsid w:val="002333EF"/>
    <w:rsid w:val="00233CAA"/>
    <w:rsid w:val="00233CB0"/>
    <w:rsid w:val="00233D02"/>
    <w:rsid w:val="002340AD"/>
    <w:rsid w:val="00235086"/>
    <w:rsid w:val="002357D9"/>
    <w:rsid w:val="00236877"/>
    <w:rsid w:val="0023752B"/>
    <w:rsid w:val="002377B8"/>
    <w:rsid w:val="002405A2"/>
    <w:rsid w:val="002432DE"/>
    <w:rsid w:val="00244556"/>
    <w:rsid w:val="002457D1"/>
    <w:rsid w:val="00245F43"/>
    <w:rsid w:val="00247219"/>
    <w:rsid w:val="00247A54"/>
    <w:rsid w:val="00247F42"/>
    <w:rsid w:val="00251422"/>
    <w:rsid w:val="00251D0E"/>
    <w:rsid w:val="0025351A"/>
    <w:rsid w:val="00253528"/>
    <w:rsid w:val="00253BCA"/>
    <w:rsid w:val="00254039"/>
    <w:rsid w:val="002555B9"/>
    <w:rsid w:val="0025686E"/>
    <w:rsid w:val="0025740E"/>
    <w:rsid w:val="0025799C"/>
    <w:rsid w:val="00260AAB"/>
    <w:rsid w:val="00262B7A"/>
    <w:rsid w:val="00262C4F"/>
    <w:rsid w:val="00262CD1"/>
    <w:rsid w:val="002641CC"/>
    <w:rsid w:val="00265CFD"/>
    <w:rsid w:val="00265DA3"/>
    <w:rsid w:val="00266BEB"/>
    <w:rsid w:val="00267C24"/>
    <w:rsid w:val="00267E76"/>
    <w:rsid w:val="0027183A"/>
    <w:rsid w:val="002727E2"/>
    <w:rsid w:val="002732B1"/>
    <w:rsid w:val="00273D05"/>
    <w:rsid w:val="00273FFD"/>
    <w:rsid w:val="00275583"/>
    <w:rsid w:val="00275919"/>
    <w:rsid w:val="002759A4"/>
    <w:rsid w:val="0027636C"/>
    <w:rsid w:val="00276480"/>
    <w:rsid w:val="00276665"/>
    <w:rsid w:val="00276CCC"/>
    <w:rsid w:val="00280159"/>
    <w:rsid w:val="0028270F"/>
    <w:rsid w:val="002827CA"/>
    <w:rsid w:val="00282D46"/>
    <w:rsid w:val="00283634"/>
    <w:rsid w:val="0028371E"/>
    <w:rsid w:val="002856FB"/>
    <w:rsid w:val="00287F3C"/>
    <w:rsid w:val="0029178A"/>
    <w:rsid w:val="00291F82"/>
    <w:rsid w:val="00293545"/>
    <w:rsid w:val="0029355B"/>
    <w:rsid w:val="00296316"/>
    <w:rsid w:val="002A25B0"/>
    <w:rsid w:val="002A4603"/>
    <w:rsid w:val="002A6848"/>
    <w:rsid w:val="002A71D9"/>
    <w:rsid w:val="002A77C3"/>
    <w:rsid w:val="002B0888"/>
    <w:rsid w:val="002B0AD5"/>
    <w:rsid w:val="002B12E4"/>
    <w:rsid w:val="002B2F6D"/>
    <w:rsid w:val="002B35CE"/>
    <w:rsid w:val="002B3C12"/>
    <w:rsid w:val="002B4028"/>
    <w:rsid w:val="002B419C"/>
    <w:rsid w:val="002B4883"/>
    <w:rsid w:val="002B635B"/>
    <w:rsid w:val="002B699A"/>
    <w:rsid w:val="002B7989"/>
    <w:rsid w:val="002B7BC0"/>
    <w:rsid w:val="002B7C38"/>
    <w:rsid w:val="002C1ACA"/>
    <w:rsid w:val="002C2000"/>
    <w:rsid w:val="002C29DB"/>
    <w:rsid w:val="002C2AAE"/>
    <w:rsid w:val="002C3607"/>
    <w:rsid w:val="002C3C5D"/>
    <w:rsid w:val="002C3CC1"/>
    <w:rsid w:val="002C49C1"/>
    <w:rsid w:val="002C5057"/>
    <w:rsid w:val="002C5B07"/>
    <w:rsid w:val="002D2485"/>
    <w:rsid w:val="002D2587"/>
    <w:rsid w:val="002D3EA3"/>
    <w:rsid w:val="002D3F96"/>
    <w:rsid w:val="002D42D3"/>
    <w:rsid w:val="002D49DC"/>
    <w:rsid w:val="002D5816"/>
    <w:rsid w:val="002D5EA3"/>
    <w:rsid w:val="002D64BD"/>
    <w:rsid w:val="002D716A"/>
    <w:rsid w:val="002E010B"/>
    <w:rsid w:val="002E0E36"/>
    <w:rsid w:val="002E19DC"/>
    <w:rsid w:val="002E1B7B"/>
    <w:rsid w:val="002E1F2A"/>
    <w:rsid w:val="002E2284"/>
    <w:rsid w:val="002E29C9"/>
    <w:rsid w:val="002E3E0C"/>
    <w:rsid w:val="002E3E4A"/>
    <w:rsid w:val="002E4247"/>
    <w:rsid w:val="002E4844"/>
    <w:rsid w:val="002E51FB"/>
    <w:rsid w:val="002E524E"/>
    <w:rsid w:val="002E5701"/>
    <w:rsid w:val="002E59DC"/>
    <w:rsid w:val="002E5C6F"/>
    <w:rsid w:val="002F02AD"/>
    <w:rsid w:val="002F0A37"/>
    <w:rsid w:val="002F0B10"/>
    <w:rsid w:val="002F2414"/>
    <w:rsid w:val="002F3637"/>
    <w:rsid w:val="002F3F74"/>
    <w:rsid w:val="002F4BAD"/>
    <w:rsid w:val="002F5E0A"/>
    <w:rsid w:val="002F5E92"/>
    <w:rsid w:val="002F61AC"/>
    <w:rsid w:val="002F716E"/>
    <w:rsid w:val="002F75C4"/>
    <w:rsid w:val="002F7D95"/>
    <w:rsid w:val="002F7FAB"/>
    <w:rsid w:val="0030003C"/>
    <w:rsid w:val="00300108"/>
    <w:rsid w:val="00300294"/>
    <w:rsid w:val="0030046B"/>
    <w:rsid w:val="00301220"/>
    <w:rsid w:val="00301778"/>
    <w:rsid w:val="00302591"/>
    <w:rsid w:val="00302745"/>
    <w:rsid w:val="00302B5C"/>
    <w:rsid w:val="00303363"/>
    <w:rsid w:val="003043BB"/>
    <w:rsid w:val="00304B8A"/>
    <w:rsid w:val="00304CFE"/>
    <w:rsid w:val="00305B4F"/>
    <w:rsid w:val="00306054"/>
    <w:rsid w:val="00306B74"/>
    <w:rsid w:val="003073F2"/>
    <w:rsid w:val="003078DF"/>
    <w:rsid w:val="0031016B"/>
    <w:rsid w:val="00310A62"/>
    <w:rsid w:val="00310C86"/>
    <w:rsid w:val="003112D8"/>
    <w:rsid w:val="0031154A"/>
    <w:rsid w:val="00311C17"/>
    <w:rsid w:val="003122D2"/>
    <w:rsid w:val="00312586"/>
    <w:rsid w:val="0031286F"/>
    <w:rsid w:val="003136C9"/>
    <w:rsid w:val="00313D1A"/>
    <w:rsid w:val="00314516"/>
    <w:rsid w:val="003147E1"/>
    <w:rsid w:val="00314D72"/>
    <w:rsid w:val="003153A9"/>
    <w:rsid w:val="00315B88"/>
    <w:rsid w:val="00315C12"/>
    <w:rsid w:val="00315D8B"/>
    <w:rsid w:val="00316020"/>
    <w:rsid w:val="003166E6"/>
    <w:rsid w:val="00316792"/>
    <w:rsid w:val="00316DF4"/>
    <w:rsid w:val="0031700F"/>
    <w:rsid w:val="00317341"/>
    <w:rsid w:val="0031758A"/>
    <w:rsid w:val="00317C13"/>
    <w:rsid w:val="00317D54"/>
    <w:rsid w:val="00320634"/>
    <w:rsid w:val="003212F6"/>
    <w:rsid w:val="00322683"/>
    <w:rsid w:val="003227EE"/>
    <w:rsid w:val="00322990"/>
    <w:rsid w:val="00322A62"/>
    <w:rsid w:val="00322B2B"/>
    <w:rsid w:val="00325406"/>
    <w:rsid w:val="00325F12"/>
    <w:rsid w:val="0032600F"/>
    <w:rsid w:val="00326852"/>
    <w:rsid w:val="0032784C"/>
    <w:rsid w:val="00330731"/>
    <w:rsid w:val="00331058"/>
    <w:rsid w:val="00333DFF"/>
    <w:rsid w:val="00334BD1"/>
    <w:rsid w:val="003378B3"/>
    <w:rsid w:val="00337FDC"/>
    <w:rsid w:val="003415C0"/>
    <w:rsid w:val="00342FFC"/>
    <w:rsid w:val="00343D5D"/>
    <w:rsid w:val="00345742"/>
    <w:rsid w:val="00347311"/>
    <w:rsid w:val="003511D3"/>
    <w:rsid w:val="00351B32"/>
    <w:rsid w:val="003526B4"/>
    <w:rsid w:val="00353082"/>
    <w:rsid w:val="00353B69"/>
    <w:rsid w:val="00353F53"/>
    <w:rsid w:val="00354671"/>
    <w:rsid w:val="00354E28"/>
    <w:rsid w:val="003554A1"/>
    <w:rsid w:val="00355A90"/>
    <w:rsid w:val="00355BAE"/>
    <w:rsid w:val="00355F21"/>
    <w:rsid w:val="0035635E"/>
    <w:rsid w:val="00360B91"/>
    <w:rsid w:val="00360BCE"/>
    <w:rsid w:val="00362713"/>
    <w:rsid w:val="00362F19"/>
    <w:rsid w:val="003631BD"/>
    <w:rsid w:val="00363597"/>
    <w:rsid w:val="003644D9"/>
    <w:rsid w:val="00364858"/>
    <w:rsid w:val="0036657F"/>
    <w:rsid w:val="003671DE"/>
    <w:rsid w:val="003672A9"/>
    <w:rsid w:val="003716B6"/>
    <w:rsid w:val="00371B40"/>
    <w:rsid w:val="0037233D"/>
    <w:rsid w:val="003730EA"/>
    <w:rsid w:val="00374A21"/>
    <w:rsid w:val="00375C5E"/>
    <w:rsid w:val="00376C7E"/>
    <w:rsid w:val="00376E87"/>
    <w:rsid w:val="00376FF3"/>
    <w:rsid w:val="003772C7"/>
    <w:rsid w:val="003779E6"/>
    <w:rsid w:val="003801BA"/>
    <w:rsid w:val="00380C44"/>
    <w:rsid w:val="00381B51"/>
    <w:rsid w:val="00381D43"/>
    <w:rsid w:val="00381DF2"/>
    <w:rsid w:val="00382B81"/>
    <w:rsid w:val="0038382F"/>
    <w:rsid w:val="003843C4"/>
    <w:rsid w:val="00384D36"/>
    <w:rsid w:val="003852FF"/>
    <w:rsid w:val="0039112F"/>
    <w:rsid w:val="003918B0"/>
    <w:rsid w:val="00391C83"/>
    <w:rsid w:val="00393044"/>
    <w:rsid w:val="0039421A"/>
    <w:rsid w:val="00394A6A"/>
    <w:rsid w:val="00394B61"/>
    <w:rsid w:val="0039549A"/>
    <w:rsid w:val="0039599B"/>
    <w:rsid w:val="0039670B"/>
    <w:rsid w:val="00396DAF"/>
    <w:rsid w:val="00396F3F"/>
    <w:rsid w:val="003A0A0D"/>
    <w:rsid w:val="003A0D8B"/>
    <w:rsid w:val="003A1FE8"/>
    <w:rsid w:val="003A2856"/>
    <w:rsid w:val="003A3F73"/>
    <w:rsid w:val="003A5E73"/>
    <w:rsid w:val="003A6D64"/>
    <w:rsid w:val="003A722A"/>
    <w:rsid w:val="003B306D"/>
    <w:rsid w:val="003B40AE"/>
    <w:rsid w:val="003B459B"/>
    <w:rsid w:val="003B4613"/>
    <w:rsid w:val="003B466E"/>
    <w:rsid w:val="003B5275"/>
    <w:rsid w:val="003B5503"/>
    <w:rsid w:val="003B58F0"/>
    <w:rsid w:val="003B6F94"/>
    <w:rsid w:val="003B7334"/>
    <w:rsid w:val="003B7B2C"/>
    <w:rsid w:val="003C005D"/>
    <w:rsid w:val="003C0260"/>
    <w:rsid w:val="003C18A8"/>
    <w:rsid w:val="003C3B42"/>
    <w:rsid w:val="003C3BC8"/>
    <w:rsid w:val="003C427B"/>
    <w:rsid w:val="003C42E4"/>
    <w:rsid w:val="003C4C6A"/>
    <w:rsid w:val="003C5C30"/>
    <w:rsid w:val="003C624B"/>
    <w:rsid w:val="003C7664"/>
    <w:rsid w:val="003C7E70"/>
    <w:rsid w:val="003D0904"/>
    <w:rsid w:val="003D28FA"/>
    <w:rsid w:val="003D2AFB"/>
    <w:rsid w:val="003D30A5"/>
    <w:rsid w:val="003D3751"/>
    <w:rsid w:val="003D3DA2"/>
    <w:rsid w:val="003D4ED7"/>
    <w:rsid w:val="003D53D5"/>
    <w:rsid w:val="003E0BD0"/>
    <w:rsid w:val="003E0C0F"/>
    <w:rsid w:val="003E1CAE"/>
    <w:rsid w:val="003E258C"/>
    <w:rsid w:val="003E3415"/>
    <w:rsid w:val="003E4037"/>
    <w:rsid w:val="003E4ABF"/>
    <w:rsid w:val="003E6B77"/>
    <w:rsid w:val="003E7B7B"/>
    <w:rsid w:val="003F0DD9"/>
    <w:rsid w:val="003F0F11"/>
    <w:rsid w:val="003F1B72"/>
    <w:rsid w:val="003F243B"/>
    <w:rsid w:val="003F3414"/>
    <w:rsid w:val="003F3D7E"/>
    <w:rsid w:val="003F50EC"/>
    <w:rsid w:val="003F552B"/>
    <w:rsid w:val="003F5EA9"/>
    <w:rsid w:val="004000D5"/>
    <w:rsid w:val="004001FE"/>
    <w:rsid w:val="00400E5E"/>
    <w:rsid w:val="004012DF"/>
    <w:rsid w:val="004018C0"/>
    <w:rsid w:val="00402F48"/>
    <w:rsid w:val="00404BE3"/>
    <w:rsid w:val="00405207"/>
    <w:rsid w:val="004055F0"/>
    <w:rsid w:val="00405E35"/>
    <w:rsid w:val="00406427"/>
    <w:rsid w:val="00407079"/>
    <w:rsid w:val="00407CF2"/>
    <w:rsid w:val="00407F08"/>
    <w:rsid w:val="004113E2"/>
    <w:rsid w:val="00411712"/>
    <w:rsid w:val="004125E0"/>
    <w:rsid w:val="00413558"/>
    <w:rsid w:val="00413FC4"/>
    <w:rsid w:val="00414075"/>
    <w:rsid w:val="004168CB"/>
    <w:rsid w:val="00416EA2"/>
    <w:rsid w:val="00416F7D"/>
    <w:rsid w:val="0041798A"/>
    <w:rsid w:val="004203B9"/>
    <w:rsid w:val="004216D6"/>
    <w:rsid w:val="00421761"/>
    <w:rsid w:val="004217FB"/>
    <w:rsid w:val="004223C1"/>
    <w:rsid w:val="004229E8"/>
    <w:rsid w:val="0042327F"/>
    <w:rsid w:val="004238CF"/>
    <w:rsid w:val="00424B5A"/>
    <w:rsid w:val="004251C8"/>
    <w:rsid w:val="0042541C"/>
    <w:rsid w:val="00425E9D"/>
    <w:rsid w:val="00426632"/>
    <w:rsid w:val="00427420"/>
    <w:rsid w:val="004276D3"/>
    <w:rsid w:val="00427CB8"/>
    <w:rsid w:val="004302FD"/>
    <w:rsid w:val="00430918"/>
    <w:rsid w:val="00430DC4"/>
    <w:rsid w:val="00431338"/>
    <w:rsid w:val="0043241E"/>
    <w:rsid w:val="00432989"/>
    <w:rsid w:val="004329F6"/>
    <w:rsid w:val="00432DAD"/>
    <w:rsid w:val="00432E09"/>
    <w:rsid w:val="00434745"/>
    <w:rsid w:val="00434940"/>
    <w:rsid w:val="00434CB0"/>
    <w:rsid w:val="00436212"/>
    <w:rsid w:val="00436874"/>
    <w:rsid w:val="00436E00"/>
    <w:rsid w:val="00437BD1"/>
    <w:rsid w:val="004405D1"/>
    <w:rsid w:val="004425C7"/>
    <w:rsid w:val="004446F0"/>
    <w:rsid w:val="00444B97"/>
    <w:rsid w:val="00444BCF"/>
    <w:rsid w:val="00445556"/>
    <w:rsid w:val="00446AC4"/>
    <w:rsid w:val="00446E47"/>
    <w:rsid w:val="0044760B"/>
    <w:rsid w:val="0045053D"/>
    <w:rsid w:val="00451300"/>
    <w:rsid w:val="004515E4"/>
    <w:rsid w:val="00451D53"/>
    <w:rsid w:val="0045219A"/>
    <w:rsid w:val="004535C8"/>
    <w:rsid w:val="00453648"/>
    <w:rsid w:val="004549E5"/>
    <w:rsid w:val="00455915"/>
    <w:rsid w:val="00455DAA"/>
    <w:rsid w:val="00456092"/>
    <w:rsid w:val="00456AA2"/>
    <w:rsid w:val="00456B24"/>
    <w:rsid w:val="004572B9"/>
    <w:rsid w:val="004574E1"/>
    <w:rsid w:val="0046127A"/>
    <w:rsid w:val="004619AD"/>
    <w:rsid w:val="00463424"/>
    <w:rsid w:val="00463DF9"/>
    <w:rsid w:val="004641DA"/>
    <w:rsid w:val="0046573A"/>
    <w:rsid w:val="00465D8B"/>
    <w:rsid w:val="00465FE0"/>
    <w:rsid w:val="004663B6"/>
    <w:rsid w:val="004678B0"/>
    <w:rsid w:val="00467DD9"/>
    <w:rsid w:val="00467EFF"/>
    <w:rsid w:val="00470AFB"/>
    <w:rsid w:val="00476B7D"/>
    <w:rsid w:val="00481957"/>
    <w:rsid w:val="00481BA9"/>
    <w:rsid w:val="00481FBC"/>
    <w:rsid w:val="00483A9F"/>
    <w:rsid w:val="00484C7E"/>
    <w:rsid w:val="004853A0"/>
    <w:rsid w:val="00486706"/>
    <w:rsid w:val="00486A98"/>
    <w:rsid w:val="004905D3"/>
    <w:rsid w:val="004906B7"/>
    <w:rsid w:val="0049205E"/>
    <w:rsid w:val="00492ABA"/>
    <w:rsid w:val="0049330E"/>
    <w:rsid w:val="00493EAA"/>
    <w:rsid w:val="004948B8"/>
    <w:rsid w:val="00494D0A"/>
    <w:rsid w:val="004A0806"/>
    <w:rsid w:val="004A0A56"/>
    <w:rsid w:val="004A15A9"/>
    <w:rsid w:val="004A228D"/>
    <w:rsid w:val="004A3EBD"/>
    <w:rsid w:val="004A3F61"/>
    <w:rsid w:val="004A520B"/>
    <w:rsid w:val="004A5EED"/>
    <w:rsid w:val="004A6595"/>
    <w:rsid w:val="004A78C8"/>
    <w:rsid w:val="004B0393"/>
    <w:rsid w:val="004B06F7"/>
    <w:rsid w:val="004B1EE9"/>
    <w:rsid w:val="004B2501"/>
    <w:rsid w:val="004B3105"/>
    <w:rsid w:val="004B39DD"/>
    <w:rsid w:val="004B466F"/>
    <w:rsid w:val="004B4B2A"/>
    <w:rsid w:val="004B53CA"/>
    <w:rsid w:val="004B6005"/>
    <w:rsid w:val="004B6E83"/>
    <w:rsid w:val="004B7156"/>
    <w:rsid w:val="004B78B9"/>
    <w:rsid w:val="004B7C9D"/>
    <w:rsid w:val="004B7DC8"/>
    <w:rsid w:val="004C0668"/>
    <w:rsid w:val="004C3659"/>
    <w:rsid w:val="004C42C7"/>
    <w:rsid w:val="004C4A68"/>
    <w:rsid w:val="004C5245"/>
    <w:rsid w:val="004C6662"/>
    <w:rsid w:val="004D0765"/>
    <w:rsid w:val="004D0ED9"/>
    <w:rsid w:val="004D1324"/>
    <w:rsid w:val="004D370C"/>
    <w:rsid w:val="004D38DF"/>
    <w:rsid w:val="004D435B"/>
    <w:rsid w:val="004D49AF"/>
    <w:rsid w:val="004D5465"/>
    <w:rsid w:val="004D7684"/>
    <w:rsid w:val="004E0E5D"/>
    <w:rsid w:val="004E5F9F"/>
    <w:rsid w:val="004E71B7"/>
    <w:rsid w:val="004E7B40"/>
    <w:rsid w:val="004F0142"/>
    <w:rsid w:val="004F090E"/>
    <w:rsid w:val="004F0B95"/>
    <w:rsid w:val="004F1943"/>
    <w:rsid w:val="004F1D82"/>
    <w:rsid w:val="004F2570"/>
    <w:rsid w:val="004F29FB"/>
    <w:rsid w:val="004F2BA2"/>
    <w:rsid w:val="004F30E7"/>
    <w:rsid w:val="004F3813"/>
    <w:rsid w:val="004F58DC"/>
    <w:rsid w:val="004F6420"/>
    <w:rsid w:val="004F75D3"/>
    <w:rsid w:val="004F7B69"/>
    <w:rsid w:val="004F7DA2"/>
    <w:rsid w:val="0050036A"/>
    <w:rsid w:val="00500AAD"/>
    <w:rsid w:val="00501A5B"/>
    <w:rsid w:val="00502B72"/>
    <w:rsid w:val="005030A6"/>
    <w:rsid w:val="00503222"/>
    <w:rsid w:val="00504A83"/>
    <w:rsid w:val="0050500C"/>
    <w:rsid w:val="00506E47"/>
    <w:rsid w:val="00510BDA"/>
    <w:rsid w:val="00511EF4"/>
    <w:rsid w:val="005145BF"/>
    <w:rsid w:val="005153C7"/>
    <w:rsid w:val="005160BE"/>
    <w:rsid w:val="0051637D"/>
    <w:rsid w:val="00516AF4"/>
    <w:rsid w:val="00517292"/>
    <w:rsid w:val="00517367"/>
    <w:rsid w:val="00520036"/>
    <w:rsid w:val="00520A02"/>
    <w:rsid w:val="00521554"/>
    <w:rsid w:val="0052325D"/>
    <w:rsid w:val="005235E1"/>
    <w:rsid w:val="005238C5"/>
    <w:rsid w:val="00523E20"/>
    <w:rsid w:val="005243BF"/>
    <w:rsid w:val="00524A54"/>
    <w:rsid w:val="00525150"/>
    <w:rsid w:val="005265FC"/>
    <w:rsid w:val="00527A11"/>
    <w:rsid w:val="00527CA4"/>
    <w:rsid w:val="0053034A"/>
    <w:rsid w:val="00530675"/>
    <w:rsid w:val="005307D5"/>
    <w:rsid w:val="00530C60"/>
    <w:rsid w:val="00530CEA"/>
    <w:rsid w:val="00530EB5"/>
    <w:rsid w:val="00530FE2"/>
    <w:rsid w:val="005315BF"/>
    <w:rsid w:val="0053178E"/>
    <w:rsid w:val="00531978"/>
    <w:rsid w:val="0053258F"/>
    <w:rsid w:val="00532C9C"/>
    <w:rsid w:val="00532E79"/>
    <w:rsid w:val="00535862"/>
    <w:rsid w:val="0053610D"/>
    <w:rsid w:val="005417E9"/>
    <w:rsid w:val="00541D2F"/>
    <w:rsid w:val="00543C98"/>
    <w:rsid w:val="005440F0"/>
    <w:rsid w:val="0054414C"/>
    <w:rsid w:val="005442C5"/>
    <w:rsid w:val="0054464D"/>
    <w:rsid w:val="00544842"/>
    <w:rsid w:val="00546087"/>
    <w:rsid w:val="00546274"/>
    <w:rsid w:val="0054652F"/>
    <w:rsid w:val="00546EA6"/>
    <w:rsid w:val="00547571"/>
    <w:rsid w:val="005478FD"/>
    <w:rsid w:val="00547B27"/>
    <w:rsid w:val="00547D22"/>
    <w:rsid w:val="005510A2"/>
    <w:rsid w:val="00552237"/>
    <w:rsid w:val="00552A8C"/>
    <w:rsid w:val="00552F68"/>
    <w:rsid w:val="00553F66"/>
    <w:rsid w:val="00554C28"/>
    <w:rsid w:val="00556F35"/>
    <w:rsid w:val="005628EC"/>
    <w:rsid w:val="00563B93"/>
    <w:rsid w:val="005656A9"/>
    <w:rsid w:val="00565894"/>
    <w:rsid w:val="00566316"/>
    <w:rsid w:val="00567013"/>
    <w:rsid w:val="005701DB"/>
    <w:rsid w:val="0057076E"/>
    <w:rsid w:val="005709B8"/>
    <w:rsid w:val="00571872"/>
    <w:rsid w:val="005719D9"/>
    <w:rsid w:val="00571BC8"/>
    <w:rsid w:val="00571F07"/>
    <w:rsid w:val="00572C73"/>
    <w:rsid w:val="005735C7"/>
    <w:rsid w:val="0057390A"/>
    <w:rsid w:val="0057461C"/>
    <w:rsid w:val="00574BE6"/>
    <w:rsid w:val="00575B84"/>
    <w:rsid w:val="005762CD"/>
    <w:rsid w:val="00576EEA"/>
    <w:rsid w:val="00580287"/>
    <w:rsid w:val="00581124"/>
    <w:rsid w:val="00581180"/>
    <w:rsid w:val="00581331"/>
    <w:rsid w:val="005815F9"/>
    <w:rsid w:val="00581B5C"/>
    <w:rsid w:val="00582B39"/>
    <w:rsid w:val="00582BE9"/>
    <w:rsid w:val="005832EB"/>
    <w:rsid w:val="00583AD4"/>
    <w:rsid w:val="00583E5F"/>
    <w:rsid w:val="00584574"/>
    <w:rsid w:val="005846C0"/>
    <w:rsid w:val="0058471C"/>
    <w:rsid w:val="00585981"/>
    <w:rsid w:val="005860EA"/>
    <w:rsid w:val="0058629C"/>
    <w:rsid w:val="005877DB"/>
    <w:rsid w:val="00587B7A"/>
    <w:rsid w:val="00591D2C"/>
    <w:rsid w:val="0059318A"/>
    <w:rsid w:val="005937EB"/>
    <w:rsid w:val="0059454F"/>
    <w:rsid w:val="00594D26"/>
    <w:rsid w:val="0059612F"/>
    <w:rsid w:val="00596934"/>
    <w:rsid w:val="00597A3F"/>
    <w:rsid w:val="005A019C"/>
    <w:rsid w:val="005A037A"/>
    <w:rsid w:val="005A1101"/>
    <w:rsid w:val="005A2A22"/>
    <w:rsid w:val="005A3C3B"/>
    <w:rsid w:val="005A460A"/>
    <w:rsid w:val="005A50DA"/>
    <w:rsid w:val="005A5437"/>
    <w:rsid w:val="005A5FA4"/>
    <w:rsid w:val="005A62FA"/>
    <w:rsid w:val="005A6393"/>
    <w:rsid w:val="005A64F0"/>
    <w:rsid w:val="005A7250"/>
    <w:rsid w:val="005A7F93"/>
    <w:rsid w:val="005B0258"/>
    <w:rsid w:val="005B09E0"/>
    <w:rsid w:val="005B1246"/>
    <w:rsid w:val="005B1815"/>
    <w:rsid w:val="005B18B1"/>
    <w:rsid w:val="005B25CF"/>
    <w:rsid w:val="005B337E"/>
    <w:rsid w:val="005B43DC"/>
    <w:rsid w:val="005B5016"/>
    <w:rsid w:val="005B7500"/>
    <w:rsid w:val="005B77A0"/>
    <w:rsid w:val="005B78C9"/>
    <w:rsid w:val="005B7D20"/>
    <w:rsid w:val="005B7D25"/>
    <w:rsid w:val="005C24D7"/>
    <w:rsid w:val="005C2B26"/>
    <w:rsid w:val="005C3133"/>
    <w:rsid w:val="005C3673"/>
    <w:rsid w:val="005C445E"/>
    <w:rsid w:val="005C5F79"/>
    <w:rsid w:val="005C6927"/>
    <w:rsid w:val="005C6EA3"/>
    <w:rsid w:val="005C72AC"/>
    <w:rsid w:val="005C7886"/>
    <w:rsid w:val="005C7AB4"/>
    <w:rsid w:val="005D001D"/>
    <w:rsid w:val="005D0D5F"/>
    <w:rsid w:val="005D12F7"/>
    <w:rsid w:val="005D1595"/>
    <w:rsid w:val="005D1A03"/>
    <w:rsid w:val="005D1C83"/>
    <w:rsid w:val="005D302F"/>
    <w:rsid w:val="005D30E2"/>
    <w:rsid w:val="005D4047"/>
    <w:rsid w:val="005D4310"/>
    <w:rsid w:val="005D4844"/>
    <w:rsid w:val="005D4F12"/>
    <w:rsid w:val="005D4F9E"/>
    <w:rsid w:val="005D5287"/>
    <w:rsid w:val="005D5F8D"/>
    <w:rsid w:val="005D7633"/>
    <w:rsid w:val="005D7DB4"/>
    <w:rsid w:val="005E098B"/>
    <w:rsid w:val="005E0E92"/>
    <w:rsid w:val="005E1BC6"/>
    <w:rsid w:val="005E4146"/>
    <w:rsid w:val="005E4C0F"/>
    <w:rsid w:val="005E5609"/>
    <w:rsid w:val="005E56C6"/>
    <w:rsid w:val="005E5C12"/>
    <w:rsid w:val="005E784A"/>
    <w:rsid w:val="005E7B17"/>
    <w:rsid w:val="005E7C9A"/>
    <w:rsid w:val="005E7DE0"/>
    <w:rsid w:val="005F05B6"/>
    <w:rsid w:val="005F0787"/>
    <w:rsid w:val="005F20A8"/>
    <w:rsid w:val="005F2D3E"/>
    <w:rsid w:val="005F3DF5"/>
    <w:rsid w:val="005F4224"/>
    <w:rsid w:val="005F4275"/>
    <w:rsid w:val="005F4F2B"/>
    <w:rsid w:val="005F6BCE"/>
    <w:rsid w:val="005F6F5D"/>
    <w:rsid w:val="005F7064"/>
    <w:rsid w:val="006002FC"/>
    <w:rsid w:val="006005CE"/>
    <w:rsid w:val="00600A01"/>
    <w:rsid w:val="0060112D"/>
    <w:rsid w:val="0060144F"/>
    <w:rsid w:val="0060153C"/>
    <w:rsid w:val="006018F8"/>
    <w:rsid w:val="0060296F"/>
    <w:rsid w:val="00602E94"/>
    <w:rsid w:val="00602FDB"/>
    <w:rsid w:val="00603D05"/>
    <w:rsid w:val="00604079"/>
    <w:rsid w:val="006046F7"/>
    <w:rsid w:val="00604882"/>
    <w:rsid w:val="00604C97"/>
    <w:rsid w:val="00605575"/>
    <w:rsid w:val="006060A0"/>
    <w:rsid w:val="00607B0A"/>
    <w:rsid w:val="0061031D"/>
    <w:rsid w:val="00611552"/>
    <w:rsid w:val="00612FB9"/>
    <w:rsid w:val="006136DA"/>
    <w:rsid w:val="00614E51"/>
    <w:rsid w:val="006168EE"/>
    <w:rsid w:val="00616907"/>
    <w:rsid w:val="00617130"/>
    <w:rsid w:val="00617B64"/>
    <w:rsid w:val="0062025D"/>
    <w:rsid w:val="006202C5"/>
    <w:rsid w:val="00620A12"/>
    <w:rsid w:val="00622F4C"/>
    <w:rsid w:val="00622F76"/>
    <w:rsid w:val="00623659"/>
    <w:rsid w:val="00623BAC"/>
    <w:rsid w:val="00624D10"/>
    <w:rsid w:val="00624F17"/>
    <w:rsid w:val="00625780"/>
    <w:rsid w:val="00626D58"/>
    <w:rsid w:val="00626E8F"/>
    <w:rsid w:val="006271DF"/>
    <w:rsid w:val="0063017A"/>
    <w:rsid w:val="00630349"/>
    <w:rsid w:val="006305EC"/>
    <w:rsid w:val="00631A16"/>
    <w:rsid w:val="0063205D"/>
    <w:rsid w:val="006328E2"/>
    <w:rsid w:val="006355C9"/>
    <w:rsid w:val="00636298"/>
    <w:rsid w:val="00636C8B"/>
    <w:rsid w:val="00637966"/>
    <w:rsid w:val="00637BE1"/>
    <w:rsid w:val="0064011C"/>
    <w:rsid w:val="00640FB0"/>
    <w:rsid w:val="006410F3"/>
    <w:rsid w:val="0064130E"/>
    <w:rsid w:val="006426FF"/>
    <w:rsid w:val="00642B0E"/>
    <w:rsid w:val="00643361"/>
    <w:rsid w:val="0064366E"/>
    <w:rsid w:val="00643D50"/>
    <w:rsid w:val="00644136"/>
    <w:rsid w:val="00645066"/>
    <w:rsid w:val="006467E6"/>
    <w:rsid w:val="00646D01"/>
    <w:rsid w:val="00646E11"/>
    <w:rsid w:val="00646FEE"/>
    <w:rsid w:val="006475C0"/>
    <w:rsid w:val="0065094D"/>
    <w:rsid w:val="00650FD4"/>
    <w:rsid w:val="006514F3"/>
    <w:rsid w:val="00651CA8"/>
    <w:rsid w:val="0065262E"/>
    <w:rsid w:val="006527B3"/>
    <w:rsid w:val="00654EE3"/>
    <w:rsid w:val="006560FD"/>
    <w:rsid w:val="006603C3"/>
    <w:rsid w:val="00661082"/>
    <w:rsid w:val="00661347"/>
    <w:rsid w:val="006618CB"/>
    <w:rsid w:val="00661A07"/>
    <w:rsid w:val="00661ED1"/>
    <w:rsid w:val="00662A74"/>
    <w:rsid w:val="00663EAF"/>
    <w:rsid w:val="00664F11"/>
    <w:rsid w:val="00664F1E"/>
    <w:rsid w:val="00665029"/>
    <w:rsid w:val="00665F32"/>
    <w:rsid w:val="00665FCF"/>
    <w:rsid w:val="00670388"/>
    <w:rsid w:val="00670F1C"/>
    <w:rsid w:val="00672149"/>
    <w:rsid w:val="00672177"/>
    <w:rsid w:val="00672DD0"/>
    <w:rsid w:val="00672FBD"/>
    <w:rsid w:val="00673965"/>
    <w:rsid w:val="006746E2"/>
    <w:rsid w:val="00674BA9"/>
    <w:rsid w:val="00674DF5"/>
    <w:rsid w:val="00676433"/>
    <w:rsid w:val="00676BEB"/>
    <w:rsid w:val="00677380"/>
    <w:rsid w:val="0067770D"/>
    <w:rsid w:val="006802AE"/>
    <w:rsid w:val="0068219C"/>
    <w:rsid w:val="006830F9"/>
    <w:rsid w:val="006833F7"/>
    <w:rsid w:val="006838A7"/>
    <w:rsid w:val="006839ED"/>
    <w:rsid w:val="00684A0C"/>
    <w:rsid w:val="00684E50"/>
    <w:rsid w:val="006854DC"/>
    <w:rsid w:val="00685E32"/>
    <w:rsid w:val="006909C1"/>
    <w:rsid w:val="00690B43"/>
    <w:rsid w:val="00691E6B"/>
    <w:rsid w:val="006921E1"/>
    <w:rsid w:val="006936AA"/>
    <w:rsid w:val="0069381E"/>
    <w:rsid w:val="00694551"/>
    <w:rsid w:val="006954EE"/>
    <w:rsid w:val="00695772"/>
    <w:rsid w:val="00696443"/>
    <w:rsid w:val="00697F1B"/>
    <w:rsid w:val="006A00BA"/>
    <w:rsid w:val="006A0267"/>
    <w:rsid w:val="006A10E2"/>
    <w:rsid w:val="006A19F4"/>
    <w:rsid w:val="006A236C"/>
    <w:rsid w:val="006A384D"/>
    <w:rsid w:val="006A44E1"/>
    <w:rsid w:val="006A637B"/>
    <w:rsid w:val="006A6D19"/>
    <w:rsid w:val="006A7E10"/>
    <w:rsid w:val="006B09C5"/>
    <w:rsid w:val="006B1E24"/>
    <w:rsid w:val="006B2201"/>
    <w:rsid w:val="006B38CE"/>
    <w:rsid w:val="006B4352"/>
    <w:rsid w:val="006B46B6"/>
    <w:rsid w:val="006B4B4E"/>
    <w:rsid w:val="006B6F1F"/>
    <w:rsid w:val="006C01E7"/>
    <w:rsid w:val="006C0222"/>
    <w:rsid w:val="006C028D"/>
    <w:rsid w:val="006C03B8"/>
    <w:rsid w:val="006C05B3"/>
    <w:rsid w:val="006C0FBD"/>
    <w:rsid w:val="006C204B"/>
    <w:rsid w:val="006C2AEA"/>
    <w:rsid w:val="006C44DF"/>
    <w:rsid w:val="006C5296"/>
    <w:rsid w:val="006C5FA1"/>
    <w:rsid w:val="006C610C"/>
    <w:rsid w:val="006C6C01"/>
    <w:rsid w:val="006C74CE"/>
    <w:rsid w:val="006C7CF8"/>
    <w:rsid w:val="006D2152"/>
    <w:rsid w:val="006D23FC"/>
    <w:rsid w:val="006D2A59"/>
    <w:rsid w:val="006D3BE7"/>
    <w:rsid w:val="006D4B86"/>
    <w:rsid w:val="006D5086"/>
    <w:rsid w:val="006D54EF"/>
    <w:rsid w:val="006D56F5"/>
    <w:rsid w:val="006D75D3"/>
    <w:rsid w:val="006D7D56"/>
    <w:rsid w:val="006E015D"/>
    <w:rsid w:val="006E0200"/>
    <w:rsid w:val="006E0364"/>
    <w:rsid w:val="006E041B"/>
    <w:rsid w:val="006E0B98"/>
    <w:rsid w:val="006E1816"/>
    <w:rsid w:val="006E2BE9"/>
    <w:rsid w:val="006E2EC7"/>
    <w:rsid w:val="006E4112"/>
    <w:rsid w:val="006E4612"/>
    <w:rsid w:val="006E59C2"/>
    <w:rsid w:val="006E5D2C"/>
    <w:rsid w:val="006E622B"/>
    <w:rsid w:val="006E6B37"/>
    <w:rsid w:val="006E7041"/>
    <w:rsid w:val="006F0F14"/>
    <w:rsid w:val="006F14FA"/>
    <w:rsid w:val="006F158F"/>
    <w:rsid w:val="006F18CD"/>
    <w:rsid w:val="006F1E63"/>
    <w:rsid w:val="006F3811"/>
    <w:rsid w:val="006F382D"/>
    <w:rsid w:val="006F44D0"/>
    <w:rsid w:val="006F4633"/>
    <w:rsid w:val="006F508F"/>
    <w:rsid w:val="006F68E3"/>
    <w:rsid w:val="007006F4"/>
    <w:rsid w:val="007015F8"/>
    <w:rsid w:val="00701749"/>
    <w:rsid w:val="0070559F"/>
    <w:rsid w:val="007059BB"/>
    <w:rsid w:val="0070681F"/>
    <w:rsid w:val="007075D6"/>
    <w:rsid w:val="007076E3"/>
    <w:rsid w:val="00707868"/>
    <w:rsid w:val="007102CC"/>
    <w:rsid w:val="00711955"/>
    <w:rsid w:val="00711CE1"/>
    <w:rsid w:val="00711E05"/>
    <w:rsid w:val="00712616"/>
    <w:rsid w:val="00713242"/>
    <w:rsid w:val="00713323"/>
    <w:rsid w:val="0071349E"/>
    <w:rsid w:val="007137D9"/>
    <w:rsid w:val="00713AC6"/>
    <w:rsid w:val="00714379"/>
    <w:rsid w:val="00714715"/>
    <w:rsid w:val="007153FA"/>
    <w:rsid w:val="007171EC"/>
    <w:rsid w:val="00717BD1"/>
    <w:rsid w:val="00720A36"/>
    <w:rsid w:val="007213FB"/>
    <w:rsid w:val="00721D72"/>
    <w:rsid w:val="0072233B"/>
    <w:rsid w:val="007227B0"/>
    <w:rsid w:val="00722C17"/>
    <w:rsid w:val="00722C24"/>
    <w:rsid w:val="00723967"/>
    <w:rsid w:val="00724B8D"/>
    <w:rsid w:val="007259FB"/>
    <w:rsid w:val="007263D7"/>
    <w:rsid w:val="007305A0"/>
    <w:rsid w:val="00731744"/>
    <w:rsid w:val="007321DD"/>
    <w:rsid w:val="007323FF"/>
    <w:rsid w:val="0073302B"/>
    <w:rsid w:val="007349ED"/>
    <w:rsid w:val="0073658B"/>
    <w:rsid w:val="0073664D"/>
    <w:rsid w:val="0073692A"/>
    <w:rsid w:val="007372C8"/>
    <w:rsid w:val="007376E3"/>
    <w:rsid w:val="007405D6"/>
    <w:rsid w:val="0074277C"/>
    <w:rsid w:val="00744898"/>
    <w:rsid w:val="00744EAD"/>
    <w:rsid w:val="007451D0"/>
    <w:rsid w:val="0074624C"/>
    <w:rsid w:val="007463D5"/>
    <w:rsid w:val="00747C78"/>
    <w:rsid w:val="00747CF2"/>
    <w:rsid w:val="00750742"/>
    <w:rsid w:val="00750CE7"/>
    <w:rsid w:val="00751339"/>
    <w:rsid w:val="007527BB"/>
    <w:rsid w:val="00752DAA"/>
    <w:rsid w:val="00753AB8"/>
    <w:rsid w:val="00754477"/>
    <w:rsid w:val="007552CA"/>
    <w:rsid w:val="00755507"/>
    <w:rsid w:val="00755DCE"/>
    <w:rsid w:val="007563D8"/>
    <w:rsid w:val="007564A6"/>
    <w:rsid w:val="007566B7"/>
    <w:rsid w:val="00756D83"/>
    <w:rsid w:val="00757D3D"/>
    <w:rsid w:val="00760551"/>
    <w:rsid w:val="007605B1"/>
    <w:rsid w:val="00760856"/>
    <w:rsid w:val="0076091E"/>
    <w:rsid w:val="0076234D"/>
    <w:rsid w:val="0076408B"/>
    <w:rsid w:val="00764C9E"/>
    <w:rsid w:val="007656DD"/>
    <w:rsid w:val="00765F29"/>
    <w:rsid w:val="00766642"/>
    <w:rsid w:val="00766D2B"/>
    <w:rsid w:val="007706F5"/>
    <w:rsid w:val="00770B27"/>
    <w:rsid w:val="00771CF3"/>
    <w:rsid w:val="00771FCE"/>
    <w:rsid w:val="0077352B"/>
    <w:rsid w:val="007737D6"/>
    <w:rsid w:val="007740B1"/>
    <w:rsid w:val="00775F5F"/>
    <w:rsid w:val="00777BB0"/>
    <w:rsid w:val="00780215"/>
    <w:rsid w:val="0078098D"/>
    <w:rsid w:val="007817FE"/>
    <w:rsid w:val="00781986"/>
    <w:rsid w:val="00782CD6"/>
    <w:rsid w:val="00782F09"/>
    <w:rsid w:val="00785959"/>
    <w:rsid w:val="00785F2C"/>
    <w:rsid w:val="007862DD"/>
    <w:rsid w:val="0078746C"/>
    <w:rsid w:val="00790DDC"/>
    <w:rsid w:val="0079202C"/>
    <w:rsid w:val="00792A2D"/>
    <w:rsid w:val="00793116"/>
    <w:rsid w:val="0079337A"/>
    <w:rsid w:val="00793EA5"/>
    <w:rsid w:val="00795077"/>
    <w:rsid w:val="00795297"/>
    <w:rsid w:val="007965D1"/>
    <w:rsid w:val="00796EB6"/>
    <w:rsid w:val="00797A0D"/>
    <w:rsid w:val="00797DE1"/>
    <w:rsid w:val="007A0A08"/>
    <w:rsid w:val="007A0BAB"/>
    <w:rsid w:val="007A1356"/>
    <w:rsid w:val="007A2816"/>
    <w:rsid w:val="007A3B0B"/>
    <w:rsid w:val="007A4AB8"/>
    <w:rsid w:val="007A550E"/>
    <w:rsid w:val="007A555A"/>
    <w:rsid w:val="007A678E"/>
    <w:rsid w:val="007A6E1C"/>
    <w:rsid w:val="007A6E71"/>
    <w:rsid w:val="007A70D7"/>
    <w:rsid w:val="007A73C4"/>
    <w:rsid w:val="007A7879"/>
    <w:rsid w:val="007B09E8"/>
    <w:rsid w:val="007B1CD2"/>
    <w:rsid w:val="007B1D5C"/>
    <w:rsid w:val="007B229A"/>
    <w:rsid w:val="007B23B2"/>
    <w:rsid w:val="007B2491"/>
    <w:rsid w:val="007B293F"/>
    <w:rsid w:val="007B2E37"/>
    <w:rsid w:val="007B3960"/>
    <w:rsid w:val="007B4AF1"/>
    <w:rsid w:val="007B58FD"/>
    <w:rsid w:val="007B5EEE"/>
    <w:rsid w:val="007B65A1"/>
    <w:rsid w:val="007B6837"/>
    <w:rsid w:val="007B7478"/>
    <w:rsid w:val="007C2623"/>
    <w:rsid w:val="007C273A"/>
    <w:rsid w:val="007C4309"/>
    <w:rsid w:val="007C4555"/>
    <w:rsid w:val="007C4BC6"/>
    <w:rsid w:val="007C5528"/>
    <w:rsid w:val="007C5C19"/>
    <w:rsid w:val="007C75A0"/>
    <w:rsid w:val="007C79A4"/>
    <w:rsid w:val="007C7EEF"/>
    <w:rsid w:val="007D22F0"/>
    <w:rsid w:val="007D25A9"/>
    <w:rsid w:val="007D331F"/>
    <w:rsid w:val="007D41EB"/>
    <w:rsid w:val="007D6835"/>
    <w:rsid w:val="007D6B7D"/>
    <w:rsid w:val="007D73C6"/>
    <w:rsid w:val="007D7BB2"/>
    <w:rsid w:val="007D7F85"/>
    <w:rsid w:val="007E0470"/>
    <w:rsid w:val="007E154E"/>
    <w:rsid w:val="007E1C8F"/>
    <w:rsid w:val="007E1FDC"/>
    <w:rsid w:val="007E534F"/>
    <w:rsid w:val="007E56E8"/>
    <w:rsid w:val="007E6A0C"/>
    <w:rsid w:val="007E7134"/>
    <w:rsid w:val="007F06CF"/>
    <w:rsid w:val="007F17B6"/>
    <w:rsid w:val="007F1C37"/>
    <w:rsid w:val="007F3584"/>
    <w:rsid w:val="007F3DAF"/>
    <w:rsid w:val="007F4F07"/>
    <w:rsid w:val="007F5357"/>
    <w:rsid w:val="007F551E"/>
    <w:rsid w:val="007F5574"/>
    <w:rsid w:val="007F62ED"/>
    <w:rsid w:val="007F6980"/>
    <w:rsid w:val="007F6DE9"/>
    <w:rsid w:val="008008B8"/>
    <w:rsid w:val="00801C24"/>
    <w:rsid w:val="00801ED9"/>
    <w:rsid w:val="00803214"/>
    <w:rsid w:val="00803215"/>
    <w:rsid w:val="00804173"/>
    <w:rsid w:val="00804339"/>
    <w:rsid w:val="008064C2"/>
    <w:rsid w:val="00806DF7"/>
    <w:rsid w:val="00807E49"/>
    <w:rsid w:val="0081002F"/>
    <w:rsid w:val="00810621"/>
    <w:rsid w:val="00810FED"/>
    <w:rsid w:val="00811118"/>
    <w:rsid w:val="008128E0"/>
    <w:rsid w:val="00812DE1"/>
    <w:rsid w:val="008156D7"/>
    <w:rsid w:val="00816D9F"/>
    <w:rsid w:val="0081718B"/>
    <w:rsid w:val="0081749C"/>
    <w:rsid w:val="008175C7"/>
    <w:rsid w:val="0082014E"/>
    <w:rsid w:val="008213AF"/>
    <w:rsid w:val="00823238"/>
    <w:rsid w:val="0082350C"/>
    <w:rsid w:val="0082550F"/>
    <w:rsid w:val="00825587"/>
    <w:rsid w:val="00825D7B"/>
    <w:rsid w:val="00826A47"/>
    <w:rsid w:val="00827E9A"/>
    <w:rsid w:val="008303F1"/>
    <w:rsid w:val="008307FF"/>
    <w:rsid w:val="00830DBC"/>
    <w:rsid w:val="00832001"/>
    <w:rsid w:val="0083289B"/>
    <w:rsid w:val="00832BB0"/>
    <w:rsid w:val="00833B53"/>
    <w:rsid w:val="00834007"/>
    <w:rsid w:val="008340C2"/>
    <w:rsid w:val="0083435B"/>
    <w:rsid w:val="0083497B"/>
    <w:rsid w:val="0083543E"/>
    <w:rsid w:val="00835E4A"/>
    <w:rsid w:val="00835F0F"/>
    <w:rsid w:val="00836584"/>
    <w:rsid w:val="00836977"/>
    <w:rsid w:val="00836D96"/>
    <w:rsid w:val="00840FC3"/>
    <w:rsid w:val="00841DE7"/>
    <w:rsid w:val="0084282A"/>
    <w:rsid w:val="00843492"/>
    <w:rsid w:val="00844184"/>
    <w:rsid w:val="008441FE"/>
    <w:rsid w:val="0084432F"/>
    <w:rsid w:val="008447FE"/>
    <w:rsid w:val="00844E5F"/>
    <w:rsid w:val="008458CF"/>
    <w:rsid w:val="00845CAC"/>
    <w:rsid w:val="00845EA2"/>
    <w:rsid w:val="0084698F"/>
    <w:rsid w:val="00850207"/>
    <w:rsid w:val="00850441"/>
    <w:rsid w:val="00850C26"/>
    <w:rsid w:val="00851311"/>
    <w:rsid w:val="00851D2A"/>
    <w:rsid w:val="00851D99"/>
    <w:rsid w:val="008532C1"/>
    <w:rsid w:val="0085384B"/>
    <w:rsid w:val="008539FD"/>
    <w:rsid w:val="008541E8"/>
    <w:rsid w:val="00854595"/>
    <w:rsid w:val="008557AA"/>
    <w:rsid w:val="008558D6"/>
    <w:rsid w:val="00856152"/>
    <w:rsid w:val="00856CDE"/>
    <w:rsid w:val="00856F2C"/>
    <w:rsid w:val="00856FD8"/>
    <w:rsid w:val="00857472"/>
    <w:rsid w:val="008610AB"/>
    <w:rsid w:val="00861D2A"/>
    <w:rsid w:val="008626B3"/>
    <w:rsid w:val="00864389"/>
    <w:rsid w:val="0086484A"/>
    <w:rsid w:val="00864C9E"/>
    <w:rsid w:val="008668E2"/>
    <w:rsid w:val="0086691D"/>
    <w:rsid w:val="00867D23"/>
    <w:rsid w:val="00867F14"/>
    <w:rsid w:val="0087021B"/>
    <w:rsid w:val="008715B9"/>
    <w:rsid w:val="00871801"/>
    <w:rsid w:val="00871C4C"/>
    <w:rsid w:val="00871F7E"/>
    <w:rsid w:val="008720AE"/>
    <w:rsid w:val="00872640"/>
    <w:rsid w:val="00873252"/>
    <w:rsid w:val="008734EB"/>
    <w:rsid w:val="00873E65"/>
    <w:rsid w:val="008750A4"/>
    <w:rsid w:val="0087546E"/>
    <w:rsid w:val="008758CD"/>
    <w:rsid w:val="00875C61"/>
    <w:rsid w:val="008764D0"/>
    <w:rsid w:val="00877587"/>
    <w:rsid w:val="00877805"/>
    <w:rsid w:val="00877BFB"/>
    <w:rsid w:val="00877E32"/>
    <w:rsid w:val="00880DA5"/>
    <w:rsid w:val="00880EC3"/>
    <w:rsid w:val="008816A1"/>
    <w:rsid w:val="00882BE6"/>
    <w:rsid w:val="00882D0D"/>
    <w:rsid w:val="00883B15"/>
    <w:rsid w:val="00883B42"/>
    <w:rsid w:val="00883BAD"/>
    <w:rsid w:val="00884644"/>
    <w:rsid w:val="00884EF8"/>
    <w:rsid w:val="00885C19"/>
    <w:rsid w:val="008867F8"/>
    <w:rsid w:val="00886836"/>
    <w:rsid w:val="00890813"/>
    <w:rsid w:val="008909AA"/>
    <w:rsid w:val="00891648"/>
    <w:rsid w:val="00891721"/>
    <w:rsid w:val="008918B9"/>
    <w:rsid w:val="00891F0B"/>
    <w:rsid w:val="00892059"/>
    <w:rsid w:val="00893BEB"/>
    <w:rsid w:val="008946C9"/>
    <w:rsid w:val="00895697"/>
    <w:rsid w:val="0089604C"/>
    <w:rsid w:val="00897270"/>
    <w:rsid w:val="00897C82"/>
    <w:rsid w:val="008A1562"/>
    <w:rsid w:val="008A2921"/>
    <w:rsid w:val="008A2E3C"/>
    <w:rsid w:val="008A5390"/>
    <w:rsid w:val="008A5460"/>
    <w:rsid w:val="008A5F7C"/>
    <w:rsid w:val="008A61B2"/>
    <w:rsid w:val="008A7629"/>
    <w:rsid w:val="008B073B"/>
    <w:rsid w:val="008B09F7"/>
    <w:rsid w:val="008B19D9"/>
    <w:rsid w:val="008B2468"/>
    <w:rsid w:val="008B28B1"/>
    <w:rsid w:val="008B2B90"/>
    <w:rsid w:val="008B3091"/>
    <w:rsid w:val="008B3F35"/>
    <w:rsid w:val="008B3F92"/>
    <w:rsid w:val="008B6E61"/>
    <w:rsid w:val="008B7248"/>
    <w:rsid w:val="008B7C65"/>
    <w:rsid w:val="008C04DE"/>
    <w:rsid w:val="008C0B6B"/>
    <w:rsid w:val="008C0D23"/>
    <w:rsid w:val="008C11CC"/>
    <w:rsid w:val="008C18F5"/>
    <w:rsid w:val="008C1A99"/>
    <w:rsid w:val="008C215E"/>
    <w:rsid w:val="008C2369"/>
    <w:rsid w:val="008C26AA"/>
    <w:rsid w:val="008C2985"/>
    <w:rsid w:val="008C3339"/>
    <w:rsid w:val="008C5411"/>
    <w:rsid w:val="008C572B"/>
    <w:rsid w:val="008C6951"/>
    <w:rsid w:val="008C7AE9"/>
    <w:rsid w:val="008D17DC"/>
    <w:rsid w:val="008D1C49"/>
    <w:rsid w:val="008D2590"/>
    <w:rsid w:val="008D3A8D"/>
    <w:rsid w:val="008D3B52"/>
    <w:rsid w:val="008D48C0"/>
    <w:rsid w:val="008D48EC"/>
    <w:rsid w:val="008D5DA3"/>
    <w:rsid w:val="008D6226"/>
    <w:rsid w:val="008D6955"/>
    <w:rsid w:val="008D70BE"/>
    <w:rsid w:val="008D74E9"/>
    <w:rsid w:val="008D7DA0"/>
    <w:rsid w:val="008E0517"/>
    <w:rsid w:val="008E069A"/>
    <w:rsid w:val="008E0C52"/>
    <w:rsid w:val="008E0FC3"/>
    <w:rsid w:val="008E11A8"/>
    <w:rsid w:val="008E42C0"/>
    <w:rsid w:val="008E5B4A"/>
    <w:rsid w:val="008E6A1B"/>
    <w:rsid w:val="008E6E16"/>
    <w:rsid w:val="008E6EA7"/>
    <w:rsid w:val="008E7252"/>
    <w:rsid w:val="008E7F77"/>
    <w:rsid w:val="008F26CE"/>
    <w:rsid w:val="008F2B68"/>
    <w:rsid w:val="008F3BDF"/>
    <w:rsid w:val="008F3EAA"/>
    <w:rsid w:val="008F4FAB"/>
    <w:rsid w:val="008F53C7"/>
    <w:rsid w:val="008F5EFC"/>
    <w:rsid w:val="008F6EE8"/>
    <w:rsid w:val="008F6F9A"/>
    <w:rsid w:val="008F7498"/>
    <w:rsid w:val="008F7DC8"/>
    <w:rsid w:val="00900D42"/>
    <w:rsid w:val="00900E7B"/>
    <w:rsid w:val="0090288F"/>
    <w:rsid w:val="00903A00"/>
    <w:rsid w:val="00905A90"/>
    <w:rsid w:val="00905CC7"/>
    <w:rsid w:val="0090634F"/>
    <w:rsid w:val="00906CC8"/>
    <w:rsid w:val="00910070"/>
    <w:rsid w:val="00910F1D"/>
    <w:rsid w:val="009111F6"/>
    <w:rsid w:val="00915394"/>
    <w:rsid w:val="00916063"/>
    <w:rsid w:val="009167B8"/>
    <w:rsid w:val="00917AE9"/>
    <w:rsid w:val="00917DCD"/>
    <w:rsid w:val="00920C00"/>
    <w:rsid w:val="00920FAD"/>
    <w:rsid w:val="0092106F"/>
    <w:rsid w:val="0092125F"/>
    <w:rsid w:val="009213CE"/>
    <w:rsid w:val="009217C0"/>
    <w:rsid w:val="00921EB9"/>
    <w:rsid w:val="009227D5"/>
    <w:rsid w:val="00923AEE"/>
    <w:rsid w:val="00923D75"/>
    <w:rsid w:val="0092426C"/>
    <w:rsid w:val="009244A3"/>
    <w:rsid w:val="009259F3"/>
    <w:rsid w:val="00925E19"/>
    <w:rsid w:val="009265B8"/>
    <w:rsid w:val="009269EF"/>
    <w:rsid w:val="00926AC5"/>
    <w:rsid w:val="00926EFD"/>
    <w:rsid w:val="00926F40"/>
    <w:rsid w:val="009278B1"/>
    <w:rsid w:val="009301A7"/>
    <w:rsid w:val="0093205B"/>
    <w:rsid w:val="009324F4"/>
    <w:rsid w:val="00933AA0"/>
    <w:rsid w:val="00935361"/>
    <w:rsid w:val="00936B50"/>
    <w:rsid w:val="00937E3D"/>
    <w:rsid w:val="00940FE5"/>
    <w:rsid w:val="00941652"/>
    <w:rsid w:val="00943534"/>
    <w:rsid w:val="00944180"/>
    <w:rsid w:val="00946A6C"/>
    <w:rsid w:val="00947B79"/>
    <w:rsid w:val="009500BE"/>
    <w:rsid w:val="00950380"/>
    <w:rsid w:val="00950FAC"/>
    <w:rsid w:val="00951035"/>
    <w:rsid w:val="00952D99"/>
    <w:rsid w:val="0095348A"/>
    <w:rsid w:val="00953C47"/>
    <w:rsid w:val="009544D4"/>
    <w:rsid w:val="009549CC"/>
    <w:rsid w:val="00954DB5"/>
    <w:rsid w:val="009574EB"/>
    <w:rsid w:val="009612F1"/>
    <w:rsid w:val="00961B00"/>
    <w:rsid w:val="00962A7A"/>
    <w:rsid w:val="00963A39"/>
    <w:rsid w:val="00964992"/>
    <w:rsid w:val="00964EC2"/>
    <w:rsid w:val="00965F1D"/>
    <w:rsid w:val="00965F43"/>
    <w:rsid w:val="00970320"/>
    <w:rsid w:val="0097107C"/>
    <w:rsid w:val="00972139"/>
    <w:rsid w:val="00972738"/>
    <w:rsid w:val="0097300B"/>
    <w:rsid w:val="00975E4C"/>
    <w:rsid w:val="009763C8"/>
    <w:rsid w:val="00976504"/>
    <w:rsid w:val="00977360"/>
    <w:rsid w:val="00977671"/>
    <w:rsid w:val="00980137"/>
    <w:rsid w:val="00980983"/>
    <w:rsid w:val="009810DB"/>
    <w:rsid w:val="0098167B"/>
    <w:rsid w:val="009816DF"/>
    <w:rsid w:val="00981C7A"/>
    <w:rsid w:val="009837B7"/>
    <w:rsid w:val="0098482C"/>
    <w:rsid w:val="0098487E"/>
    <w:rsid w:val="009851CB"/>
    <w:rsid w:val="009852D3"/>
    <w:rsid w:val="00985EBF"/>
    <w:rsid w:val="00986FAB"/>
    <w:rsid w:val="009874B3"/>
    <w:rsid w:val="009876BB"/>
    <w:rsid w:val="00990D98"/>
    <w:rsid w:val="009913F5"/>
    <w:rsid w:val="009929A9"/>
    <w:rsid w:val="009935BD"/>
    <w:rsid w:val="00993623"/>
    <w:rsid w:val="00993706"/>
    <w:rsid w:val="0099413F"/>
    <w:rsid w:val="00994C0C"/>
    <w:rsid w:val="009954BF"/>
    <w:rsid w:val="00995F8E"/>
    <w:rsid w:val="009961E6"/>
    <w:rsid w:val="009969CD"/>
    <w:rsid w:val="009A050C"/>
    <w:rsid w:val="009A0EF9"/>
    <w:rsid w:val="009A1734"/>
    <w:rsid w:val="009A25F7"/>
    <w:rsid w:val="009A3512"/>
    <w:rsid w:val="009A358C"/>
    <w:rsid w:val="009A447B"/>
    <w:rsid w:val="009A5647"/>
    <w:rsid w:val="009A5AE2"/>
    <w:rsid w:val="009A6430"/>
    <w:rsid w:val="009A6CAB"/>
    <w:rsid w:val="009A7690"/>
    <w:rsid w:val="009A797A"/>
    <w:rsid w:val="009A7EC8"/>
    <w:rsid w:val="009B096A"/>
    <w:rsid w:val="009B0B40"/>
    <w:rsid w:val="009B1812"/>
    <w:rsid w:val="009B1DE6"/>
    <w:rsid w:val="009B2D57"/>
    <w:rsid w:val="009B39BF"/>
    <w:rsid w:val="009B413A"/>
    <w:rsid w:val="009B4474"/>
    <w:rsid w:val="009B44AD"/>
    <w:rsid w:val="009B4ED3"/>
    <w:rsid w:val="009B59DA"/>
    <w:rsid w:val="009B6AA0"/>
    <w:rsid w:val="009B6DC5"/>
    <w:rsid w:val="009B72F9"/>
    <w:rsid w:val="009C001F"/>
    <w:rsid w:val="009C132C"/>
    <w:rsid w:val="009C150E"/>
    <w:rsid w:val="009C159A"/>
    <w:rsid w:val="009C260F"/>
    <w:rsid w:val="009C2A4D"/>
    <w:rsid w:val="009C2F0B"/>
    <w:rsid w:val="009C2F70"/>
    <w:rsid w:val="009C3F75"/>
    <w:rsid w:val="009C45C2"/>
    <w:rsid w:val="009C4DB4"/>
    <w:rsid w:val="009C50FE"/>
    <w:rsid w:val="009C5C90"/>
    <w:rsid w:val="009C638F"/>
    <w:rsid w:val="009C6DEF"/>
    <w:rsid w:val="009C6F1F"/>
    <w:rsid w:val="009D14F9"/>
    <w:rsid w:val="009D32D2"/>
    <w:rsid w:val="009D3E7B"/>
    <w:rsid w:val="009D5F88"/>
    <w:rsid w:val="009D706E"/>
    <w:rsid w:val="009E06A1"/>
    <w:rsid w:val="009E07A7"/>
    <w:rsid w:val="009E1D9F"/>
    <w:rsid w:val="009E21AB"/>
    <w:rsid w:val="009E392F"/>
    <w:rsid w:val="009E4A3E"/>
    <w:rsid w:val="009E5015"/>
    <w:rsid w:val="009E5110"/>
    <w:rsid w:val="009E7F4B"/>
    <w:rsid w:val="009F264F"/>
    <w:rsid w:val="009F270D"/>
    <w:rsid w:val="009F35D2"/>
    <w:rsid w:val="009F40DD"/>
    <w:rsid w:val="009F45F2"/>
    <w:rsid w:val="009F562B"/>
    <w:rsid w:val="009F6961"/>
    <w:rsid w:val="009F6BFA"/>
    <w:rsid w:val="009F6C2F"/>
    <w:rsid w:val="009F7DA7"/>
    <w:rsid w:val="00A00261"/>
    <w:rsid w:val="00A00537"/>
    <w:rsid w:val="00A0150D"/>
    <w:rsid w:val="00A019F8"/>
    <w:rsid w:val="00A0229E"/>
    <w:rsid w:val="00A02785"/>
    <w:rsid w:val="00A02B46"/>
    <w:rsid w:val="00A02DBE"/>
    <w:rsid w:val="00A03E61"/>
    <w:rsid w:val="00A04E00"/>
    <w:rsid w:val="00A05266"/>
    <w:rsid w:val="00A05CFF"/>
    <w:rsid w:val="00A06419"/>
    <w:rsid w:val="00A077B5"/>
    <w:rsid w:val="00A079CA"/>
    <w:rsid w:val="00A1023A"/>
    <w:rsid w:val="00A10603"/>
    <w:rsid w:val="00A10BB5"/>
    <w:rsid w:val="00A11F8A"/>
    <w:rsid w:val="00A133E0"/>
    <w:rsid w:val="00A14DE7"/>
    <w:rsid w:val="00A15516"/>
    <w:rsid w:val="00A165AA"/>
    <w:rsid w:val="00A16C8F"/>
    <w:rsid w:val="00A214F0"/>
    <w:rsid w:val="00A21533"/>
    <w:rsid w:val="00A21623"/>
    <w:rsid w:val="00A21FA9"/>
    <w:rsid w:val="00A26556"/>
    <w:rsid w:val="00A26703"/>
    <w:rsid w:val="00A26D45"/>
    <w:rsid w:val="00A27043"/>
    <w:rsid w:val="00A27987"/>
    <w:rsid w:val="00A27A72"/>
    <w:rsid w:val="00A30369"/>
    <w:rsid w:val="00A30682"/>
    <w:rsid w:val="00A3173E"/>
    <w:rsid w:val="00A31FD3"/>
    <w:rsid w:val="00A3391E"/>
    <w:rsid w:val="00A3439D"/>
    <w:rsid w:val="00A3475A"/>
    <w:rsid w:val="00A34F1C"/>
    <w:rsid w:val="00A352B2"/>
    <w:rsid w:val="00A37A8F"/>
    <w:rsid w:val="00A37C30"/>
    <w:rsid w:val="00A40669"/>
    <w:rsid w:val="00A41AC2"/>
    <w:rsid w:val="00A42FC3"/>
    <w:rsid w:val="00A44851"/>
    <w:rsid w:val="00A45296"/>
    <w:rsid w:val="00A4554F"/>
    <w:rsid w:val="00A45B9E"/>
    <w:rsid w:val="00A461CC"/>
    <w:rsid w:val="00A47914"/>
    <w:rsid w:val="00A52231"/>
    <w:rsid w:val="00A52AE2"/>
    <w:rsid w:val="00A53942"/>
    <w:rsid w:val="00A55815"/>
    <w:rsid w:val="00A56624"/>
    <w:rsid w:val="00A56984"/>
    <w:rsid w:val="00A57BE3"/>
    <w:rsid w:val="00A6034F"/>
    <w:rsid w:val="00A60C58"/>
    <w:rsid w:val="00A63075"/>
    <w:rsid w:val="00A6353A"/>
    <w:rsid w:val="00A6360B"/>
    <w:rsid w:val="00A63DBC"/>
    <w:rsid w:val="00A64829"/>
    <w:rsid w:val="00A6497F"/>
    <w:rsid w:val="00A6605F"/>
    <w:rsid w:val="00A663A0"/>
    <w:rsid w:val="00A667BD"/>
    <w:rsid w:val="00A7104F"/>
    <w:rsid w:val="00A7188A"/>
    <w:rsid w:val="00A72524"/>
    <w:rsid w:val="00A74D90"/>
    <w:rsid w:val="00A763C5"/>
    <w:rsid w:val="00A76EAF"/>
    <w:rsid w:val="00A7704A"/>
    <w:rsid w:val="00A8098E"/>
    <w:rsid w:val="00A823CD"/>
    <w:rsid w:val="00A824D3"/>
    <w:rsid w:val="00A82569"/>
    <w:rsid w:val="00A82DE4"/>
    <w:rsid w:val="00A82FFA"/>
    <w:rsid w:val="00A864CD"/>
    <w:rsid w:val="00A86597"/>
    <w:rsid w:val="00A86B1A"/>
    <w:rsid w:val="00A86CDF"/>
    <w:rsid w:val="00A90E40"/>
    <w:rsid w:val="00A93929"/>
    <w:rsid w:val="00A93A04"/>
    <w:rsid w:val="00A95628"/>
    <w:rsid w:val="00A9599E"/>
    <w:rsid w:val="00A965FD"/>
    <w:rsid w:val="00A9697A"/>
    <w:rsid w:val="00A973C0"/>
    <w:rsid w:val="00A97F4A"/>
    <w:rsid w:val="00AA005B"/>
    <w:rsid w:val="00AA1208"/>
    <w:rsid w:val="00AA3929"/>
    <w:rsid w:val="00AA39F1"/>
    <w:rsid w:val="00AA3B77"/>
    <w:rsid w:val="00AA4851"/>
    <w:rsid w:val="00AA68F6"/>
    <w:rsid w:val="00AA6ABE"/>
    <w:rsid w:val="00AA6DDF"/>
    <w:rsid w:val="00AA7002"/>
    <w:rsid w:val="00AA73F6"/>
    <w:rsid w:val="00AB00BA"/>
    <w:rsid w:val="00AB0344"/>
    <w:rsid w:val="00AB11A2"/>
    <w:rsid w:val="00AB17DD"/>
    <w:rsid w:val="00AB220B"/>
    <w:rsid w:val="00AB34D3"/>
    <w:rsid w:val="00AB3765"/>
    <w:rsid w:val="00AB498C"/>
    <w:rsid w:val="00AB555D"/>
    <w:rsid w:val="00AB64D9"/>
    <w:rsid w:val="00AB6A15"/>
    <w:rsid w:val="00AB6DEA"/>
    <w:rsid w:val="00AB7CBA"/>
    <w:rsid w:val="00AC08F4"/>
    <w:rsid w:val="00AC0CB5"/>
    <w:rsid w:val="00AC1711"/>
    <w:rsid w:val="00AC1DE0"/>
    <w:rsid w:val="00AC4736"/>
    <w:rsid w:val="00AC57B8"/>
    <w:rsid w:val="00AC59BC"/>
    <w:rsid w:val="00AC5E58"/>
    <w:rsid w:val="00AC6048"/>
    <w:rsid w:val="00AC6BA3"/>
    <w:rsid w:val="00AC6CE5"/>
    <w:rsid w:val="00AC6F43"/>
    <w:rsid w:val="00AC7278"/>
    <w:rsid w:val="00AC76DB"/>
    <w:rsid w:val="00AC7D72"/>
    <w:rsid w:val="00AD01D3"/>
    <w:rsid w:val="00AD03C1"/>
    <w:rsid w:val="00AD0E0F"/>
    <w:rsid w:val="00AD2060"/>
    <w:rsid w:val="00AD2888"/>
    <w:rsid w:val="00AD2FBF"/>
    <w:rsid w:val="00AD336F"/>
    <w:rsid w:val="00AD40B3"/>
    <w:rsid w:val="00AD448F"/>
    <w:rsid w:val="00AD44E0"/>
    <w:rsid w:val="00AD48E8"/>
    <w:rsid w:val="00AD5147"/>
    <w:rsid w:val="00AD567A"/>
    <w:rsid w:val="00AD5D34"/>
    <w:rsid w:val="00AD5F95"/>
    <w:rsid w:val="00AD623E"/>
    <w:rsid w:val="00AD757C"/>
    <w:rsid w:val="00AD7DA2"/>
    <w:rsid w:val="00AE1127"/>
    <w:rsid w:val="00AE1173"/>
    <w:rsid w:val="00AE14A8"/>
    <w:rsid w:val="00AE184D"/>
    <w:rsid w:val="00AE2C15"/>
    <w:rsid w:val="00AE422B"/>
    <w:rsid w:val="00AE43DB"/>
    <w:rsid w:val="00AE759F"/>
    <w:rsid w:val="00AE78AF"/>
    <w:rsid w:val="00AE7DD7"/>
    <w:rsid w:val="00AF05A7"/>
    <w:rsid w:val="00AF2A0D"/>
    <w:rsid w:val="00AF36A2"/>
    <w:rsid w:val="00AF3A1E"/>
    <w:rsid w:val="00AF47CA"/>
    <w:rsid w:val="00AF5124"/>
    <w:rsid w:val="00AF5520"/>
    <w:rsid w:val="00AF6E88"/>
    <w:rsid w:val="00AF6E9F"/>
    <w:rsid w:val="00AF6EFB"/>
    <w:rsid w:val="00AF7F27"/>
    <w:rsid w:val="00B010B4"/>
    <w:rsid w:val="00B02446"/>
    <w:rsid w:val="00B02C4B"/>
    <w:rsid w:val="00B05C3B"/>
    <w:rsid w:val="00B06145"/>
    <w:rsid w:val="00B061BF"/>
    <w:rsid w:val="00B06754"/>
    <w:rsid w:val="00B0688B"/>
    <w:rsid w:val="00B06958"/>
    <w:rsid w:val="00B06EBC"/>
    <w:rsid w:val="00B075BD"/>
    <w:rsid w:val="00B07736"/>
    <w:rsid w:val="00B102F4"/>
    <w:rsid w:val="00B10BC0"/>
    <w:rsid w:val="00B11239"/>
    <w:rsid w:val="00B118CF"/>
    <w:rsid w:val="00B12B06"/>
    <w:rsid w:val="00B13D4B"/>
    <w:rsid w:val="00B14170"/>
    <w:rsid w:val="00B14585"/>
    <w:rsid w:val="00B1468A"/>
    <w:rsid w:val="00B14ABD"/>
    <w:rsid w:val="00B14AE4"/>
    <w:rsid w:val="00B1513D"/>
    <w:rsid w:val="00B154DA"/>
    <w:rsid w:val="00B16BE0"/>
    <w:rsid w:val="00B16E80"/>
    <w:rsid w:val="00B17696"/>
    <w:rsid w:val="00B208E8"/>
    <w:rsid w:val="00B209D8"/>
    <w:rsid w:val="00B215E8"/>
    <w:rsid w:val="00B21A0D"/>
    <w:rsid w:val="00B21B63"/>
    <w:rsid w:val="00B21D7E"/>
    <w:rsid w:val="00B2206A"/>
    <w:rsid w:val="00B220FD"/>
    <w:rsid w:val="00B22D5C"/>
    <w:rsid w:val="00B25610"/>
    <w:rsid w:val="00B25CA0"/>
    <w:rsid w:val="00B279FC"/>
    <w:rsid w:val="00B27DCD"/>
    <w:rsid w:val="00B312BC"/>
    <w:rsid w:val="00B32984"/>
    <w:rsid w:val="00B33740"/>
    <w:rsid w:val="00B34FB8"/>
    <w:rsid w:val="00B350BE"/>
    <w:rsid w:val="00B352D3"/>
    <w:rsid w:val="00B35415"/>
    <w:rsid w:val="00B354AC"/>
    <w:rsid w:val="00B357FB"/>
    <w:rsid w:val="00B36A7E"/>
    <w:rsid w:val="00B37D8E"/>
    <w:rsid w:val="00B37D9B"/>
    <w:rsid w:val="00B4204A"/>
    <w:rsid w:val="00B425C6"/>
    <w:rsid w:val="00B42852"/>
    <w:rsid w:val="00B42D2F"/>
    <w:rsid w:val="00B4396E"/>
    <w:rsid w:val="00B45739"/>
    <w:rsid w:val="00B4581A"/>
    <w:rsid w:val="00B47850"/>
    <w:rsid w:val="00B50B80"/>
    <w:rsid w:val="00B50FF2"/>
    <w:rsid w:val="00B510DB"/>
    <w:rsid w:val="00B51F7E"/>
    <w:rsid w:val="00B520CF"/>
    <w:rsid w:val="00B52633"/>
    <w:rsid w:val="00B54577"/>
    <w:rsid w:val="00B572B6"/>
    <w:rsid w:val="00B577D5"/>
    <w:rsid w:val="00B579AF"/>
    <w:rsid w:val="00B60102"/>
    <w:rsid w:val="00B624B0"/>
    <w:rsid w:val="00B62BBE"/>
    <w:rsid w:val="00B62DC9"/>
    <w:rsid w:val="00B63919"/>
    <w:rsid w:val="00B642E2"/>
    <w:rsid w:val="00B65805"/>
    <w:rsid w:val="00B659D6"/>
    <w:rsid w:val="00B706B8"/>
    <w:rsid w:val="00B708DC"/>
    <w:rsid w:val="00B73110"/>
    <w:rsid w:val="00B74305"/>
    <w:rsid w:val="00B74BD1"/>
    <w:rsid w:val="00B74EE4"/>
    <w:rsid w:val="00B75D80"/>
    <w:rsid w:val="00B7616C"/>
    <w:rsid w:val="00B76337"/>
    <w:rsid w:val="00B76598"/>
    <w:rsid w:val="00B76DB9"/>
    <w:rsid w:val="00B80187"/>
    <w:rsid w:val="00B801E6"/>
    <w:rsid w:val="00B81115"/>
    <w:rsid w:val="00B812AF"/>
    <w:rsid w:val="00B818F6"/>
    <w:rsid w:val="00B81A00"/>
    <w:rsid w:val="00B82BD8"/>
    <w:rsid w:val="00B82E18"/>
    <w:rsid w:val="00B82FBE"/>
    <w:rsid w:val="00B83661"/>
    <w:rsid w:val="00B83B26"/>
    <w:rsid w:val="00B847C9"/>
    <w:rsid w:val="00B8502C"/>
    <w:rsid w:val="00B85047"/>
    <w:rsid w:val="00B87945"/>
    <w:rsid w:val="00B9012F"/>
    <w:rsid w:val="00B9035B"/>
    <w:rsid w:val="00B9167B"/>
    <w:rsid w:val="00B91A99"/>
    <w:rsid w:val="00B91B57"/>
    <w:rsid w:val="00B9286C"/>
    <w:rsid w:val="00B92F3F"/>
    <w:rsid w:val="00B93252"/>
    <w:rsid w:val="00B9329E"/>
    <w:rsid w:val="00B93BA6"/>
    <w:rsid w:val="00B948A1"/>
    <w:rsid w:val="00B9576E"/>
    <w:rsid w:val="00B958B3"/>
    <w:rsid w:val="00B95AC8"/>
    <w:rsid w:val="00B9662C"/>
    <w:rsid w:val="00B9757B"/>
    <w:rsid w:val="00B97A5A"/>
    <w:rsid w:val="00BA022F"/>
    <w:rsid w:val="00BA0CE7"/>
    <w:rsid w:val="00BA0ECA"/>
    <w:rsid w:val="00BA195B"/>
    <w:rsid w:val="00BA275D"/>
    <w:rsid w:val="00BA32C7"/>
    <w:rsid w:val="00BA515E"/>
    <w:rsid w:val="00BA6433"/>
    <w:rsid w:val="00BB03CF"/>
    <w:rsid w:val="00BB19A3"/>
    <w:rsid w:val="00BB1EF3"/>
    <w:rsid w:val="00BB26BF"/>
    <w:rsid w:val="00BB37A3"/>
    <w:rsid w:val="00BB3813"/>
    <w:rsid w:val="00BB410C"/>
    <w:rsid w:val="00BB5C3D"/>
    <w:rsid w:val="00BC0120"/>
    <w:rsid w:val="00BC0788"/>
    <w:rsid w:val="00BC17CB"/>
    <w:rsid w:val="00BC1CD9"/>
    <w:rsid w:val="00BC3130"/>
    <w:rsid w:val="00BC3C4B"/>
    <w:rsid w:val="00BC3E49"/>
    <w:rsid w:val="00BC688D"/>
    <w:rsid w:val="00BC6AD8"/>
    <w:rsid w:val="00BC7EC9"/>
    <w:rsid w:val="00BD01AE"/>
    <w:rsid w:val="00BD056D"/>
    <w:rsid w:val="00BD1EF7"/>
    <w:rsid w:val="00BD2832"/>
    <w:rsid w:val="00BD2E43"/>
    <w:rsid w:val="00BD2EEA"/>
    <w:rsid w:val="00BD301F"/>
    <w:rsid w:val="00BD308F"/>
    <w:rsid w:val="00BD313F"/>
    <w:rsid w:val="00BD332D"/>
    <w:rsid w:val="00BD33B9"/>
    <w:rsid w:val="00BD4450"/>
    <w:rsid w:val="00BD52EB"/>
    <w:rsid w:val="00BD69EA"/>
    <w:rsid w:val="00BD7D25"/>
    <w:rsid w:val="00BE0651"/>
    <w:rsid w:val="00BE2291"/>
    <w:rsid w:val="00BE32A5"/>
    <w:rsid w:val="00BE3E8A"/>
    <w:rsid w:val="00BE48AD"/>
    <w:rsid w:val="00BE54FE"/>
    <w:rsid w:val="00BE564F"/>
    <w:rsid w:val="00BE5994"/>
    <w:rsid w:val="00BE621A"/>
    <w:rsid w:val="00BF0B62"/>
    <w:rsid w:val="00BF100B"/>
    <w:rsid w:val="00BF25D7"/>
    <w:rsid w:val="00BF264B"/>
    <w:rsid w:val="00BF3C74"/>
    <w:rsid w:val="00BF4154"/>
    <w:rsid w:val="00BF4BDF"/>
    <w:rsid w:val="00C033B3"/>
    <w:rsid w:val="00C042A8"/>
    <w:rsid w:val="00C049A5"/>
    <w:rsid w:val="00C04CC4"/>
    <w:rsid w:val="00C04F33"/>
    <w:rsid w:val="00C0536A"/>
    <w:rsid w:val="00C061B9"/>
    <w:rsid w:val="00C062BF"/>
    <w:rsid w:val="00C07C26"/>
    <w:rsid w:val="00C108E6"/>
    <w:rsid w:val="00C1092E"/>
    <w:rsid w:val="00C1194D"/>
    <w:rsid w:val="00C11A8C"/>
    <w:rsid w:val="00C11D28"/>
    <w:rsid w:val="00C11F4B"/>
    <w:rsid w:val="00C128F3"/>
    <w:rsid w:val="00C13A25"/>
    <w:rsid w:val="00C13C6C"/>
    <w:rsid w:val="00C15202"/>
    <w:rsid w:val="00C156DB"/>
    <w:rsid w:val="00C15CC6"/>
    <w:rsid w:val="00C16512"/>
    <w:rsid w:val="00C1689F"/>
    <w:rsid w:val="00C171CF"/>
    <w:rsid w:val="00C172BD"/>
    <w:rsid w:val="00C20F2A"/>
    <w:rsid w:val="00C2156C"/>
    <w:rsid w:val="00C25020"/>
    <w:rsid w:val="00C258A9"/>
    <w:rsid w:val="00C26003"/>
    <w:rsid w:val="00C26CAF"/>
    <w:rsid w:val="00C2776C"/>
    <w:rsid w:val="00C27DBF"/>
    <w:rsid w:val="00C30039"/>
    <w:rsid w:val="00C3085C"/>
    <w:rsid w:val="00C31FE9"/>
    <w:rsid w:val="00C32B66"/>
    <w:rsid w:val="00C33118"/>
    <w:rsid w:val="00C3483E"/>
    <w:rsid w:val="00C349BD"/>
    <w:rsid w:val="00C356DF"/>
    <w:rsid w:val="00C37C9E"/>
    <w:rsid w:val="00C41514"/>
    <w:rsid w:val="00C42374"/>
    <w:rsid w:val="00C42691"/>
    <w:rsid w:val="00C44AA0"/>
    <w:rsid w:val="00C44FBF"/>
    <w:rsid w:val="00C44FC6"/>
    <w:rsid w:val="00C45D8A"/>
    <w:rsid w:val="00C46641"/>
    <w:rsid w:val="00C46F73"/>
    <w:rsid w:val="00C4760C"/>
    <w:rsid w:val="00C479EF"/>
    <w:rsid w:val="00C47D34"/>
    <w:rsid w:val="00C5010F"/>
    <w:rsid w:val="00C515B1"/>
    <w:rsid w:val="00C51995"/>
    <w:rsid w:val="00C51BC4"/>
    <w:rsid w:val="00C51F30"/>
    <w:rsid w:val="00C52B65"/>
    <w:rsid w:val="00C533BB"/>
    <w:rsid w:val="00C53E2F"/>
    <w:rsid w:val="00C54607"/>
    <w:rsid w:val="00C54B63"/>
    <w:rsid w:val="00C55051"/>
    <w:rsid w:val="00C55C15"/>
    <w:rsid w:val="00C563E4"/>
    <w:rsid w:val="00C56715"/>
    <w:rsid w:val="00C56772"/>
    <w:rsid w:val="00C57A76"/>
    <w:rsid w:val="00C57E34"/>
    <w:rsid w:val="00C6232E"/>
    <w:rsid w:val="00C626F3"/>
    <w:rsid w:val="00C62A6B"/>
    <w:rsid w:val="00C66C6E"/>
    <w:rsid w:val="00C66E0A"/>
    <w:rsid w:val="00C67592"/>
    <w:rsid w:val="00C67ADE"/>
    <w:rsid w:val="00C67CA4"/>
    <w:rsid w:val="00C70BB5"/>
    <w:rsid w:val="00C71A15"/>
    <w:rsid w:val="00C7202A"/>
    <w:rsid w:val="00C73151"/>
    <w:rsid w:val="00C7315C"/>
    <w:rsid w:val="00C73C1E"/>
    <w:rsid w:val="00C73E18"/>
    <w:rsid w:val="00C748DA"/>
    <w:rsid w:val="00C75ADE"/>
    <w:rsid w:val="00C75B32"/>
    <w:rsid w:val="00C77C47"/>
    <w:rsid w:val="00C77DD0"/>
    <w:rsid w:val="00C803BF"/>
    <w:rsid w:val="00C8074B"/>
    <w:rsid w:val="00C81461"/>
    <w:rsid w:val="00C820BB"/>
    <w:rsid w:val="00C83C10"/>
    <w:rsid w:val="00C8469C"/>
    <w:rsid w:val="00C86170"/>
    <w:rsid w:val="00C8643A"/>
    <w:rsid w:val="00C87406"/>
    <w:rsid w:val="00C87904"/>
    <w:rsid w:val="00C87F31"/>
    <w:rsid w:val="00C90D69"/>
    <w:rsid w:val="00C91717"/>
    <w:rsid w:val="00C944EC"/>
    <w:rsid w:val="00C9668D"/>
    <w:rsid w:val="00C96D05"/>
    <w:rsid w:val="00C976DF"/>
    <w:rsid w:val="00C97D79"/>
    <w:rsid w:val="00CA0205"/>
    <w:rsid w:val="00CA0311"/>
    <w:rsid w:val="00CA062E"/>
    <w:rsid w:val="00CA15DC"/>
    <w:rsid w:val="00CA37CE"/>
    <w:rsid w:val="00CA3CA1"/>
    <w:rsid w:val="00CA40E0"/>
    <w:rsid w:val="00CA48B6"/>
    <w:rsid w:val="00CA5F50"/>
    <w:rsid w:val="00CA629D"/>
    <w:rsid w:val="00CA6E4C"/>
    <w:rsid w:val="00CB02FD"/>
    <w:rsid w:val="00CB041E"/>
    <w:rsid w:val="00CB0685"/>
    <w:rsid w:val="00CB0878"/>
    <w:rsid w:val="00CB0E33"/>
    <w:rsid w:val="00CB1E9D"/>
    <w:rsid w:val="00CB2B15"/>
    <w:rsid w:val="00CB3716"/>
    <w:rsid w:val="00CB543C"/>
    <w:rsid w:val="00CB6640"/>
    <w:rsid w:val="00CB6BF0"/>
    <w:rsid w:val="00CB76C4"/>
    <w:rsid w:val="00CC033A"/>
    <w:rsid w:val="00CC0752"/>
    <w:rsid w:val="00CC3F42"/>
    <w:rsid w:val="00CC50F4"/>
    <w:rsid w:val="00CC751F"/>
    <w:rsid w:val="00CD0536"/>
    <w:rsid w:val="00CD0675"/>
    <w:rsid w:val="00CD08BE"/>
    <w:rsid w:val="00CD0950"/>
    <w:rsid w:val="00CD0B9C"/>
    <w:rsid w:val="00CD12EC"/>
    <w:rsid w:val="00CD1DF6"/>
    <w:rsid w:val="00CD1FE5"/>
    <w:rsid w:val="00CD2743"/>
    <w:rsid w:val="00CD3616"/>
    <w:rsid w:val="00CD3C2C"/>
    <w:rsid w:val="00CD440B"/>
    <w:rsid w:val="00CD4D75"/>
    <w:rsid w:val="00CD4F99"/>
    <w:rsid w:val="00CD62FE"/>
    <w:rsid w:val="00CD64B3"/>
    <w:rsid w:val="00CD6A7D"/>
    <w:rsid w:val="00CD6F6E"/>
    <w:rsid w:val="00CD774E"/>
    <w:rsid w:val="00CD79C7"/>
    <w:rsid w:val="00CE13B0"/>
    <w:rsid w:val="00CE2078"/>
    <w:rsid w:val="00CE2EE2"/>
    <w:rsid w:val="00CE34F8"/>
    <w:rsid w:val="00CE3E01"/>
    <w:rsid w:val="00CE64C0"/>
    <w:rsid w:val="00CE68C4"/>
    <w:rsid w:val="00CE754B"/>
    <w:rsid w:val="00CE75E3"/>
    <w:rsid w:val="00CE7C64"/>
    <w:rsid w:val="00CF04FE"/>
    <w:rsid w:val="00CF0638"/>
    <w:rsid w:val="00CF0DAD"/>
    <w:rsid w:val="00CF109C"/>
    <w:rsid w:val="00CF1351"/>
    <w:rsid w:val="00CF26EB"/>
    <w:rsid w:val="00CF35CC"/>
    <w:rsid w:val="00CF3FB3"/>
    <w:rsid w:val="00CF4917"/>
    <w:rsid w:val="00CF49F6"/>
    <w:rsid w:val="00CF4B5D"/>
    <w:rsid w:val="00CF4C56"/>
    <w:rsid w:val="00CF4E1D"/>
    <w:rsid w:val="00CF6565"/>
    <w:rsid w:val="00CF6A0A"/>
    <w:rsid w:val="00CF6FFD"/>
    <w:rsid w:val="00CF70D5"/>
    <w:rsid w:val="00D01D7B"/>
    <w:rsid w:val="00D0265E"/>
    <w:rsid w:val="00D02A0B"/>
    <w:rsid w:val="00D02A8C"/>
    <w:rsid w:val="00D03238"/>
    <w:rsid w:val="00D03488"/>
    <w:rsid w:val="00D03579"/>
    <w:rsid w:val="00D0386D"/>
    <w:rsid w:val="00D03893"/>
    <w:rsid w:val="00D043FF"/>
    <w:rsid w:val="00D06CBC"/>
    <w:rsid w:val="00D072B9"/>
    <w:rsid w:val="00D07B13"/>
    <w:rsid w:val="00D07D23"/>
    <w:rsid w:val="00D07E72"/>
    <w:rsid w:val="00D103A1"/>
    <w:rsid w:val="00D11925"/>
    <w:rsid w:val="00D13002"/>
    <w:rsid w:val="00D13BE9"/>
    <w:rsid w:val="00D140B1"/>
    <w:rsid w:val="00D14C2C"/>
    <w:rsid w:val="00D15F13"/>
    <w:rsid w:val="00D1653D"/>
    <w:rsid w:val="00D1760E"/>
    <w:rsid w:val="00D17A8B"/>
    <w:rsid w:val="00D2043F"/>
    <w:rsid w:val="00D2312C"/>
    <w:rsid w:val="00D24254"/>
    <w:rsid w:val="00D250C0"/>
    <w:rsid w:val="00D25DCD"/>
    <w:rsid w:val="00D271B7"/>
    <w:rsid w:val="00D31347"/>
    <w:rsid w:val="00D345EA"/>
    <w:rsid w:val="00D3498E"/>
    <w:rsid w:val="00D34A8F"/>
    <w:rsid w:val="00D34C75"/>
    <w:rsid w:val="00D34F11"/>
    <w:rsid w:val="00D3511B"/>
    <w:rsid w:val="00D3527B"/>
    <w:rsid w:val="00D357EB"/>
    <w:rsid w:val="00D35F3F"/>
    <w:rsid w:val="00D372BE"/>
    <w:rsid w:val="00D376D7"/>
    <w:rsid w:val="00D37A90"/>
    <w:rsid w:val="00D40224"/>
    <w:rsid w:val="00D409EC"/>
    <w:rsid w:val="00D40B39"/>
    <w:rsid w:val="00D41E81"/>
    <w:rsid w:val="00D42A7C"/>
    <w:rsid w:val="00D4303F"/>
    <w:rsid w:val="00D43D56"/>
    <w:rsid w:val="00D4433D"/>
    <w:rsid w:val="00D447D0"/>
    <w:rsid w:val="00D4488A"/>
    <w:rsid w:val="00D47715"/>
    <w:rsid w:val="00D478B6"/>
    <w:rsid w:val="00D50E22"/>
    <w:rsid w:val="00D51B54"/>
    <w:rsid w:val="00D52497"/>
    <w:rsid w:val="00D53DEE"/>
    <w:rsid w:val="00D54DC4"/>
    <w:rsid w:val="00D564AF"/>
    <w:rsid w:val="00D56621"/>
    <w:rsid w:val="00D5688F"/>
    <w:rsid w:val="00D56F6B"/>
    <w:rsid w:val="00D578AC"/>
    <w:rsid w:val="00D60D7E"/>
    <w:rsid w:val="00D63C41"/>
    <w:rsid w:val="00D6436E"/>
    <w:rsid w:val="00D64820"/>
    <w:rsid w:val="00D65FD1"/>
    <w:rsid w:val="00D66764"/>
    <w:rsid w:val="00D67169"/>
    <w:rsid w:val="00D70BE6"/>
    <w:rsid w:val="00D70E3D"/>
    <w:rsid w:val="00D71418"/>
    <w:rsid w:val="00D71607"/>
    <w:rsid w:val="00D73741"/>
    <w:rsid w:val="00D74031"/>
    <w:rsid w:val="00D74499"/>
    <w:rsid w:val="00D74C58"/>
    <w:rsid w:val="00D7517D"/>
    <w:rsid w:val="00D755F2"/>
    <w:rsid w:val="00D7566A"/>
    <w:rsid w:val="00D75E37"/>
    <w:rsid w:val="00D7695C"/>
    <w:rsid w:val="00D778D3"/>
    <w:rsid w:val="00D77A26"/>
    <w:rsid w:val="00D77D24"/>
    <w:rsid w:val="00D801B7"/>
    <w:rsid w:val="00D82085"/>
    <w:rsid w:val="00D821C8"/>
    <w:rsid w:val="00D827B3"/>
    <w:rsid w:val="00D83323"/>
    <w:rsid w:val="00D85401"/>
    <w:rsid w:val="00D85B5D"/>
    <w:rsid w:val="00D8729D"/>
    <w:rsid w:val="00D905F5"/>
    <w:rsid w:val="00D92469"/>
    <w:rsid w:val="00D92478"/>
    <w:rsid w:val="00D932BB"/>
    <w:rsid w:val="00D93651"/>
    <w:rsid w:val="00D946A6"/>
    <w:rsid w:val="00D955F2"/>
    <w:rsid w:val="00D9769A"/>
    <w:rsid w:val="00DA0982"/>
    <w:rsid w:val="00DA18C0"/>
    <w:rsid w:val="00DA249E"/>
    <w:rsid w:val="00DA319B"/>
    <w:rsid w:val="00DA3905"/>
    <w:rsid w:val="00DA398F"/>
    <w:rsid w:val="00DA3BA2"/>
    <w:rsid w:val="00DA6A9F"/>
    <w:rsid w:val="00DA6E95"/>
    <w:rsid w:val="00DA7054"/>
    <w:rsid w:val="00DA7C9A"/>
    <w:rsid w:val="00DB02BB"/>
    <w:rsid w:val="00DB1B86"/>
    <w:rsid w:val="00DB1CB2"/>
    <w:rsid w:val="00DB256A"/>
    <w:rsid w:val="00DB3696"/>
    <w:rsid w:val="00DB37AD"/>
    <w:rsid w:val="00DB3F02"/>
    <w:rsid w:val="00DB43D4"/>
    <w:rsid w:val="00DB4B08"/>
    <w:rsid w:val="00DB4C04"/>
    <w:rsid w:val="00DB4F61"/>
    <w:rsid w:val="00DB5226"/>
    <w:rsid w:val="00DB5886"/>
    <w:rsid w:val="00DB732E"/>
    <w:rsid w:val="00DB7A1E"/>
    <w:rsid w:val="00DB7FC7"/>
    <w:rsid w:val="00DC0410"/>
    <w:rsid w:val="00DC1146"/>
    <w:rsid w:val="00DC2072"/>
    <w:rsid w:val="00DC2CD7"/>
    <w:rsid w:val="00DC4AE5"/>
    <w:rsid w:val="00DC6AC0"/>
    <w:rsid w:val="00DC74AA"/>
    <w:rsid w:val="00DD1B8B"/>
    <w:rsid w:val="00DD1C12"/>
    <w:rsid w:val="00DD2521"/>
    <w:rsid w:val="00DD27B9"/>
    <w:rsid w:val="00DD4D19"/>
    <w:rsid w:val="00DD5E32"/>
    <w:rsid w:val="00DD62C2"/>
    <w:rsid w:val="00DD6C79"/>
    <w:rsid w:val="00DD7310"/>
    <w:rsid w:val="00DD77C3"/>
    <w:rsid w:val="00DD7AC4"/>
    <w:rsid w:val="00DD7E5D"/>
    <w:rsid w:val="00DE016B"/>
    <w:rsid w:val="00DE1626"/>
    <w:rsid w:val="00DE1C17"/>
    <w:rsid w:val="00DE2906"/>
    <w:rsid w:val="00DE33A8"/>
    <w:rsid w:val="00DE4BEC"/>
    <w:rsid w:val="00DE4D48"/>
    <w:rsid w:val="00DE6E59"/>
    <w:rsid w:val="00DE6F74"/>
    <w:rsid w:val="00DE7403"/>
    <w:rsid w:val="00DF09B5"/>
    <w:rsid w:val="00DF12D8"/>
    <w:rsid w:val="00DF2584"/>
    <w:rsid w:val="00DF3D2B"/>
    <w:rsid w:val="00DF4651"/>
    <w:rsid w:val="00DF48CE"/>
    <w:rsid w:val="00DF4D67"/>
    <w:rsid w:val="00E00AE4"/>
    <w:rsid w:val="00E00D43"/>
    <w:rsid w:val="00E00DB8"/>
    <w:rsid w:val="00E026E9"/>
    <w:rsid w:val="00E03945"/>
    <w:rsid w:val="00E042E5"/>
    <w:rsid w:val="00E04BDB"/>
    <w:rsid w:val="00E06E6B"/>
    <w:rsid w:val="00E1046F"/>
    <w:rsid w:val="00E10BC6"/>
    <w:rsid w:val="00E1156A"/>
    <w:rsid w:val="00E11605"/>
    <w:rsid w:val="00E11CF9"/>
    <w:rsid w:val="00E12466"/>
    <w:rsid w:val="00E124EA"/>
    <w:rsid w:val="00E12D2E"/>
    <w:rsid w:val="00E14C10"/>
    <w:rsid w:val="00E1656F"/>
    <w:rsid w:val="00E168E0"/>
    <w:rsid w:val="00E173DC"/>
    <w:rsid w:val="00E21264"/>
    <w:rsid w:val="00E21731"/>
    <w:rsid w:val="00E22B3A"/>
    <w:rsid w:val="00E234F7"/>
    <w:rsid w:val="00E240DC"/>
    <w:rsid w:val="00E25862"/>
    <w:rsid w:val="00E25EF5"/>
    <w:rsid w:val="00E2675C"/>
    <w:rsid w:val="00E3031B"/>
    <w:rsid w:val="00E306DB"/>
    <w:rsid w:val="00E307F2"/>
    <w:rsid w:val="00E30BC8"/>
    <w:rsid w:val="00E31607"/>
    <w:rsid w:val="00E32C5F"/>
    <w:rsid w:val="00E34649"/>
    <w:rsid w:val="00E35E2E"/>
    <w:rsid w:val="00E36583"/>
    <w:rsid w:val="00E36787"/>
    <w:rsid w:val="00E369F9"/>
    <w:rsid w:val="00E373A8"/>
    <w:rsid w:val="00E37DD7"/>
    <w:rsid w:val="00E404A2"/>
    <w:rsid w:val="00E40E83"/>
    <w:rsid w:val="00E41F03"/>
    <w:rsid w:val="00E43299"/>
    <w:rsid w:val="00E43541"/>
    <w:rsid w:val="00E43ADD"/>
    <w:rsid w:val="00E43D4B"/>
    <w:rsid w:val="00E454D8"/>
    <w:rsid w:val="00E47B56"/>
    <w:rsid w:val="00E50134"/>
    <w:rsid w:val="00E507A5"/>
    <w:rsid w:val="00E50A84"/>
    <w:rsid w:val="00E512E7"/>
    <w:rsid w:val="00E52766"/>
    <w:rsid w:val="00E53288"/>
    <w:rsid w:val="00E53722"/>
    <w:rsid w:val="00E53EA3"/>
    <w:rsid w:val="00E53F65"/>
    <w:rsid w:val="00E54B50"/>
    <w:rsid w:val="00E558EA"/>
    <w:rsid w:val="00E567A7"/>
    <w:rsid w:val="00E567BA"/>
    <w:rsid w:val="00E56ACF"/>
    <w:rsid w:val="00E56FF0"/>
    <w:rsid w:val="00E5773F"/>
    <w:rsid w:val="00E60B69"/>
    <w:rsid w:val="00E61232"/>
    <w:rsid w:val="00E6142F"/>
    <w:rsid w:val="00E6260E"/>
    <w:rsid w:val="00E628AB"/>
    <w:rsid w:val="00E63650"/>
    <w:rsid w:val="00E63A98"/>
    <w:rsid w:val="00E63CEE"/>
    <w:rsid w:val="00E653A0"/>
    <w:rsid w:val="00E66187"/>
    <w:rsid w:val="00E66DE5"/>
    <w:rsid w:val="00E673F9"/>
    <w:rsid w:val="00E7026F"/>
    <w:rsid w:val="00E72FBE"/>
    <w:rsid w:val="00E7373A"/>
    <w:rsid w:val="00E73AF3"/>
    <w:rsid w:val="00E748C1"/>
    <w:rsid w:val="00E752F5"/>
    <w:rsid w:val="00E76C32"/>
    <w:rsid w:val="00E80BD8"/>
    <w:rsid w:val="00E81E1C"/>
    <w:rsid w:val="00E83128"/>
    <w:rsid w:val="00E83D5A"/>
    <w:rsid w:val="00E84427"/>
    <w:rsid w:val="00E84BFA"/>
    <w:rsid w:val="00E84EE8"/>
    <w:rsid w:val="00E8580B"/>
    <w:rsid w:val="00E85864"/>
    <w:rsid w:val="00E8588C"/>
    <w:rsid w:val="00E863E7"/>
    <w:rsid w:val="00E8749F"/>
    <w:rsid w:val="00E876BE"/>
    <w:rsid w:val="00E87DEA"/>
    <w:rsid w:val="00E907F7"/>
    <w:rsid w:val="00E90E59"/>
    <w:rsid w:val="00E91BCB"/>
    <w:rsid w:val="00E9222E"/>
    <w:rsid w:val="00E92530"/>
    <w:rsid w:val="00E933F7"/>
    <w:rsid w:val="00E940AC"/>
    <w:rsid w:val="00E96905"/>
    <w:rsid w:val="00E974A7"/>
    <w:rsid w:val="00EA05E2"/>
    <w:rsid w:val="00EA1B26"/>
    <w:rsid w:val="00EA1C9A"/>
    <w:rsid w:val="00EA1E6C"/>
    <w:rsid w:val="00EA2E71"/>
    <w:rsid w:val="00EA310B"/>
    <w:rsid w:val="00EA331F"/>
    <w:rsid w:val="00EA4DD4"/>
    <w:rsid w:val="00EA4E79"/>
    <w:rsid w:val="00EA4EC3"/>
    <w:rsid w:val="00EA57BC"/>
    <w:rsid w:val="00EA60C2"/>
    <w:rsid w:val="00EA6B71"/>
    <w:rsid w:val="00EA6F21"/>
    <w:rsid w:val="00EA6F2B"/>
    <w:rsid w:val="00EA77E4"/>
    <w:rsid w:val="00EA7FD9"/>
    <w:rsid w:val="00EB0044"/>
    <w:rsid w:val="00EB0799"/>
    <w:rsid w:val="00EB0EC8"/>
    <w:rsid w:val="00EB0FE1"/>
    <w:rsid w:val="00EB100E"/>
    <w:rsid w:val="00EB4850"/>
    <w:rsid w:val="00EB4F7B"/>
    <w:rsid w:val="00EB50BB"/>
    <w:rsid w:val="00EB50CA"/>
    <w:rsid w:val="00EB5C82"/>
    <w:rsid w:val="00EB726F"/>
    <w:rsid w:val="00EC01F8"/>
    <w:rsid w:val="00EC1D3E"/>
    <w:rsid w:val="00EC224E"/>
    <w:rsid w:val="00EC2264"/>
    <w:rsid w:val="00EC52B9"/>
    <w:rsid w:val="00EC569B"/>
    <w:rsid w:val="00EC6923"/>
    <w:rsid w:val="00EC6BB4"/>
    <w:rsid w:val="00EC7589"/>
    <w:rsid w:val="00EC7920"/>
    <w:rsid w:val="00ED0371"/>
    <w:rsid w:val="00ED1864"/>
    <w:rsid w:val="00ED278E"/>
    <w:rsid w:val="00ED3637"/>
    <w:rsid w:val="00ED3C62"/>
    <w:rsid w:val="00ED3E8A"/>
    <w:rsid w:val="00ED3F86"/>
    <w:rsid w:val="00ED5420"/>
    <w:rsid w:val="00ED554B"/>
    <w:rsid w:val="00ED5A9E"/>
    <w:rsid w:val="00ED5D72"/>
    <w:rsid w:val="00ED61D1"/>
    <w:rsid w:val="00ED7EE3"/>
    <w:rsid w:val="00EE1184"/>
    <w:rsid w:val="00EE1736"/>
    <w:rsid w:val="00EE260A"/>
    <w:rsid w:val="00EE3511"/>
    <w:rsid w:val="00EE4498"/>
    <w:rsid w:val="00EE4569"/>
    <w:rsid w:val="00EE53ED"/>
    <w:rsid w:val="00EE5B45"/>
    <w:rsid w:val="00EE628A"/>
    <w:rsid w:val="00EE67E3"/>
    <w:rsid w:val="00EE7638"/>
    <w:rsid w:val="00EE7711"/>
    <w:rsid w:val="00EF033D"/>
    <w:rsid w:val="00EF0596"/>
    <w:rsid w:val="00EF0690"/>
    <w:rsid w:val="00EF18DC"/>
    <w:rsid w:val="00EF2283"/>
    <w:rsid w:val="00EF35D9"/>
    <w:rsid w:val="00EF3D63"/>
    <w:rsid w:val="00EF3E7F"/>
    <w:rsid w:val="00EF56CE"/>
    <w:rsid w:val="00EF5F1D"/>
    <w:rsid w:val="00EF78A9"/>
    <w:rsid w:val="00EF7E46"/>
    <w:rsid w:val="00F000ED"/>
    <w:rsid w:val="00F00D02"/>
    <w:rsid w:val="00F00D7C"/>
    <w:rsid w:val="00F02D6E"/>
    <w:rsid w:val="00F0372F"/>
    <w:rsid w:val="00F041D3"/>
    <w:rsid w:val="00F05134"/>
    <w:rsid w:val="00F0594E"/>
    <w:rsid w:val="00F05B23"/>
    <w:rsid w:val="00F05D54"/>
    <w:rsid w:val="00F067C7"/>
    <w:rsid w:val="00F06D28"/>
    <w:rsid w:val="00F07585"/>
    <w:rsid w:val="00F07D33"/>
    <w:rsid w:val="00F10EAE"/>
    <w:rsid w:val="00F124EE"/>
    <w:rsid w:val="00F12E9B"/>
    <w:rsid w:val="00F135E5"/>
    <w:rsid w:val="00F14396"/>
    <w:rsid w:val="00F14639"/>
    <w:rsid w:val="00F153CA"/>
    <w:rsid w:val="00F15A9E"/>
    <w:rsid w:val="00F1629A"/>
    <w:rsid w:val="00F16918"/>
    <w:rsid w:val="00F209B0"/>
    <w:rsid w:val="00F20A74"/>
    <w:rsid w:val="00F21580"/>
    <w:rsid w:val="00F2189B"/>
    <w:rsid w:val="00F21E3F"/>
    <w:rsid w:val="00F223BE"/>
    <w:rsid w:val="00F23214"/>
    <w:rsid w:val="00F23F83"/>
    <w:rsid w:val="00F241E5"/>
    <w:rsid w:val="00F24E6A"/>
    <w:rsid w:val="00F25374"/>
    <w:rsid w:val="00F2544A"/>
    <w:rsid w:val="00F258FF"/>
    <w:rsid w:val="00F2619E"/>
    <w:rsid w:val="00F26FB3"/>
    <w:rsid w:val="00F27452"/>
    <w:rsid w:val="00F27845"/>
    <w:rsid w:val="00F302A0"/>
    <w:rsid w:val="00F3105A"/>
    <w:rsid w:val="00F3122E"/>
    <w:rsid w:val="00F35646"/>
    <w:rsid w:val="00F356CB"/>
    <w:rsid w:val="00F356CE"/>
    <w:rsid w:val="00F37A89"/>
    <w:rsid w:val="00F4238D"/>
    <w:rsid w:val="00F42444"/>
    <w:rsid w:val="00F43E2C"/>
    <w:rsid w:val="00F443A9"/>
    <w:rsid w:val="00F445E9"/>
    <w:rsid w:val="00F44652"/>
    <w:rsid w:val="00F44C8F"/>
    <w:rsid w:val="00F4564F"/>
    <w:rsid w:val="00F46637"/>
    <w:rsid w:val="00F506CD"/>
    <w:rsid w:val="00F508EF"/>
    <w:rsid w:val="00F5192F"/>
    <w:rsid w:val="00F52D6B"/>
    <w:rsid w:val="00F53E65"/>
    <w:rsid w:val="00F549AE"/>
    <w:rsid w:val="00F56014"/>
    <w:rsid w:val="00F57ED5"/>
    <w:rsid w:val="00F6161B"/>
    <w:rsid w:val="00F61667"/>
    <w:rsid w:val="00F616C1"/>
    <w:rsid w:val="00F63970"/>
    <w:rsid w:val="00F64034"/>
    <w:rsid w:val="00F642E9"/>
    <w:rsid w:val="00F64BBB"/>
    <w:rsid w:val="00F669F5"/>
    <w:rsid w:val="00F67564"/>
    <w:rsid w:val="00F675BE"/>
    <w:rsid w:val="00F67A8B"/>
    <w:rsid w:val="00F67F2E"/>
    <w:rsid w:val="00F71031"/>
    <w:rsid w:val="00F71099"/>
    <w:rsid w:val="00F71249"/>
    <w:rsid w:val="00F724BE"/>
    <w:rsid w:val="00F73C30"/>
    <w:rsid w:val="00F73DB2"/>
    <w:rsid w:val="00F749AB"/>
    <w:rsid w:val="00F74D7C"/>
    <w:rsid w:val="00F75FF5"/>
    <w:rsid w:val="00F76957"/>
    <w:rsid w:val="00F76A91"/>
    <w:rsid w:val="00F77A45"/>
    <w:rsid w:val="00F77A79"/>
    <w:rsid w:val="00F805E0"/>
    <w:rsid w:val="00F811AB"/>
    <w:rsid w:val="00F81587"/>
    <w:rsid w:val="00F82349"/>
    <w:rsid w:val="00F82537"/>
    <w:rsid w:val="00F836F8"/>
    <w:rsid w:val="00F83D02"/>
    <w:rsid w:val="00F84582"/>
    <w:rsid w:val="00F84BC1"/>
    <w:rsid w:val="00F854A2"/>
    <w:rsid w:val="00F85742"/>
    <w:rsid w:val="00F86B10"/>
    <w:rsid w:val="00F86B9A"/>
    <w:rsid w:val="00F86E9E"/>
    <w:rsid w:val="00F9013F"/>
    <w:rsid w:val="00F90171"/>
    <w:rsid w:val="00F90225"/>
    <w:rsid w:val="00F922B8"/>
    <w:rsid w:val="00F93548"/>
    <w:rsid w:val="00F93598"/>
    <w:rsid w:val="00F95058"/>
    <w:rsid w:val="00F95E77"/>
    <w:rsid w:val="00F967DE"/>
    <w:rsid w:val="00F96857"/>
    <w:rsid w:val="00F97631"/>
    <w:rsid w:val="00FA0699"/>
    <w:rsid w:val="00FA0AB1"/>
    <w:rsid w:val="00FA0BF1"/>
    <w:rsid w:val="00FA1164"/>
    <w:rsid w:val="00FA12EB"/>
    <w:rsid w:val="00FA203B"/>
    <w:rsid w:val="00FA263A"/>
    <w:rsid w:val="00FA2821"/>
    <w:rsid w:val="00FA308D"/>
    <w:rsid w:val="00FA381C"/>
    <w:rsid w:val="00FA3B36"/>
    <w:rsid w:val="00FA4CD7"/>
    <w:rsid w:val="00FA5F8F"/>
    <w:rsid w:val="00FA6DA7"/>
    <w:rsid w:val="00FB06EE"/>
    <w:rsid w:val="00FB13CF"/>
    <w:rsid w:val="00FB36D0"/>
    <w:rsid w:val="00FB44FB"/>
    <w:rsid w:val="00FB4B86"/>
    <w:rsid w:val="00FB4B98"/>
    <w:rsid w:val="00FB525C"/>
    <w:rsid w:val="00FB6906"/>
    <w:rsid w:val="00FB7F63"/>
    <w:rsid w:val="00FC0751"/>
    <w:rsid w:val="00FC3853"/>
    <w:rsid w:val="00FC38A5"/>
    <w:rsid w:val="00FC4456"/>
    <w:rsid w:val="00FC4E34"/>
    <w:rsid w:val="00FC55DC"/>
    <w:rsid w:val="00FC66B5"/>
    <w:rsid w:val="00FC74C3"/>
    <w:rsid w:val="00FD04C0"/>
    <w:rsid w:val="00FD0569"/>
    <w:rsid w:val="00FD1254"/>
    <w:rsid w:val="00FD1B0F"/>
    <w:rsid w:val="00FD2A7E"/>
    <w:rsid w:val="00FD300E"/>
    <w:rsid w:val="00FD41F1"/>
    <w:rsid w:val="00FD4EB9"/>
    <w:rsid w:val="00FD5EFC"/>
    <w:rsid w:val="00FD6514"/>
    <w:rsid w:val="00FD70B1"/>
    <w:rsid w:val="00FD7A7F"/>
    <w:rsid w:val="00FE12D8"/>
    <w:rsid w:val="00FE155C"/>
    <w:rsid w:val="00FE40BC"/>
    <w:rsid w:val="00FE4C07"/>
    <w:rsid w:val="00FE51F8"/>
    <w:rsid w:val="00FE66F9"/>
    <w:rsid w:val="00FE7F29"/>
    <w:rsid w:val="00FE7F44"/>
    <w:rsid w:val="00FF02B2"/>
    <w:rsid w:val="00FF1CA9"/>
    <w:rsid w:val="00FF3461"/>
    <w:rsid w:val="00FF4856"/>
    <w:rsid w:val="00FF5EE8"/>
    <w:rsid w:val="00FF6197"/>
    <w:rsid w:val="00FF6216"/>
    <w:rsid w:val="00FF62B6"/>
    <w:rsid w:val="00FF6C60"/>
    <w:rsid w:val="00FF7263"/>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5E4753D"/>
  <w15:docId w15:val="{757ABFE1-747E-4890-9A22-5A71B6A40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410F3"/>
    <w:pPr>
      <w:spacing w:line="360" w:lineRule="auto"/>
      <w:jc w:val="both"/>
    </w:pPr>
    <w:rPr>
      <w:rFonts w:ascii="Times New Roman" w:hAnsi="Times New Roman"/>
      <w:sz w:val="22"/>
    </w:rPr>
  </w:style>
  <w:style w:type="paragraph" w:styleId="berschrift1">
    <w:name w:val="heading 1"/>
    <w:basedOn w:val="Standard"/>
    <w:next w:val="Standard"/>
    <w:link w:val="berschrift1Zchn"/>
    <w:uiPriority w:val="9"/>
    <w:qFormat/>
    <w:rsid w:val="00ED278E"/>
    <w:pPr>
      <w:keepNext/>
      <w:keepLines/>
      <w:spacing w:before="240" w:after="120"/>
      <w:outlineLvl w:val="0"/>
    </w:pPr>
    <w:rPr>
      <w:rFonts w:eastAsiaTheme="majorEastAsia" w:cstheme="majorBidi"/>
      <w:b/>
      <w:sz w:val="28"/>
      <w:szCs w:val="32"/>
    </w:rPr>
  </w:style>
  <w:style w:type="paragraph" w:styleId="berschrift2">
    <w:name w:val="heading 2"/>
    <w:basedOn w:val="Standard"/>
    <w:next w:val="Standard"/>
    <w:link w:val="berschrift2Zchn"/>
    <w:uiPriority w:val="9"/>
    <w:unhideWhenUsed/>
    <w:qFormat/>
    <w:rsid w:val="00ED278E"/>
    <w:pPr>
      <w:keepNext/>
      <w:keepLines/>
      <w:spacing w:before="120" w:after="120"/>
      <w:outlineLvl w:val="1"/>
    </w:pPr>
    <w:rPr>
      <w:rFonts w:eastAsiaTheme="majorEastAsia" w:cstheme="majorBidi"/>
      <w:b/>
      <w:color w:val="000000" w:themeColor="text1"/>
      <w:szCs w:val="26"/>
    </w:rPr>
  </w:style>
  <w:style w:type="paragraph" w:styleId="berschrift3">
    <w:name w:val="heading 3"/>
    <w:basedOn w:val="Standard"/>
    <w:next w:val="Standard"/>
    <w:link w:val="berschrift3Zchn"/>
    <w:uiPriority w:val="9"/>
    <w:unhideWhenUsed/>
    <w:qFormat/>
    <w:rsid w:val="008E051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aliases w:val="Fußnotentext Char1"/>
    <w:basedOn w:val="Standard"/>
    <w:link w:val="FunotentextZchn"/>
    <w:uiPriority w:val="99"/>
    <w:unhideWhenUsed/>
    <w:qFormat/>
    <w:rsid w:val="00067BA2"/>
  </w:style>
  <w:style w:type="character" w:customStyle="1" w:styleId="FunotentextZchn">
    <w:name w:val="Fußnotentext Zchn"/>
    <w:aliases w:val="Fußnotentext Char1 Zchn"/>
    <w:basedOn w:val="Absatz-Standardschriftart"/>
    <w:link w:val="Funotentext"/>
    <w:uiPriority w:val="99"/>
    <w:rsid w:val="00067BA2"/>
  </w:style>
  <w:style w:type="character" w:styleId="Funotenzeichen">
    <w:name w:val="footnote reference"/>
    <w:basedOn w:val="Absatz-Standardschriftart"/>
    <w:uiPriority w:val="99"/>
    <w:unhideWhenUsed/>
    <w:rsid w:val="00067BA2"/>
    <w:rPr>
      <w:vertAlign w:val="superscript"/>
    </w:rPr>
  </w:style>
  <w:style w:type="paragraph" w:styleId="Listenabsatz">
    <w:name w:val="List Paragraph"/>
    <w:basedOn w:val="Standard"/>
    <w:uiPriority w:val="34"/>
    <w:qFormat/>
    <w:rsid w:val="005D4F12"/>
    <w:pPr>
      <w:ind w:left="720"/>
      <w:contextualSpacing/>
    </w:pPr>
  </w:style>
  <w:style w:type="paragraph" w:styleId="Fuzeile">
    <w:name w:val="footer"/>
    <w:basedOn w:val="Standard"/>
    <w:link w:val="FuzeileZchn"/>
    <w:uiPriority w:val="99"/>
    <w:unhideWhenUsed/>
    <w:rsid w:val="00646FEE"/>
    <w:pPr>
      <w:tabs>
        <w:tab w:val="center" w:pos="4536"/>
        <w:tab w:val="right" w:pos="9072"/>
      </w:tabs>
    </w:pPr>
  </w:style>
  <w:style w:type="character" w:customStyle="1" w:styleId="FuzeileZchn">
    <w:name w:val="Fußzeile Zchn"/>
    <w:basedOn w:val="Absatz-Standardschriftart"/>
    <w:link w:val="Fuzeile"/>
    <w:uiPriority w:val="99"/>
    <w:rsid w:val="00646FEE"/>
  </w:style>
  <w:style w:type="character" w:styleId="Seitenzahl">
    <w:name w:val="page number"/>
    <w:basedOn w:val="Absatz-Standardschriftart"/>
    <w:uiPriority w:val="99"/>
    <w:semiHidden/>
    <w:unhideWhenUsed/>
    <w:rsid w:val="00646FEE"/>
  </w:style>
  <w:style w:type="paragraph" w:styleId="Kopfzeile">
    <w:name w:val="header"/>
    <w:basedOn w:val="Standard"/>
    <w:link w:val="KopfzeileZchn"/>
    <w:uiPriority w:val="99"/>
    <w:unhideWhenUsed/>
    <w:rsid w:val="00BD056D"/>
    <w:pPr>
      <w:tabs>
        <w:tab w:val="center" w:pos="4536"/>
        <w:tab w:val="right" w:pos="9072"/>
      </w:tabs>
    </w:pPr>
  </w:style>
  <w:style w:type="character" w:customStyle="1" w:styleId="KopfzeileZchn">
    <w:name w:val="Kopfzeile Zchn"/>
    <w:basedOn w:val="Absatz-Standardschriftart"/>
    <w:link w:val="Kopfzeile"/>
    <w:uiPriority w:val="99"/>
    <w:rsid w:val="00BD056D"/>
  </w:style>
  <w:style w:type="paragraph" w:styleId="Dokumentstruktur">
    <w:name w:val="Document Map"/>
    <w:basedOn w:val="Standard"/>
    <w:link w:val="DokumentstrukturZchn"/>
    <w:uiPriority w:val="99"/>
    <w:semiHidden/>
    <w:unhideWhenUsed/>
    <w:rsid w:val="009E06A1"/>
    <w:rPr>
      <w:rFonts w:cs="Times New Roman"/>
    </w:rPr>
  </w:style>
  <w:style w:type="character" w:customStyle="1" w:styleId="DokumentstrukturZchn">
    <w:name w:val="Dokumentstruktur Zchn"/>
    <w:basedOn w:val="Absatz-Standardschriftart"/>
    <w:link w:val="Dokumentstruktur"/>
    <w:uiPriority w:val="99"/>
    <w:semiHidden/>
    <w:rsid w:val="009E06A1"/>
    <w:rPr>
      <w:rFonts w:ascii="Times New Roman" w:hAnsi="Times New Roman" w:cs="Times New Roman"/>
    </w:rPr>
  </w:style>
  <w:style w:type="paragraph" w:customStyle="1" w:styleId="Standard15">
    <w:name w:val="Standard 1.5"/>
    <w:basedOn w:val="Standard"/>
    <w:rsid w:val="005D302F"/>
    <w:pPr>
      <w:tabs>
        <w:tab w:val="left" w:pos="567"/>
        <w:tab w:val="left" w:pos="1134"/>
        <w:tab w:val="left" w:pos="1701"/>
        <w:tab w:val="left" w:pos="2268"/>
        <w:tab w:val="left" w:pos="2835"/>
      </w:tabs>
      <w:spacing w:before="240"/>
    </w:pPr>
    <w:rPr>
      <w:rFonts w:eastAsia="Times New Roman" w:cs="Times New Roman"/>
      <w:szCs w:val="20"/>
      <w:lang w:val="de-CH" w:eastAsia="de-DE"/>
    </w:rPr>
  </w:style>
  <w:style w:type="paragraph" w:styleId="StandardWeb">
    <w:name w:val="Normal (Web)"/>
    <w:basedOn w:val="Standard"/>
    <w:uiPriority w:val="99"/>
    <w:semiHidden/>
    <w:unhideWhenUsed/>
    <w:rsid w:val="00503222"/>
    <w:pPr>
      <w:spacing w:before="100" w:beforeAutospacing="1" w:after="100" w:afterAutospacing="1"/>
    </w:pPr>
    <w:rPr>
      <w:rFonts w:cs="Times New Roman"/>
      <w:lang w:eastAsia="de-DE"/>
    </w:rPr>
  </w:style>
  <w:style w:type="paragraph" w:styleId="Sprechblasentext">
    <w:name w:val="Balloon Text"/>
    <w:basedOn w:val="Standard"/>
    <w:link w:val="SprechblasentextZchn"/>
    <w:uiPriority w:val="99"/>
    <w:semiHidden/>
    <w:unhideWhenUsed/>
    <w:rsid w:val="006E7041"/>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6E7041"/>
    <w:rPr>
      <w:rFonts w:ascii="Lucida Grande" w:hAnsi="Lucida Grande"/>
      <w:sz w:val="18"/>
      <w:szCs w:val="18"/>
    </w:rPr>
  </w:style>
  <w:style w:type="paragraph" w:customStyle="1" w:styleId="Gesetz">
    <w:name w:val="Gesetz"/>
    <w:basedOn w:val="Standard"/>
    <w:autoRedefine/>
    <w:qFormat/>
    <w:rsid w:val="005D302F"/>
    <w:pPr>
      <w:spacing w:after="120"/>
    </w:pPr>
    <w:rPr>
      <w:b/>
      <w:sz w:val="16"/>
      <w:szCs w:val="22"/>
      <w:lang w:val="de-CH"/>
    </w:rPr>
  </w:style>
  <w:style w:type="character" w:styleId="Kommentarzeichen">
    <w:name w:val="annotation reference"/>
    <w:basedOn w:val="Absatz-Standardschriftart"/>
    <w:uiPriority w:val="99"/>
    <w:semiHidden/>
    <w:unhideWhenUsed/>
    <w:rsid w:val="005D302F"/>
    <w:rPr>
      <w:sz w:val="16"/>
      <w:szCs w:val="16"/>
    </w:rPr>
  </w:style>
  <w:style w:type="paragraph" w:styleId="Kommentartext">
    <w:name w:val="annotation text"/>
    <w:basedOn w:val="Standard"/>
    <w:link w:val="KommentartextZchn"/>
    <w:uiPriority w:val="99"/>
    <w:semiHidden/>
    <w:unhideWhenUsed/>
    <w:rsid w:val="005D302F"/>
    <w:pPr>
      <w:spacing w:before="120" w:after="120"/>
    </w:pPr>
    <w:rPr>
      <w:sz w:val="20"/>
      <w:szCs w:val="20"/>
      <w:lang w:val="de-CH"/>
    </w:rPr>
  </w:style>
  <w:style w:type="character" w:customStyle="1" w:styleId="KommentartextZchn">
    <w:name w:val="Kommentartext Zchn"/>
    <w:basedOn w:val="Absatz-Standardschriftart"/>
    <w:link w:val="Kommentartext"/>
    <w:uiPriority w:val="99"/>
    <w:semiHidden/>
    <w:rsid w:val="005D302F"/>
    <w:rPr>
      <w:rFonts w:ascii="Times New Roman" w:hAnsi="Times New Roman"/>
      <w:sz w:val="20"/>
      <w:szCs w:val="20"/>
      <w:lang w:val="de-CH"/>
    </w:rPr>
  </w:style>
  <w:style w:type="paragraph" w:customStyle="1" w:styleId="Randziffer">
    <w:name w:val="Randziffer"/>
    <w:basedOn w:val="Standard"/>
    <w:next w:val="Standard"/>
    <w:autoRedefine/>
    <w:uiPriority w:val="99"/>
    <w:qFormat/>
    <w:rsid w:val="005D302F"/>
    <w:pPr>
      <w:framePr w:hSpace="199" w:wrap="around" w:vAnchor="text" w:hAnchor="page" w:xAlign="outside" w:y="1" w:anchorLock="1"/>
      <w:numPr>
        <w:numId w:val="23"/>
      </w:numPr>
      <w:spacing w:line="200" w:lineRule="exact"/>
      <w:jc w:val="right"/>
    </w:pPr>
    <w:rPr>
      <w:rFonts w:eastAsia="Times New Roman" w:cs="Arial"/>
      <w:sz w:val="15"/>
      <w:szCs w:val="20"/>
      <w:lang w:val="de-CH"/>
    </w:rPr>
  </w:style>
  <w:style w:type="character" w:customStyle="1" w:styleId="textcontent">
    <w:name w:val="text_content"/>
    <w:basedOn w:val="Absatz-Standardschriftart"/>
    <w:rsid w:val="00C30039"/>
  </w:style>
  <w:style w:type="character" w:styleId="Hyperlink">
    <w:name w:val="Hyperlink"/>
    <w:basedOn w:val="Absatz-Standardschriftart"/>
    <w:uiPriority w:val="99"/>
    <w:unhideWhenUsed/>
    <w:rsid w:val="000A10E4"/>
    <w:rPr>
      <w:color w:val="0563C1" w:themeColor="hyperlink"/>
      <w:u w:val="single"/>
    </w:rPr>
  </w:style>
  <w:style w:type="character" w:customStyle="1" w:styleId="berschrift1Zchn">
    <w:name w:val="Überschrift 1 Zchn"/>
    <w:basedOn w:val="Absatz-Standardschriftart"/>
    <w:link w:val="berschrift1"/>
    <w:uiPriority w:val="9"/>
    <w:rsid w:val="00ED278E"/>
    <w:rPr>
      <w:rFonts w:ascii="Times New Roman" w:eastAsiaTheme="majorEastAsia" w:hAnsi="Times New Roman" w:cstheme="majorBidi"/>
      <w:b/>
      <w:sz w:val="28"/>
      <w:szCs w:val="32"/>
    </w:rPr>
  </w:style>
  <w:style w:type="character" w:customStyle="1" w:styleId="berschrift2Zchn">
    <w:name w:val="Überschrift 2 Zchn"/>
    <w:basedOn w:val="Absatz-Standardschriftart"/>
    <w:link w:val="berschrift2"/>
    <w:uiPriority w:val="9"/>
    <w:rsid w:val="00ED278E"/>
    <w:rPr>
      <w:rFonts w:ascii="Times New Roman" w:eastAsiaTheme="majorEastAsia" w:hAnsi="Times New Roman" w:cstheme="majorBidi"/>
      <w:b/>
      <w:color w:val="000000" w:themeColor="text1"/>
      <w:sz w:val="22"/>
      <w:szCs w:val="26"/>
    </w:rPr>
  </w:style>
  <w:style w:type="paragraph" w:styleId="Inhaltsverzeichnisberschrift">
    <w:name w:val="TOC Heading"/>
    <w:basedOn w:val="berschrift1"/>
    <w:next w:val="Standard"/>
    <w:uiPriority w:val="39"/>
    <w:unhideWhenUsed/>
    <w:qFormat/>
    <w:rsid w:val="007566B7"/>
    <w:pPr>
      <w:spacing w:after="0" w:line="259" w:lineRule="auto"/>
      <w:jc w:val="left"/>
      <w:outlineLvl w:val="9"/>
    </w:pPr>
    <w:rPr>
      <w:rFonts w:asciiTheme="majorHAnsi" w:hAnsiTheme="majorHAnsi"/>
      <w:b w:val="0"/>
      <w:color w:val="2E74B5" w:themeColor="accent1" w:themeShade="BF"/>
      <w:sz w:val="32"/>
      <w:lang w:val="de-CH" w:eastAsia="de-CH"/>
    </w:rPr>
  </w:style>
  <w:style w:type="paragraph" w:styleId="Verzeichnis2">
    <w:name w:val="toc 2"/>
    <w:basedOn w:val="Standard"/>
    <w:next w:val="Standard"/>
    <w:autoRedefine/>
    <w:uiPriority w:val="39"/>
    <w:unhideWhenUsed/>
    <w:rsid w:val="007566B7"/>
    <w:pPr>
      <w:spacing w:after="100" w:line="259" w:lineRule="auto"/>
      <w:ind w:left="220"/>
      <w:jc w:val="left"/>
    </w:pPr>
    <w:rPr>
      <w:rFonts w:asciiTheme="minorHAnsi" w:eastAsiaTheme="minorEastAsia" w:hAnsiTheme="minorHAnsi" w:cs="Times New Roman"/>
      <w:szCs w:val="22"/>
      <w:lang w:val="de-CH" w:eastAsia="de-CH"/>
    </w:rPr>
  </w:style>
  <w:style w:type="paragraph" w:styleId="Verzeichnis1">
    <w:name w:val="toc 1"/>
    <w:basedOn w:val="Standard"/>
    <w:next w:val="Standard"/>
    <w:autoRedefine/>
    <w:uiPriority w:val="39"/>
    <w:unhideWhenUsed/>
    <w:rsid w:val="007566B7"/>
    <w:pPr>
      <w:spacing w:after="100" w:line="259" w:lineRule="auto"/>
      <w:jc w:val="left"/>
    </w:pPr>
    <w:rPr>
      <w:rFonts w:asciiTheme="minorHAnsi" w:eastAsiaTheme="minorEastAsia" w:hAnsiTheme="minorHAnsi" w:cs="Times New Roman"/>
      <w:szCs w:val="22"/>
      <w:lang w:val="de-CH" w:eastAsia="de-CH"/>
    </w:rPr>
  </w:style>
  <w:style w:type="paragraph" w:styleId="Verzeichnis3">
    <w:name w:val="toc 3"/>
    <w:basedOn w:val="Standard"/>
    <w:next w:val="Standard"/>
    <w:autoRedefine/>
    <w:uiPriority w:val="39"/>
    <w:unhideWhenUsed/>
    <w:rsid w:val="007566B7"/>
    <w:pPr>
      <w:spacing w:after="100" w:line="259" w:lineRule="auto"/>
      <w:ind w:left="440"/>
      <w:jc w:val="left"/>
    </w:pPr>
    <w:rPr>
      <w:rFonts w:asciiTheme="minorHAnsi" w:eastAsiaTheme="minorEastAsia" w:hAnsiTheme="minorHAnsi" w:cs="Times New Roman"/>
      <w:szCs w:val="22"/>
      <w:lang w:val="de-CH" w:eastAsia="de-CH"/>
    </w:rPr>
  </w:style>
  <w:style w:type="paragraph" w:customStyle="1" w:styleId="Default">
    <w:name w:val="Default"/>
    <w:rsid w:val="001B59C3"/>
    <w:pPr>
      <w:autoSpaceDE w:val="0"/>
      <w:autoSpaceDN w:val="0"/>
      <w:adjustRightInd w:val="0"/>
    </w:pPr>
    <w:rPr>
      <w:rFonts w:ascii="Times New Roman" w:hAnsi="Times New Roman" w:cs="Times New Roman"/>
      <w:color w:val="000000"/>
      <w:lang w:val="de-CH"/>
    </w:rPr>
  </w:style>
  <w:style w:type="paragraph" w:styleId="Kommentarthema">
    <w:name w:val="annotation subject"/>
    <w:basedOn w:val="Kommentartext"/>
    <w:next w:val="Kommentartext"/>
    <w:link w:val="KommentarthemaZchn"/>
    <w:uiPriority w:val="99"/>
    <w:semiHidden/>
    <w:unhideWhenUsed/>
    <w:rsid w:val="0009574B"/>
    <w:pPr>
      <w:spacing w:before="0" w:after="0"/>
    </w:pPr>
    <w:rPr>
      <w:b/>
      <w:bCs/>
      <w:lang w:val="de-DE"/>
    </w:rPr>
  </w:style>
  <w:style w:type="character" w:customStyle="1" w:styleId="KommentarthemaZchn">
    <w:name w:val="Kommentarthema Zchn"/>
    <w:basedOn w:val="KommentartextZchn"/>
    <w:link w:val="Kommentarthema"/>
    <w:uiPriority w:val="99"/>
    <w:semiHidden/>
    <w:rsid w:val="0009574B"/>
    <w:rPr>
      <w:rFonts w:ascii="Times New Roman" w:hAnsi="Times New Roman"/>
      <w:b/>
      <w:bCs/>
      <w:sz w:val="20"/>
      <w:szCs w:val="20"/>
      <w:lang w:val="de-CH"/>
    </w:rPr>
  </w:style>
  <w:style w:type="character" w:styleId="NichtaufgelsteErwhnung">
    <w:name w:val="Unresolved Mention"/>
    <w:basedOn w:val="Absatz-Standardschriftart"/>
    <w:uiPriority w:val="99"/>
    <w:semiHidden/>
    <w:unhideWhenUsed/>
    <w:rsid w:val="00201813"/>
    <w:rPr>
      <w:color w:val="605E5C"/>
      <w:shd w:val="clear" w:color="auto" w:fill="E1DFDD"/>
    </w:rPr>
  </w:style>
  <w:style w:type="character" w:customStyle="1" w:styleId="berschrift3Zchn">
    <w:name w:val="Überschrift 3 Zchn"/>
    <w:basedOn w:val="Absatz-Standardschriftart"/>
    <w:link w:val="berschrift3"/>
    <w:uiPriority w:val="9"/>
    <w:rsid w:val="008E0517"/>
    <w:rPr>
      <w:rFonts w:asciiTheme="majorHAnsi" w:eastAsiaTheme="majorEastAsia" w:hAnsiTheme="majorHAnsi" w:cstheme="majorBidi"/>
      <w:color w:val="1F4D78" w:themeColor="accent1" w:themeShade="7F"/>
    </w:rPr>
  </w:style>
  <w:style w:type="character" w:styleId="BesuchterLink">
    <w:name w:val="FollowedHyperlink"/>
    <w:basedOn w:val="Absatz-Standardschriftart"/>
    <w:uiPriority w:val="99"/>
    <w:semiHidden/>
    <w:unhideWhenUsed/>
    <w:rsid w:val="00F2619E"/>
    <w:rPr>
      <w:color w:val="954F72" w:themeColor="followedHyperlink"/>
      <w:u w:val="single"/>
    </w:rPr>
  </w:style>
  <w:style w:type="paragraph" w:styleId="berarbeitung">
    <w:name w:val="Revision"/>
    <w:hidden/>
    <w:uiPriority w:val="99"/>
    <w:semiHidden/>
    <w:rsid w:val="00B801E6"/>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151514">
      <w:bodyDiv w:val="1"/>
      <w:marLeft w:val="0"/>
      <w:marRight w:val="0"/>
      <w:marTop w:val="0"/>
      <w:marBottom w:val="0"/>
      <w:divBdr>
        <w:top w:val="none" w:sz="0" w:space="0" w:color="auto"/>
        <w:left w:val="none" w:sz="0" w:space="0" w:color="auto"/>
        <w:bottom w:val="none" w:sz="0" w:space="0" w:color="auto"/>
        <w:right w:val="none" w:sz="0" w:space="0" w:color="auto"/>
      </w:divBdr>
      <w:divsChild>
        <w:div w:id="980577331">
          <w:marLeft w:val="0"/>
          <w:marRight w:val="0"/>
          <w:marTop w:val="0"/>
          <w:marBottom w:val="0"/>
          <w:divBdr>
            <w:top w:val="none" w:sz="0" w:space="0" w:color="auto"/>
            <w:left w:val="none" w:sz="0" w:space="0" w:color="auto"/>
            <w:bottom w:val="none" w:sz="0" w:space="0" w:color="auto"/>
            <w:right w:val="none" w:sz="0" w:space="0" w:color="auto"/>
          </w:divBdr>
          <w:divsChild>
            <w:div w:id="1640958281">
              <w:marLeft w:val="0"/>
              <w:marRight w:val="0"/>
              <w:marTop w:val="0"/>
              <w:marBottom w:val="0"/>
              <w:divBdr>
                <w:top w:val="none" w:sz="0" w:space="0" w:color="auto"/>
                <w:left w:val="none" w:sz="0" w:space="0" w:color="auto"/>
                <w:bottom w:val="none" w:sz="0" w:space="0" w:color="auto"/>
                <w:right w:val="none" w:sz="0" w:space="0" w:color="auto"/>
              </w:divBdr>
              <w:divsChild>
                <w:div w:id="101064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229011">
      <w:bodyDiv w:val="1"/>
      <w:marLeft w:val="0"/>
      <w:marRight w:val="0"/>
      <w:marTop w:val="0"/>
      <w:marBottom w:val="0"/>
      <w:divBdr>
        <w:top w:val="none" w:sz="0" w:space="0" w:color="auto"/>
        <w:left w:val="none" w:sz="0" w:space="0" w:color="auto"/>
        <w:bottom w:val="none" w:sz="0" w:space="0" w:color="auto"/>
        <w:right w:val="none" w:sz="0" w:space="0" w:color="auto"/>
      </w:divBdr>
    </w:div>
    <w:div w:id="371618308">
      <w:bodyDiv w:val="1"/>
      <w:marLeft w:val="0"/>
      <w:marRight w:val="0"/>
      <w:marTop w:val="0"/>
      <w:marBottom w:val="0"/>
      <w:divBdr>
        <w:top w:val="none" w:sz="0" w:space="0" w:color="auto"/>
        <w:left w:val="none" w:sz="0" w:space="0" w:color="auto"/>
        <w:bottom w:val="none" w:sz="0" w:space="0" w:color="auto"/>
        <w:right w:val="none" w:sz="0" w:space="0" w:color="auto"/>
      </w:divBdr>
      <w:divsChild>
        <w:div w:id="101609060">
          <w:marLeft w:val="0"/>
          <w:marRight w:val="0"/>
          <w:marTop w:val="0"/>
          <w:marBottom w:val="0"/>
          <w:divBdr>
            <w:top w:val="none" w:sz="0" w:space="0" w:color="auto"/>
            <w:left w:val="none" w:sz="0" w:space="0" w:color="auto"/>
            <w:bottom w:val="none" w:sz="0" w:space="0" w:color="auto"/>
            <w:right w:val="none" w:sz="0" w:space="0" w:color="auto"/>
          </w:divBdr>
          <w:divsChild>
            <w:div w:id="1184661413">
              <w:marLeft w:val="0"/>
              <w:marRight w:val="0"/>
              <w:marTop w:val="0"/>
              <w:marBottom w:val="0"/>
              <w:divBdr>
                <w:top w:val="none" w:sz="0" w:space="0" w:color="auto"/>
                <w:left w:val="none" w:sz="0" w:space="0" w:color="auto"/>
                <w:bottom w:val="none" w:sz="0" w:space="0" w:color="auto"/>
                <w:right w:val="none" w:sz="0" w:space="0" w:color="auto"/>
              </w:divBdr>
              <w:divsChild>
                <w:div w:id="196387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301117">
      <w:bodyDiv w:val="1"/>
      <w:marLeft w:val="0"/>
      <w:marRight w:val="0"/>
      <w:marTop w:val="0"/>
      <w:marBottom w:val="0"/>
      <w:divBdr>
        <w:top w:val="none" w:sz="0" w:space="0" w:color="auto"/>
        <w:left w:val="none" w:sz="0" w:space="0" w:color="auto"/>
        <w:bottom w:val="none" w:sz="0" w:space="0" w:color="auto"/>
        <w:right w:val="none" w:sz="0" w:space="0" w:color="auto"/>
      </w:divBdr>
    </w:div>
    <w:div w:id="1379553744">
      <w:bodyDiv w:val="1"/>
      <w:marLeft w:val="0"/>
      <w:marRight w:val="0"/>
      <w:marTop w:val="0"/>
      <w:marBottom w:val="0"/>
      <w:divBdr>
        <w:top w:val="none" w:sz="0" w:space="0" w:color="auto"/>
        <w:left w:val="none" w:sz="0" w:space="0" w:color="auto"/>
        <w:bottom w:val="none" w:sz="0" w:space="0" w:color="auto"/>
        <w:right w:val="none" w:sz="0" w:space="0" w:color="auto"/>
      </w:divBdr>
    </w:div>
    <w:div w:id="1783723250">
      <w:bodyDiv w:val="1"/>
      <w:marLeft w:val="0"/>
      <w:marRight w:val="0"/>
      <w:marTop w:val="0"/>
      <w:marBottom w:val="0"/>
      <w:divBdr>
        <w:top w:val="none" w:sz="0" w:space="0" w:color="auto"/>
        <w:left w:val="none" w:sz="0" w:space="0" w:color="auto"/>
        <w:bottom w:val="none" w:sz="0" w:space="0" w:color="auto"/>
        <w:right w:val="none" w:sz="0" w:space="0" w:color="auto"/>
      </w:divBdr>
    </w:div>
    <w:div w:id="1893612604">
      <w:bodyDiv w:val="1"/>
      <w:marLeft w:val="0"/>
      <w:marRight w:val="0"/>
      <w:marTop w:val="0"/>
      <w:marBottom w:val="0"/>
      <w:divBdr>
        <w:top w:val="none" w:sz="0" w:space="0" w:color="auto"/>
        <w:left w:val="none" w:sz="0" w:space="0" w:color="auto"/>
        <w:bottom w:val="none" w:sz="0" w:space="0" w:color="auto"/>
        <w:right w:val="none" w:sz="0" w:space="0" w:color="auto"/>
      </w:divBdr>
    </w:div>
    <w:div w:id="2138715199">
      <w:bodyDiv w:val="1"/>
      <w:marLeft w:val="0"/>
      <w:marRight w:val="0"/>
      <w:marTop w:val="0"/>
      <w:marBottom w:val="0"/>
      <w:divBdr>
        <w:top w:val="none" w:sz="0" w:space="0" w:color="auto"/>
        <w:left w:val="none" w:sz="0" w:space="0" w:color="auto"/>
        <w:bottom w:val="none" w:sz="0" w:space="0" w:color="auto"/>
        <w:right w:val="none" w:sz="0" w:space="0" w:color="auto"/>
      </w:divBdr>
      <w:divsChild>
        <w:div w:id="173108759">
          <w:marLeft w:val="274"/>
          <w:marRight w:val="0"/>
          <w:marTop w:val="86"/>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5BD28E9-D6B5-4356-8BF0-450308618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4125</Words>
  <Characters>25994</Characters>
  <Application>Microsoft Office Word</Application>
  <DocSecurity>0</DocSecurity>
  <Lines>216</Lines>
  <Paragraphs>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Jürg Tiefenthal</dc:creator>
  <cp:keywords/>
  <dc:description/>
  <cp:lastModifiedBy>Schindler, Benjamin</cp:lastModifiedBy>
  <cp:revision>41</cp:revision>
  <cp:lastPrinted>2020-06-02T09:40:00Z</cp:lastPrinted>
  <dcterms:created xsi:type="dcterms:W3CDTF">2020-06-02T06:52:00Z</dcterms:created>
  <dcterms:modified xsi:type="dcterms:W3CDTF">2020-06-02T12:39:00Z</dcterms:modified>
</cp:coreProperties>
</file>