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D3BE7" w14:textId="3840E304" w:rsidR="00B935D4" w:rsidRDefault="003A7F8A" w:rsidP="002D53DD">
      <w:pPr>
        <w:rPr>
          <w:rFonts w:asciiTheme="majorHAnsi" w:eastAsiaTheme="majorEastAsia" w:hAnsiTheme="majorHAnsi" w:cstheme="majorBidi"/>
          <w:spacing w:val="-10"/>
          <w:kern w:val="28"/>
          <w:sz w:val="56"/>
          <w:szCs w:val="56"/>
        </w:rPr>
      </w:pPr>
      <w:r w:rsidRPr="003A7F8A">
        <w:rPr>
          <w:rFonts w:asciiTheme="majorHAnsi" w:eastAsiaTheme="majorEastAsia" w:hAnsiTheme="majorHAnsi" w:cstheme="majorBidi"/>
          <w:spacing w:val="-10"/>
          <w:kern w:val="28"/>
          <w:sz w:val="56"/>
          <w:szCs w:val="56"/>
        </w:rPr>
        <w:t>IOTA-based Business Model Configurations</w:t>
      </w:r>
    </w:p>
    <w:p w14:paraId="2C51D158" w14:textId="513B9E4B" w:rsidR="003A7F8A" w:rsidRPr="003A7F8A" w:rsidRDefault="003A7F8A" w:rsidP="002D53DD">
      <w:pPr>
        <w:rPr>
          <w:b/>
          <w:color w:val="000000" w:themeColor="text1"/>
          <w:lang w:eastAsia="de-AT"/>
        </w:rPr>
      </w:pPr>
      <w:r w:rsidRPr="003A7F8A">
        <w:rPr>
          <w:b/>
          <w:color w:val="000000" w:themeColor="text1"/>
          <w:lang w:eastAsia="de-AT"/>
        </w:rPr>
        <w:t>Moellers, T.</w:t>
      </w:r>
    </w:p>
    <w:p w14:paraId="77349343" w14:textId="77777777" w:rsidR="003A7F8A" w:rsidRPr="00223E3E" w:rsidRDefault="003A7F8A" w:rsidP="002D53DD">
      <w:pPr>
        <w:rPr>
          <w:color w:val="000000" w:themeColor="text1"/>
          <w:lang w:eastAsia="de-AT"/>
        </w:rPr>
      </w:pPr>
    </w:p>
    <w:p w14:paraId="7E39DDD7" w14:textId="3C1F569D" w:rsidR="00B935D4" w:rsidRPr="00223E3E" w:rsidRDefault="003B3150" w:rsidP="00B935D4">
      <w:pPr>
        <w:spacing w:after="120" w:line="240" w:lineRule="auto"/>
        <w:rPr>
          <w:b/>
        </w:rPr>
      </w:pPr>
      <w:r w:rsidRPr="00223E3E">
        <w:rPr>
          <w:b/>
        </w:rPr>
        <w:t>Abstract</w:t>
      </w:r>
      <w:r w:rsidR="00B935D4" w:rsidRPr="00223E3E">
        <w:rPr>
          <w:b/>
        </w:rPr>
        <w:t xml:space="preserve"> </w:t>
      </w:r>
    </w:p>
    <w:p w14:paraId="6795C3A2" w14:textId="78BB52A8" w:rsidR="00B935D4" w:rsidRPr="00223E3E" w:rsidRDefault="00B935D4" w:rsidP="00792E20">
      <w:r w:rsidRPr="00223E3E">
        <w:t xml:space="preserve">Distributed Ledger Technologies (DLT) have triggered business model innovation activities among firms. While the available business model design choices are limited by the unique properties of any protocol, management research so far has neglected </w:t>
      </w:r>
      <w:r w:rsidR="002340BE" w:rsidRPr="00223E3E">
        <w:t xml:space="preserve">the </w:t>
      </w:r>
      <w:r w:rsidR="005D79CF">
        <w:t xml:space="preserve">architectural </w:t>
      </w:r>
      <w:r w:rsidR="002340BE" w:rsidRPr="00223E3E">
        <w:t>differences between</w:t>
      </w:r>
      <w:r w:rsidRPr="00223E3E">
        <w:t xml:space="preserve"> the dominant protocol types. In this study, I analyse the business model design characteristics of firms seeking to utili</w:t>
      </w:r>
      <w:r w:rsidR="00595818">
        <w:t>s</w:t>
      </w:r>
      <w:r w:rsidRPr="00223E3E">
        <w:t xml:space="preserve">e the IOTA Tangle as the underlying DLT protocol for business model innovating. I apply an explorative multiple case study approach for theory building comprising ten cases. Overall, my findings highlight the need to differentiate between different DLT-protocols in management research as firms make purposeful decisions for or against </w:t>
      </w:r>
      <w:r w:rsidR="005D79CF">
        <w:t xml:space="preserve">individual </w:t>
      </w:r>
      <w:r w:rsidRPr="00223E3E">
        <w:t xml:space="preserve">protocols. I contribute to literature on business model innovation by identifying two potential business model patterns the IOTA Tangle facilitates that is </w:t>
      </w:r>
      <w:r w:rsidRPr="00223E3E">
        <w:rPr>
          <w:i/>
        </w:rPr>
        <w:t>by-demand value capture and creation</w:t>
      </w:r>
      <w:r w:rsidRPr="00223E3E">
        <w:t xml:space="preserve"> and the </w:t>
      </w:r>
      <w:r w:rsidRPr="00223E3E">
        <w:rPr>
          <w:i/>
        </w:rPr>
        <w:t>moneti</w:t>
      </w:r>
      <w:r w:rsidR="009453B0">
        <w:rPr>
          <w:i/>
        </w:rPr>
        <w:t>sati</w:t>
      </w:r>
      <w:r w:rsidRPr="00223E3E">
        <w:rPr>
          <w:i/>
        </w:rPr>
        <w:t>on of data streams</w:t>
      </w:r>
      <w:r w:rsidRPr="00223E3E">
        <w:t xml:space="preserve">. I further find that firms create or extend either </w:t>
      </w:r>
      <w:r w:rsidRPr="00223E3E">
        <w:rPr>
          <w:i/>
        </w:rPr>
        <w:t xml:space="preserve">closed </w:t>
      </w:r>
      <w:r w:rsidRPr="00223E3E">
        <w:t>or</w:t>
      </w:r>
      <w:r w:rsidRPr="00223E3E">
        <w:rPr>
          <w:i/>
        </w:rPr>
        <w:t xml:space="preserve"> open platforms </w:t>
      </w:r>
      <w:r w:rsidRPr="00223E3E">
        <w:t>when integrating the IOTA protocol into their business models.</w:t>
      </w:r>
    </w:p>
    <w:p w14:paraId="777F113D" w14:textId="77777777" w:rsidR="00B935D4" w:rsidRPr="00223E3E" w:rsidRDefault="00B935D4" w:rsidP="00792E20">
      <w:r w:rsidRPr="00223E3E">
        <w:t>Keywords: Business model, business model innovation, distributed ledger technology, IOTA</w:t>
      </w:r>
    </w:p>
    <w:p w14:paraId="550FE94E" w14:textId="77777777" w:rsidR="00B935D4" w:rsidRPr="00223E3E" w:rsidRDefault="00B935D4" w:rsidP="002D53DD">
      <w:pPr>
        <w:rPr>
          <w:color w:val="000000" w:themeColor="text1"/>
          <w:lang w:eastAsia="de-AT"/>
        </w:rPr>
      </w:pPr>
    </w:p>
    <w:p w14:paraId="2AB112D7" w14:textId="77777777" w:rsidR="00792E20" w:rsidRPr="00223E3E" w:rsidRDefault="00BD6CBF">
      <w:pPr>
        <w:spacing w:before="0" w:line="240" w:lineRule="auto"/>
        <w:jc w:val="left"/>
        <w:rPr>
          <w:color w:val="000000" w:themeColor="text1"/>
          <w:lang w:eastAsia="de-AT"/>
        </w:rPr>
      </w:pPr>
      <w:r w:rsidRPr="00223E3E">
        <w:rPr>
          <w:color w:val="000000" w:themeColor="text1"/>
          <w:lang w:eastAsia="de-AT"/>
        </w:rPr>
        <w:br w:type="page"/>
      </w:r>
    </w:p>
    <w:p w14:paraId="57B24CBB" w14:textId="3F8F9A8E" w:rsidR="00792E20" w:rsidRPr="00223E3E" w:rsidRDefault="00792E20" w:rsidP="00ED5260">
      <w:pPr>
        <w:pStyle w:val="Heading1"/>
      </w:pPr>
      <w:bookmarkStart w:id="0" w:name="_Toc1632037"/>
      <w:r w:rsidRPr="00223E3E">
        <w:lastRenderedPageBreak/>
        <w:t>Introduction</w:t>
      </w:r>
      <w:bookmarkEnd w:id="0"/>
    </w:p>
    <w:p w14:paraId="4D24173B" w14:textId="2ECE85F4" w:rsidR="00792E20" w:rsidRPr="00223E3E" w:rsidRDefault="00ED4271" w:rsidP="00792E20">
      <w:r w:rsidRPr="00223E3E">
        <w:t>In</w:t>
      </w:r>
      <w:r w:rsidR="00792E20" w:rsidRPr="00223E3E">
        <w:t xml:space="preserve"> recent </w:t>
      </w:r>
      <w:r w:rsidR="00C14E8F" w:rsidRPr="00223E3E">
        <w:t>times</w:t>
      </w:r>
      <w:r w:rsidR="00792E20" w:rsidRPr="00223E3E">
        <w:t xml:space="preserve"> Distributed Ledger Technology (DLT) has sparked </w:t>
      </w:r>
      <w:r w:rsidR="00C14E8F" w:rsidRPr="00223E3E">
        <w:t>immense</w:t>
      </w:r>
      <w:r w:rsidR="00792E20" w:rsidRPr="00223E3E">
        <w:t xml:space="preserve"> managerial interest. DLT is an umbrella term </w:t>
      </w:r>
      <w:r w:rsidR="00C14E8F" w:rsidRPr="00223E3E">
        <w:t xml:space="preserve">comprising </w:t>
      </w:r>
      <w:r w:rsidR="00792E20" w:rsidRPr="00223E3E">
        <w:t xml:space="preserve">different </w:t>
      </w:r>
      <w:r w:rsidR="00C14E8F" w:rsidRPr="00223E3E">
        <w:t xml:space="preserve">types of </w:t>
      </w:r>
      <w:r w:rsidR="00792E20" w:rsidRPr="00223E3E">
        <w:t xml:space="preserve">protocols of distributed systems </w:t>
      </w:r>
      <w:r w:rsidR="00C14E8F" w:rsidRPr="00223E3E">
        <w:t xml:space="preserve">that facilitate value and </w:t>
      </w:r>
      <w:r w:rsidR="00792E20" w:rsidRPr="00223E3E">
        <w:t xml:space="preserve">data exchange </w:t>
      </w:r>
      <w:r w:rsidR="00C14E8F" w:rsidRPr="00223E3E">
        <w:t xml:space="preserve">while </w:t>
      </w:r>
      <w:r w:rsidR="00792E20" w:rsidRPr="00223E3E">
        <w:t>stor</w:t>
      </w:r>
      <w:r w:rsidR="00C14E8F" w:rsidRPr="00223E3E">
        <w:t>ing</w:t>
      </w:r>
      <w:r w:rsidR="00792E20" w:rsidRPr="00223E3E">
        <w:t xml:space="preserve"> the </w:t>
      </w:r>
      <w:r w:rsidR="00C14E8F" w:rsidRPr="00223E3E">
        <w:t>entire history of</w:t>
      </w:r>
      <w:r w:rsidR="00792E20" w:rsidRPr="00223E3E">
        <w:t xml:space="preserve"> transaction</w:t>
      </w:r>
      <w:r w:rsidR="00C14E8F" w:rsidRPr="00223E3E">
        <w:t>s</w:t>
      </w:r>
      <w:r w:rsidR="00792E20" w:rsidRPr="00223E3E">
        <w:t xml:space="preserve"> in a public database </w:t>
      </w:r>
      <w:r w:rsidR="00792E20" w:rsidRPr="00223E3E">
        <w:fldChar w:fldCharType="begin" w:fldLock="1"/>
      </w:r>
      <w:r w:rsidR="00792E20" w:rsidRPr="00223E3E">
        <w:instrText>ADDIN CSL_CITATION {"citationItems":[{"id":"ITEM-1","itemData":{"abstract":"The article discusses hydraulic fracturing, also known as fracking, a method used to harvest natural gas from shale layers, and examines the possibility that fracking can pollute drinking water. Horizontal fracking, which is done using large amounts of water and chemicals, is being researched by scientists and engineers such as Anthony Ingraffea as a possible cause of methane contamination in water wells. The state of New York may give drilling access to the Marcellus and Utica Shale formations, despite the fact that the U.S. Environmental Protection Agency (EPA) has not finished a major safety study. Diagrams are provided which show how horizontal fracking works and how groundwater could be contaminated.","author":[{"dropping-particle":"","family":"Iansiti","given":"Marco","non-dropping-particle":"","parse-names":false,"suffix":""},{"dropping-particle":"","family":"Lakhani","given":"Karim R.","non-dropping-particle":"","parse-names":false,"suffix":""}],"container-title":"Harvard Business Review","id":"ITEM-1","issued":{"date-parts":[["2017"]]},"page":"118-127","title":"The Truth About Blockchain","type":"article-journal"},"uris":["http://www.mendeley.com/documents/?uuid=aa4cd23e-4c05-431c-bc1b-b4586b8c5493"]},{"id":"ITEM-2","itemData":{"abstract":"The financial sector is currently undergoing a major transformation, brought about by the rapid development and spread of new technologies. The confluence of 'finance' and 'technology' is often referred to as 'Fintech', typically describing companies or innovations that employ new technologies to improve or innovate financial services. 'Fintech' developments are seen across all areas of the financial sector, including payments and financial infrastructures, consumer and SME lending, insurance, investment management, and venture financing. This note on distributed ledger technology (DLT) and blockchains is part of a series of short notes that explore new trends and developments in Fintech and analyze their potential relevance for WBG activities. Forthcoming notes in this series will cover marketplace lending, 'InsureTech', and other topics. This note outlines the mechanisms, origins, and key characteristics of DLT; the difference between 'public' and 'private' DLT; the technology's main advantages, challenges, and risks; relevant examples of DLT applications (with a focus on financial sector applications); and a brief overview of activities by governments, multilateral organization, and other stakeholders in this space. Finally, this note proposes next steps for the World Bank to study and evaluate areas where DLT could potentially be integrated into World Bank financial sector operations.","author":[{"dropping-particle":"","family":"Natarajan","given":"Harish","non-dropping-particle":"","parse-names":false,"suffix":""},{"dropping-particle":"","family":"Krause","given":"Solvej Karla","non-dropping-particle":"","parse-names":false,"suffix":""},{"dropping-particle":"","family":"Gradstein","given":"Helen Luskin","non-dropping-particle":"","parse-names":false,"suffix":""}],"container-title":"FinTech note","id":"ITEM-2","issue":"1","issued":{"date-parts":[["2017"]]},"number-of-pages":"1-60","publisher-place":"Washington, D.C.","title":"Distributed Ledger Technology (DLT) and Blockchain (English)","type":"report"},"uris":["http://www.mendeley.com/documents/?uuid=7d6a6fcc-d548-4aa1-b1f4-4976dacaad50"]}],"mendeley":{"formattedCitation":"(Iansiti &amp; Lakhani, 2017; Natarajan, Krause, &amp; Gradstein, 2017)","plainTextFormattedCitation":"(Iansiti &amp; Lakhani, 2017; Natarajan, Krause, &amp; Gradstein, 2017)","previouslyFormattedCitation":"(Iansiti &amp; Lakhani, 2017; Natarajan, Krause, &amp; Gradstein, 2017)"},"properties":{"noteIndex":0},"schema":"https://github.com/citation-style-language/schema/raw/master/csl-citation.json"}</w:instrText>
      </w:r>
      <w:r w:rsidR="00792E20" w:rsidRPr="00223E3E">
        <w:fldChar w:fldCharType="separate"/>
      </w:r>
      <w:r w:rsidR="00792E20" w:rsidRPr="00223E3E">
        <w:rPr>
          <w:noProof/>
        </w:rPr>
        <w:t>(Iansiti &amp; Lakhani, 2017; Natarajan, Krause, &amp; Gradstein, 2017)</w:t>
      </w:r>
      <w:r w:rsidR="00792E20" w:rsidRPr="00223E3E">
        <w:fldChar w:fldCharType="end"/>
      </w:r>
      <w:r w:rsidR="00792E20" w:rsidRPr="00223E3E">
        <w:t xml:space="preserve">. </w:t>
      </w:r>
      <w:r w:rsidR="00C14E8F" w:rsidRPr="00223E3E">
        <w:t xml:space="preserve">A </w:t>
      </w:r>
      <w:r w:rsidR="00C14E8F" w:rsidRPr="00223E3E">
        <w:rPr>
          <w:i/>
        </w:rPr>
        <w:t>b</w:t>
      </w:r>
      <w:r w:rsidR="00792E20" w:rsidRPr="00223E3E">
        <w:rPr>
          <w:i/>
        </w:rPr>
        <w:t xml:space="preserve">lockchain, </w:t>
      </w:r>
      <w:r w:rsidR="00792E20" w:rsidRPr="00223E3E">
        <w:t xml:space="preserve">as </w:t>
      </w:r>
      <w:r w:rsidR="00C14E8F" w:rsidRPr="00223E3E">
        <w:t>used</w:t>
      </w:r>
      <w:r w:rsidR="00792E20" w:rsidRPr="00223E3E">
        <w:t xml:space="preserve"> in </w:t>
      </w:r>
      <w:r w:rsidR="00C14E8F" w:rsidRPr="00223E3E">
        <w:t>the</w:t>
      </w:r>
      <w:r w:rsidR="00792E20" w:rsidRPr="00223E3E">
        <w:t xml:space="preserve"> Bitcoin </w:t>
      </w:r>
      <w:r w:rsidR="00C14E8F" w:rsidRPr="00223E3E">
        <w:t>and</w:t>
      </w:r>
      <w:r w:rsidR="00792E20" w:rsidRPr="00223E3E">
        <w:t xml:space="preserve"> Ethereum network</w:t>
      </w:r>
      <w:r w:rsidR="005B31B5" w:rsidRPr="00223E3E">
        <w:t>s</w:t>
      </w:r>
      <w:r w:rsidR="00792E20" w:rsidRPr="00223E3E">
        <w:t xml:space="preserve">, </w:t>
      </w:r>
      <w:r w:rsidR="005B31B5" w:rsidRPr="00223E3E">
        <w:t>represents</w:t>
      </w:r>
      <w:r w:rsidR="00792E20" w:rsidRPr="00223E3E">
        <w:t xml:space="preserve"> the most</w:t>
      </w:r>
      <w:r w:rsidR="00C14E8F" w:rsidRPr="00223E3E">
        <w:t xml:space="preserve"> well-known</w:t>
      </w:r>
      <w:r w:rsidR="00792E20" w:rsidRPr="00223E3E">
        <w:t xml:space="preserve"> among existing protocol types. </w:t>
      </w:r>
      <w:r w:rsidR="00245CD8" w:rsidRPr="00223E3E">
        <w:t>Emerging technologies, such as DLT, offer outstanding opportunities for companies to attain or secure competitive advantages, w</w:t>
      </w:r>
      <w:r w:rsidR="00792E20" w:rsidRPr="00223E3E">
        <w:t xml:space="preserve">hen </w:t>
      </w:r>
      <w:r w:rsidR="00245CD8" w:rsidRPr="00223E3E">
        <w:t>these are commerciali</w:t>
      </w:r>
      <w:r w:rsidR="00595818">
        <w:t>s</w:t>
      </w:r>
      <w:r w:rsidR="00245CD8" w:rsidRPr="00223E3E">
        <w:t>ed</w:t>
      </w:r>
      <w:r w:rsidR="00792E20" w:rsidRPr="00223E3E">
        <w:t xml:space="preserve"> through innovative business models (BMs), </w:t>
      </w:r>
      <w:r w:rsidR="00792E20" w:rsidRPr="00223E3E">
        <w:fldChar w:fldCharType="begin" w:fldLock="1"/>
      </w:r>
      <w:r w:rsidR="008373DB">
        <w:instrText>ADDIN CSL_CITATION {"citationItems":[{"id":"ITEM-1","itemData":{"abstract":"This paper explores the role of the business model in capturing value from early stage technology. A successful business model creates a heuristic logic that connects technical potential with the realization of economic value. The business model unlocks latent value from a technology, but its logic constrains the subsequent search for new, alternative models for other technologies later on—an implicit cognitive dimension overlooked in most discourse on the topic. We explore the intellectual roots of the concept, offer a working definition and show how the Xerox Corporation arose by employing an effective business model to com- mercialize a technology rejected by other leading companies of the day. We then show the long shadow that this model cast upon Xerox’s later management of selected spin-off companies from Xerox PARC. Xerox evaluated the technical potential of these spin-offs through its own business model, while those spin-offs that became successful did so through evolving business models that came to differ substantially from that of Xerox. The search and learning for an effective business model in failed ventures, by contrast, were quite limited. 1.","author":[{"dropping-particle":"","family":"Chesbrough","given":"Henry","non-dropping-particle":"","parse-names":false,"suffix":""},{"dropping-particle":"","family":"Rosenbloom","given":"Richard S","non-dropping-particle":"","parse-names":false,"suffix":""}],"container-title":"Industrial and Corporate Change","id":"ITEM-1","issue":"3","issued":{"date-parts":[["2002"]]},"page":"529-555","title":"The role of the business model in capturing value from innovation: evidence from Xerox Corporation’s technology spin-off companies","type":"article-journal","volume":"11"},"uris":["http://www.mendeley.com/documents/?uuid=19adda14-860f-4e95-b276-6d5947ec2fe7"]},{"id":"ITEM-2","itemData":{"abstract":"Using outside technologies to develop products and licensing internal intellectual property to external parties will carry a company only so far. The next frontier in innovation is to open the business model itself.","author":[{"dropping-particle":"","family":"Chesbrough","given":"Henry","non-dropping-particle":"","parse-names":false,"suffix":""}],"container-title":"MIT Sloan management review","id":"ITEM-2","issue":"Winter","issued":{"date-parts":[["2007"]]},"page":"23","title":"Why companies should have open business models","type":"article-journal","volume":"48"},"uris":["http://www.mendeley.com/documents/?uuid=a62103c5-a974-4e5b-967e-6dd88ea00b36"]},{"id":"ITEM-3","itemData":{"abstract":"The purpose of this article is to examine the financial performance implications of a firm’s strategic emphases with respect to business model innovation vs replication. It is also examined how the financial performance implications differ between larger and smaller firms. Based on survey data including top managers’ reports from approximately 500 firms, the authors analyze the differences in average profitable growth across firms that differ in their strategic orientations. It is found that firms that have a high strategic emphasis on business model innovation as well as a high emphasis on replication exhibit a higher average value of profitable growth than firms that do not strategically emphasize either dimension. Concerning a strategy that puts a high emphasis on business model innovation but low on replication, a difference is found between small and large firms. Large firms with a high emphasis on business model innovation but low on replication exhibit, on average, weaker profitable growth than large firms with low emphases on both business model innovation and replication. In contrast, small firms with high emphasis on business model innovation but low on replication exhibit, on average, stronger profitable growth than small firms with low emphases on both business model innovation and replication.","author":[{"dropping-particle":"","family":"Aspara","given":"Jaakko","non-dropping-particle":"","parse-names":false,"suffix":""},{"dropping-particle":"","family":"Hietanen","given":"Joel","non-dropping-particle":"","parse-names":false,"suffix":""},{"dropping-particle":"","family":"Tikkanen","given":"Henrikki","non-dropping-particle":"","parse-names":false,"suffix":""}],"container-title":"Journal of Strategic Marketing","id":"ITEM-3","issue":"1","issued":{"date-parts":[["2010"]]},"page":"39-56","title":"Business model innovation vs replication: financial performance implications of strategic emphases","type":"article-journal","volume":"18"},"uris":["http://www.mendeley.com/documents/?uuid=3d051156-b0e4-4eb6-abbf-2cd2b3f774ad"]},{"id":"ITEM-4","itemData":{"abstract":"This paper investigates the increasing interdependency among different bodies of knowledge in products, from the technology opportunities arising from 'cross-fertilizing', and how firms try to appropriate economic value from their technical potential. The study is based on three multi-national corporations, and their integration of information and communication technologies into established mechanical engineering products. The case studies show how technology cross-fertilization needs to be accompanied by business model changes in order to achieve increased economic value. While much attention has been given to the input dimension of multi-technology products, the economic and commercial domains have been rather ignored in previous literature. This work contributes to the management literature by linking the input resources with the market output for creating and appropriating value from technology cross-fertilization. © 2009 Elsevier B.V. All rights reserved.","author":[{"dropping-particle":"","family":"Björkdahl","given":"Joakim","non-dropping-particle":"","parse-names":false,"suffix":""}],"container-title":"Research Policy","id":"ITEM-4","issue":"9","issued":{"date-parts":[["2009"]]},"page":"1468-1477","title":"Technology cross-fertilization and the business model: The case of integrating ICTs in mechanical engineering products","type":"article-journal","volume":"38"},"uris":["http://www.mendeley.com/documents/?uuid=767667b7-2d09-4829-b0b0-b21bd36b7eaa"]},{"id":"ITEM-5","itemData":{"abstract":"SUMMARY Disruptive technologies tend to underperform on attributes that are considered as key attributes of incumbent technologies and require new value propositions to increase mainstream customer appeal. Yet, how do firms reconfigure their value proposition as a way to overcome the technological inferiority of disruptive technologies? This article conceptualizes and empirically investigates the process of value proposition reconfiguration. Based on evidence on the commercialization of electric vehicles, it explores the tactics firms use to reconfigure value propositions to increase market acceptance from mainstream customers. The article develops a framework showing three reconfiguration tactics: compensating, enhancing, and coupling tactics. D isruptive technologies have the potential to reinvent a product by introducing new attributes that could become a key source of competitive advantage. 1 Yet, initially, only customers on the fringe tend to value such new attributes. Breaking into the mainstream remains a challenge, because these technologies seem to underperform on more established attributes mainstream customers currently value most. 2 Disruption occurs only when these customers also make the switch to the new technology. This happens when product performance on established attributes has improved to an acceptable level, and mainstream customers have also started to value the","author":[{"dropping-particle":"","family":"Bohnsack","given":"René","non-dropping-particle":"","parse-names":false,"suffix":""},{"dropping-particle":"","family":"Pinkse","given":"Jonatan","non-dropping-particle":"","parse-names":false,"suffix":""}],"container-title":"California Management Review","id":"ITEM-5","issue":"4","issued":{"date-parts":[["2017"]]},"page":"79-96","title":"Value Propositions for Disruptive Technologies: Reconfiguration Tactics in the Case of Electric Vehicles","type":"article-journal","volume":"59"},"uris":["http://www.mendeley.com/documents/?uuid=e7b65b0f-b5a6-4303-af87-88403db9f690"]},{"id":"ITEM-6","itemData":{"abstract":"Business model innovation is a topic that has received much attention from academia as well as from business practice. After extensive research on the definition and conceptualization of the concept and publication of many case-based results, recently scholars have been calling for more generalizable results, large-scale investigations and greater empirical sophistication. Despite the great importance of measuring business model innovation for various purposes, a validated measurement scale is still not available. I fill this gap by systematically developing a new scale for business model innovation. I follow a rigorous scale development approach to ensure validity and reliability. Specifically, I collected two large-scale samples of 126 and 232 firms to specify and assess the scale. As a result, I provide a hierarchical three-level scale for measuring business model innovation. At the first level, 41 reflective items are provided to measure ten subconstructs of business model innovation. These can be used as formative measures of three dimensions of business model innovation at the second level, namely value creation innovation, value proposition innovation and value capture innovation. At the third level, these three dimensions form the metaconstruct of business model innovation.","author":[{"dropping-particle":"","family":"Clauss","given":"Thomas","non-dropping-particle":"","parse-names":false,"suffix":""}],"container-title":"R&amp;D Management","id":"ITEM-6","issue":"1","issued":{"date-parts":[["2016"]]},"page":"1-19","title":"Measuring business model innovation: Conceptualization, scale development, and proof of performance","type":"article-journal"},"uris":["http://www.mendeley.com/documents/?uuid=4b54710b-ed22-4435-b60c-cccdb778fe6d"]}],"mendeley":{"formattedCitation":"(Aspara, Hietanen, &amp; Tikkanen, 2010; Björkdahl, 2009; Bohnsack &amp; Pinkse, 2017; Chesbrough, 2007; Chesbrough &amp; Rosenbloom, 2002; Clauss, 2016)","plainTextFormattedCitation":"(Aspara, Hietanen, &amp; Tikkanen, 2010; Björkdahl, 2009; Bohnsack &amp; Pinkse, 2017; Chesbrough, 2007; Chesbrough &amp; Rosenbloom, 2002; Clauss, 2016)","previouslyFormattedCitation":"(Aspara, Hietanen, &amp; Tikkanen, 2010; Björkdahl, 2009; Bohnsack &amp; Pinkse, 2017; Chesbrough, 2007b; Chesbrough &amp; Rosenbloom, 2002; Clauss, 2016)"},"properties":{"noteIndex":0},"schema":"https://github.com/citation-style-language/schema/raw/master/csl-citation.json"}</w:instrText>
      </w:r>
      <w:r w:rsidR="00792E20" w:rsidRPr="00223E3E">
        <w:fldChar w:fldCharType="separate"/>
      </w:r>
      <w:r w:rsidR="008373DB" w:rsidRPr="008373DB">
        <w:rPr>
          <w:noProof/>
        </w:rPr>
        <w:t>(Aspara, Hietanen, &amp; Tikkanen, 2010; Björkdahl, 2009; Bohnsack &amp; Pinkse, 2017; Chesbrough, 2007; Chesbrough &amp; Rosenbloom, 2002; Clauss, 2016)</w:t>
      </w:r>
      <w:r w:rsidR="00792E20" w:rsidRPr="00223E3E">
        <w:fldChar w:fldCharType="end"/>
      </w:r>
      <w:r w:rsidR="00792E20" w:rsidRPr="00223E3E">
        <w:t xml:space="preserve">. </w:t>
      </w:r>
      <w:r w:rsidR="00245CD8" w:rsidRPr="00223E3E">
        <w:t>In the case of</w:t>
      </w:r>
      <w:r w:rsidR="00792E20" w:rsidRPr="00223E3E">
        <w:t xml:space="preserve"> DLT, scholars have </w:t>
      </w:r>
      <w:r w:rsidR="00245CD8" w:rsidRPr="00223E3E">
        <w:t>illustrated</w:t>
      </w:r>
      <w:r w:rsidR="00792E20" w:rsidRPr="00223E3E">
        <w:t xml:space="preserve"> fascinating innovation </w:t>
      </w:r>
      <w:r w:rsidR="00245CD8" w:rsidRPr="00223E3E">
        <w:t xml:space="preserve">possibilities </w:t>
      </w:r>
      <w:r w:rsidR="00792E20" w:rsidRPr="00223E3E">
        <w:t xml:space="preserve">(e.g., </w:t>
      </w:r>
      <w:r w:rsidR="00792E20" w:rsidRPr="00223E3E">
        <w:fldChar w:fldCharType="begin" w:fldLock="1"/>
      </w:r>
      <w:r w:rsidR="00792E20" w:rsidRPr="00223E3E">
        <w:instrText>ADDIN CSL_CITATION {"citationItems":[{"id":"ITEM-1","itemData":{"abstract":"Over 30 years, no theorist of the digital age has better explained the next big thing than Don Tapscott. For example, in Wikinomics Tapscott was the first to show how the Internet provides the first global platform for mass collaboration. Now, he writes about a profound technological shift that will change how the world does business—and everything else—using blockchain technology, which powers the digital currency Bitcoin.","author":[{"dropping-particle":"","family":"Tapscott","given":"Don","non-dropping-particle":"","parse-names":false,"suffix":""},{"dropping-particle":"","family":"Tapscott","given":"Alex","non-dropping-particle":"","parse-names":false,"suffix":""}],"container-title":"Blockchain Revolution","id":"ITEM-1","issued":{"date-parts":[["2016"]]},"page":"367","publisher":"Penguin","publisher-place":"New York","title":"Blockchain Revolution","type":"article"},"uris":["http://www.mendeley.com/documents/?uuid=3cef7f73-25ae-4837-8c05-8997545eaa2a","http://www.mendeley.com/documents/?uuid=e3197285-71cb-424a-9c4d-cd666244c96f"]}],"mendeley":{"formattedCitation":"(Tapscott &amp; Tapscott, 2016)","manualFormatting":"Tapscott &amp; Tapscott, 2016)","plainTextFormattedCitation":"(Tapscott &amp; Tapscott, 2016)","previouslyFormattedCitation":"(Tapscott &amp; Tapscott, 2016)"},"properties":{"noteIndex":0},"schema":"https://github.com/citation-style-language/schema/raw/master/csl-citation.json"}</w:instrText>
      </w:r>
      <w:r w:rsidR="00792E20" w:rsidRPr="00223E3E">
        <w:fldChar w:fldCharType="separate"/>
      </w:r>
      <w:r w:rsidR="00792E20" w:rsidRPr="00223E3E">
        <w:rPr>
          <w:noProof/>
        </w:rPr>
        <w:t>Tapscott &amp; Tapscott, 2016)</w:t>
      </w:r>
      <w:r w:rsidR="00792E20" w:rsidRPr="00223E3E">
        <w:fldChar w:fldCharType="end"/>
      </w:r>
      <w:r w:rsidR="00792E20" w:rsidRPr="00223E3E">
        <w:t xml:space="preserve"> </w:t>
      </w:r>
      <w:r w:rsidR="00245CD8" w:rsidRPr="00223E3E">
        <w:t xml:space="preserve">for </w:t>
      </w:r>
      <w:r w:rsidR="00792E20" w:rsidRPr="00223E3E">
        <w:t>various industries</w:t>
      </w:r>
      <w:r w:rsidR="00245CD8" w:rsidRPr="00223E3E">
        <w:t xml:space="preserve"> and applications</w:t>
      </w:r>
      <w:r w:rsidR="00792E20" w:rsidRPr="00223E3E">
        <w:t>.</w:t>
      </w:r>
    </w:p>
    <w:p w14:paraId="7C9BFE1C" w14:textId="60A01A23" w:rsidR="00792E20" w:rsidRPr="00223E3E" w:rsidRDefault="00792E20" w:rsidP="00792E20">
      <w:r w:rsidRPr="00223E3E">
        <w:t>However, adopti</w:t>
      </w:r>
      <w:r w:rsidR="00245CD8" w:rsidRPr="00223E3E">
        <w:t>ng</w:t>
      </w:r>
      <w:r w:rsidRPr="00223E3E">
        <w:t xml:space="preserve"> emerging technologies </w:t>
      </w:r>
      <w:r w:rsidR="00245CD8" w:rsidRPr="00223E3E">
        <w:t xml:space="preserve">can become an </w:t>
      </w:r>
      <w:r w:rsidRPr="00223E3E">
        <w:t xml:space="preserve">expensive </w:t>
      </w:r>
      <w:r w:rsidR="00245CD8" w:rsidRPr="00223E3E">
        <w:t xml:space="preserve">endeavour and cause </w:t>
      </w:r>
      <w:r w:rsidRPr="00223E3E">
        <w:t xml:space="preserve">high uncertainty </w:t>
      </w:r>
      <w:r w:rsidR="00245CD8" w:rsidRPr="00223E3E">
        <w:t xml:space="preserve">in terms of future </w:t>
      </w:r>
      <w:r w:rsidRPr="00223E3E">
        <w:t xml:space="preserve">profitability </w:t>
      </w:r>
      <w:r w:rsidRPr="00223E3E">
        <w:fldChar w:fldCharType="begin" w:fldLock="1"/>
      </w:r>
      <w:r w:rsidRPr="00223E3E">
        <w:instrText>ADDIN CSL_CITATION {"citationItems":[{"id":"ITEM-1","itemData":{"author":[{"dropping-particle":"","family":"Stenbacka","given":"Rune","non-dropping-particle":"","parse-names":false,"suffix":""},{"dropping-particle":"","family":"Tombakb","given":"Mihkel M","non-dropping-particle":"","parse-names":false,"suffix":""}],"container-title":"Science","id":"ITEM-1","issue":"93","issued":{"date-parts":[["1994"]]},"title":"Timing of Adoption of New Technologies Under Uncertainty","type":"article-journal","volume":"7187"},"uris":["http://www.mendeley.com/documents/?uuid=58348d7a-1fb3-4621-902c-a7539ed0ec58"]},{"id":"ITEM-2","itemData":{"author":[{"dropping-particle":"","family":"Tushman","given":"Michael L.","non-dropping-particle":"","parse-names":false,"suffix":""},{"dropping-particle":"","family":"Anderson","given":"Philip","non-dropping-particle":"","parse-names":false,"suffix":""}],"container-title":"Administrative Science Quarterly","id":"ITEM-2","issue":"3","issued":{"date-parts":[["1986"]]},"page":"439-465","title":"Technological Discontinuities and Organizational Environments","type":"article-journal","volume":"31"},"uris":["http://www.mendeley.com/documents/?uuid=d30324f3-cba5-416a-b4bf-f20f43a0b7ed"]},{"id":"ITEM-3","itemData":{"author":[{"dropping-particle":"","family":"Hendricks","given":"Kenneth","non-dropping-particle":"","parse-names":false,"suffix":""}],"container-title":"International Journal of Industrial Organization","id":"ITEM-3","issued":{"date-parts":[["1992"]]},"page":"663-677","title":"Reputations technology in the adoption of a new","type":"article-journal","volume":"10"},"uris":["http://www.mendeley.com/documents/?uuid=dbf08c25-189e-495d-b6b9-a220d606ec72"]}],"mendeley":{"formattedCitation":"(Hendricks, 1992; Stenbacka &amp; Tombakb, 1994; Tushman &amp; Anderson, 1986)","plainTextFormattedCitation":"(Hendricks, 1992; Stenbacka &amp; Tombakb, 1994; Tushman &amp; Anderson, 1986)","previouslyFormattedCitation":"(Hendricks, 1992; Stenbacka &amp; Tombakb, 1994; Tushman &amp; Anderson, 1986)"},"properties":{"noteIndex":0},"schema":"https://github.com/citation-style-language/schema/raw/master/csl-citation.json"}</w:instrText>
      </w:r>
      <w:r w:rsidRPr="00223E3E">
        <w:fldChar w:fldCharType="separate"/>
      </w:r>
      <w:r w:rsidRPr="00223E3E">
        <w:rPr>
          <w:noProof/>
        </w:rPr>
        <w:t>(Hendricks, 1992; Stenbacka &amp; Tombakb, 1994; Tushman &amp; Anderson, 1986)</w:t>
      </w:r>
      <w:r w:rsidRPr="00223E3E">
        <w:fldChar w:fldCharType="end"/>
      </w:r>
      <w:r w:rsidRPr="00223E3E">
        <w:t xml:space="preserve">. </w:t>
      </w:r>
      <w:r w:rsidR="00245CD8" w:rsidRPr="00223E3E">
        <w:t>This</w:t>
      </w:r>
      <w:r w:rsidRPr="00223E3E">
        <w:t xml:space="preserve"> ambiguous trajectory has led </w:t>
      </w:r>
      <w:proofErr w:type="spellStart"/>
      <w:r w:rsidRPr="00223E3E">
        <w:t>Birkinshaw</w:t>
      </w:r>
      <w:proofErr w:type="spellEnd"/>
      <w:r w:rsidRPr="00223E3E">
        <w:t xml:space="preserve"> and colleagues </w:t>
      </w:r>
      <w:r w:rsidRPr="00223E3E">
        <w:fldChar w:fldCharType="begin" w:fldLock="1"/>
      </w:r>
      <w:r w:rsidR="00506D82" w:rsidRPr="00223E3E">
        <w:instrText>ADDIN CSL_CITATION {"citationItems":[{"id":"ITEM-1","itemData":{"author":[{"dropping-particle":"","family":"Birkinshaw","given":"Julian","non-dropping-particle":"","parse-names":false,"suffix":""},{"dropping-particle":"","family":"Visnjic","given":"Ivanka","non-dropping-particle":"","parse-names":false,"suffix":""},{"dropping-particle":"","family":"Best","given":"Simon","non-dropping-particle":"","parse-names":false,"suffix":""}],"container-title":"California Management Review","id":"ITEM-1","issue":"4","issued":{"date-parts":[["2018"]]},"page":"1-27","title":"Responding to a Potentially Disruptive Technology: How Big Pharma Embraced Biotechnology","type":"article-journal","volume":"60"},"uris":["http://www.mendeley.com/documents/?uuid=fb7feed0-8617-482c-84a9-b6d5f0ad139e","http://www.mendeley.com/documents/?uuid=4932fc42-1ea1-4a9c-9720-e7f3c93b5816"]}],"mendeley":{"formattedCitation":"(Birkinshaw, Visnjic, &amp; Best, 2018)","manualFormatting":"(2018)","plainTextFormattedCitation":"(Birkinshaw, Visnjic, &amp; Best, 2018)","previouslyFormattedCitation":"(Birkinshaw, Visnjic, &amp; Best, 2018)"},"properties":{"noteIndex":0},"schema":"https://github.com/citation-style-language/schema/raw/master/csl-citation.json"}</w:instrText>
      </w:r>
      <w:r w:rsidRPr="00223E3E">
        <w:fldChar w:fldCharType="separate"/>
      </w:r>
      <w:r w:rsidRPr="00223E3E">
        <w:rPr>
          <w:noProof/>
        </w:rPr>
        <w:t>(2018)</w:t>
      </w:r>
      <w:r w:rsidRPr="00223E3E">
        <w:fldChar w:fldCharType="end"/>
      </w:r>
      <w:r w:rsidRPr="00223E3E">
        <w:t xml:space="preserve"> to </w:t>
      </w:r>
      <w:r w:rsidR="00245CD8" w:rsidRPr="00223E3E">
        <w:t xml:space="preserve">arouse </w:t>
      </w:r>
      <w:r w:rsidRPr="00223E3E">
        <w:t xml:space="preserve">attention </w:t>
      </w:r>
      <w:r w:rsidR="00245CD8" w:rsidRPr="00223E3E">
        <w:t xml:space="preserve">on a </w:t>
      </w:r>
      <w:r w:rsidRPr="00223E3E">
        <w:t xml:space="preserve">phenomenon </w:t>
      </w:r>
      <w:r w:rsidR="00245CD8" w:rsidRPr="00223E3E">
        <w:t xml:space="preserve">termed </w:t>
      </w:r>
      <w:r w:rsidRPr="00223E3E">
        <w:t>‘</w:t>
      </w:r>
      <w:r w:rsidRPr="00223E3E">
        <w:rPr>
          <w:i/>
        </w:rPr>
        <w:t xml:space="preserve">potentially </w:t>
      </w:r>
      <w:r w:rsidRPr="00223E3E">
        <w:t>disruptive technologies</w:t>
      </w:r>
      <w:r w:rsidRPr="00223E3E">
        <w:rPr>
          <w:i/>
        </w:rPr>
        <w:t>’</w:t>
      </w:r>
      <w:r w:rsidR="003252F8" w:rsidRPr="00223E3E">
        <w:t>:</w:t>
      </w:r>
      <w:r w:rsidRPr="00223E3E">
        <w:rPr>
          <w:i/>
        </w:rPr>
        <w:t xml:space="preserve"> </w:t>
      </w:r>
      <w:r w:rsidRPr="00223E3E">
        <w:t xml:space="preserve">Since </w:t>
      </w:r>
      <w:r w:rsidR="003252F8" w:rsidRPr="00223E3E">
        <w:t xml:space="preserve">a firm is confronted with </w:t>
      </w:r>
      <w:r w:rsidRPr="00223E3E">
        <w:t xml:space="preserve">more technologies than </w:t>
      </w:r>
      <w:r w:rsidR="003252F8" w:rsidRPr="00223E3E">
        <w:t xml:space="preserve">it </w:t>
      </w:r>
      <w:r w:rsidRPr="00223E3E">
        <w:t xml:space="preserve">can </w:t>
      </w:r>
      <w:r w:rsidR="003252F8" w:rsidRPr="00223E3E">
        <w:t>invest in</w:t>
      </w:r>
      <w:r w:rsidRPr="00223E3E">
        <w:t xml:space="preserve">, understanding about </w:t>
      </w:r>
      <w:r w:rsidR="003252F8" w:rsidRPr="00223E3E">
        <w:t xml:space="preserve">each </w:t>
      </w:r>
      <w:r w:rsidRPr="00223E3E">
        <w:t>innovation potential earl</w:t>
      </w:r>
      <w:r w:rsidR="003252F8" w:rsidRPr="00223E3E">
        <w:t>iest possible</w:t>
      </w:r>
      <w:r w:rsidRPr="00223E3E">
        <w:t xml:space="preserve"> in </w:t>
      </w:r>
      <w:r w:rsidR="003252F8" w:rsidRPr="00223E3E">
        <w:t xml:space="preserve">the </w:t>
      </w:r>
      <w:r w:rsidRPr="00223E3E">
        <w:t>development</w:t>
      </w:r>
      <w:r w:rsidR="003252F8" w:rsidRPr="00223E3E">
        <w:t xml:space="preserve"> process is crucial knowledge managers are advised to seek for. A prerequisite to attain such knowledge is </w:t>
      </w:r>
      <w:r w:rsidR="004F5D1B">
        <w:t xml:space="preserve">the </w:t>
      </w:r>
      <w:r w:rsidRPr="00223E3E">
        <w:t xml:space="preserve">consolidation of both </w:t>
      </w:r>
      <w:r w:rsidR="003252F8" w:rsidRPr="00223E3E">
        <w:t xml:space="preserve">a </w:t>
      </w:r>
      <w:r w:rsidRPr="00223E3E">
        <w:t xml:space="preserve">technical and economic perspective. </w:t>
      </w:r>
    </w:p>
    <w:p w14:paraId="0770638C" w14:textId="7D868D70" w:rsidR="00792E20" w:rsidRPr="00223E3E" w:rsidRDefault="00C96EF8" w:rsidP="00792E20">
      <w:r w:rsidRPr="00223E3E">
        <w:t>With</w:t>
      </w:r>
      <w:r w:rsidR="00792E20" w:rsidRPr="00223E3E">
        <w:t xml:space="preserve"> regard to the DLT context, </w:t>
      </w:r>
      <w:r w:rsidR="006C453B" w:rsidRPr="00223E3E">
        <w:t xml:space="preserve">this implies to </w:t>
      </w:r>
      <w:r w:rsidR="00792E20" w:rsidRPr="00223E3E">
        <w:t>assess</w:t>
      </w:r>
      <w:r w:rsidR="006C453B" w:rsidRPr="00223E3E">
        <w:t xml:space="preserve"> the technology’s</w:t>
      </w:r>
      <w:r w:rsidR="00792E20" w:rsidRPr="00223E3E">
        <w:t xml:space="preserve"> innovation potential </w:t>
      </w:r>
      <w:r w:rsidR="006C453B" w:rsidRPr="00223E3E">
        <w:t xml:space="preserve">under joint </w:t>
      </w:r>
      <w:r w:rsidR="00792E20" w:rsidRPr="00223E3E">
        <w:t xml:space="preserve">consideration of </w:t>
      </w:r>
      <w:r w:rsidR="006C453B" w:rsidRPr="00223E3E">
        <w:t xml:space="preserve">both </w:t>
      </w:r>
      <w:r w:rsidR="00792E20" w:rsidRPr="00223E3E">
        <w:t>use case specific requirements and protocol</w:t>
      </w:r>
      <w:r w:rsidR="006C453B" w:rsidRPr="00223E3E">
        <w:t>-</w:t>
      </w:r>
      <w:r w:rsidR="00792E20" w:rsidRPr="00223E3E">
        <w:t xml:space="preserve">specific </w:t>
      </w:r>
      <w:r w:rsidR="006C453B" w:rsidRPr="00223E3E">
        <w:t>traits</w:t>
      </w:r>
      <w:r w:rsidR="00792E20" w:rsidRPr="00223E3E">
        <w:t xml:space="preserve"> </w:t>
      </w:r>
      <w:r w:rsidR="00792E20" w:rsidRPr="00223E3E">
        <w:fldChar w:fldCharType="begin" w:fldLock="1"/>
      </w:r>
      <w:r w:rsidR="00F278D2" w:rsidRPr="00223E3E">
        <w:instrText>ADDIN CSL_CITATION {"citationItems":[{"id":"ITEM-1","itemData":{"abstract":"A inovação tecnológica e a descentralização conseqüente estão impulsionando a evolução contínua e o aumento da abertura das infra-estruturas e serviços digitais. Uma das inovações mais discutidas e alegadamente disruptivas é a tecnologia de banco de dados distribuído referida como cadeia de blocos. Embora ainda esteja em sua infância tecnológica, a adoção experimental e a personalização parecem estar em pleno progresso em vários campos de aplicação potenciais que vão desde redes descentralizadas para computação e armazenamento até serviços financeiros globais. No entanto, a tecnologia e o seu caminho de desenvolvimento ainda implicam muitas incógnitas comuns para praticantes e pesquisadores. Especialmente sobre a questão de como a tecnologia poderia alterar ou ser incorporada na paisagem existente de serviços, processos e infraestruturas digitais. Assim, neste artigo desenvolvemos uma ontologia que (1) delineia claramente a terminologia comum, conceitos e componentes básicos, seus relacionamentos, bem como características inovadoras da tecnologia blockchain. Além disso, (2) conecta essas informações com implicações para tipos relevantes de modelos de mercado digital. Nosso quadro é de alto valor teórico e prático, pois fornece aos pesquisadores e profissionais uma base comum para comunicação e meios para análise orientada da aplicabilidade de cadeias de blocos.","author":[{"dropping-particle":"","family":"Glaser","given":"Florian","non-dropping-particle":"","parse-names":false,"suffix":""}],"container-title":"HICSS 2017 Proceedings","id":"ITEM-1","issued":{"date-parts":[["2017"]]},"page":"1543-1552","title":"Pervasive Decentralisation of Digital Infrastructures: A Framework for Blockchain enabled System and Use Case Analysis","type":"article-journal"},"uris":["http://www.mendeley.com/documents/?uuid=a4c48a1d-1add-4c28-8188-a53a2d72fd82"]}],"mendeley":{"formattedCitation":"(F. Glaser, 2017)","manualFormatting":"(Glaser, 2017)","plainTextFormattedCitation":"(F. Glaser, 2017)","previouslyFormattedCitation":"(F. Glaser, 2017)"},"properties":{"noteIndex":0},"schema":"https://github.com/citation-style-language/schema/raw/master/csl-citation.json"}</w:instrText>
      </w:r>
      <w:r w:rsidR="00792E20" w:rsidRPr="00223E3E">
        <w:fldChar w:fldCharType="separate"/>
      </w:r>
      <w:r w:rsidRPr="00223E3E">
        <w:rPr>
          <w:noProof/>
        </w:rPr>
        <w:t>(</w:t>
      </w:r>
      <w:r w:rsidR="00792E20" w:rsidRPr="00223E3E">
        <w:rPr>
          <w:noProof/>
        </w:rPr>
        <w:t>Glaser, 2017)</w:t>
      </w:r>
      <w:r w:rsidR="00792E20" w:rsidRPr="00223E3E">
        <w:fldChar w:fldCharType="end"/>
      </w:r>
      <w:r w:rsidR="00792E20" w:rsidRPr="00223E3E">
        <w:t xml:space="preserve">. For instance, </w:t>
      </w:r>
      <w:r w:rsidR="006C453B" w:rsidRPr="00223E3E">
        <w:t xml:space="preserve">within the DLT community </w:t>
      </w:r>
      <w:r w:rsidR="00792E20" w:rsidRPr="00223E3E">
        <w:t xml:space="preserve">there exists great </w:t>
      </w:r>
      <w:r w:rsidR="006C453B" w:rsidRPr="00223E3E">
        <w:t>dispute</w:t>
      </w:r>
      <w:r w:rsidR="00792E20" w:rsidRPr="00223E3E">
        <w:t xml:space="preserve"> </w:t>
      </w:r>
      <w:r w:rsidR="006C453B" w:rsidRPr="00223E3E">
        <w:t>concerning</w:t>
      </w:r>
      <w:r w:rsidR="00792E20" w:rsidRPr="00223E3E">
        <w:t xml:space="preserve"> the </w:t>
      </w:r>
      <w:r w:rsidR="006C453B" w:rsidRPr="00223E3E">
        <w:t xml:space="preserve">suitability </w:t>
      </w:r>
      <w:r w:rsidR="00792E20" w:rsidRPr="00223E3E">
        <w:t xml:space="preserve">of blockchain as a </w:t>
      </w:r>
      <w:r w:rsidR="006C453B" w:rsidRPr="00223E3E">
        <w:t xml:space="preserve">viable </w:t>
      </w:r>
      <w:r w:rsidR="00792E20" w:rsidRPr="00223E3E">
        <w:t xml:space="preserve">protocol architecture for </w:t>
      </w:r>
      <w:r w:rsidR="006C453B" w:rsidRPr="00223E3E">
        <w:t xml:space="preserve">various </w:t>
      </w:r>
      <w:r w:rsidR="00792E20" w:rsidRPr="00223E3E">
        <w:t xml:space="preserve">application domains, </w:t>
      </w:r>
      <w:r w:rsidR="006C453B" w:rsidRPr="00223E3E">
        <w:t xml:space="preserve">including those for </w:t>
      </w:r>
      <w:r w:rsidR="00792E20" w:rsidRPr="00223E3E">
        <w:t xml:space="preserve">the internet of things (IoT). </w:t>
      </w:r>
    </w:p>
    <w:p w14:paraId="7DA7B092" w14:textId="4E37D4AA" w:rsidR="00792E20" w:rsidRPr="00223E3E" w:rsidRDefault="00792E20" w:rsidP="009E399A">
      <w:r w:rsidRPr="00223E3E">
        <w:t xml:space="preserve">Management literature has </w:t>
      </w:r>
      <w:r w:rsidR="00174753" w:rsidRPr="00223E3E">
        <w:t>started</w:t>
      </w:r>
      <w:r w:rsidRPr="00223E3E">
        <w:t xml:space="preserve"> to </w:t>
      </w:r>
      <w:r w:rsidR="00174753" w:rsidRPr="00223E3E">
        <w:t>analyse</w:t>
      </w:r>
      <w:r w:rsidRPr="00223E3E">
        <w:t xml:space="preserve"> potential applications </w:t>
      </w:r>
      <w:r w:rsidR="00174753" w:rsidRPr="00223E3E">
        <w:t xml:space="preserve">for </w:t>
      </w:r>
      <w:r w:rsidRPr="00223E3E">
        <w:t>DLT (cfr.</w:t>
      </w:r>
      <w:r w:rsidRPr="00223E3E">
        <w:fldChar w:fldCharType="begin" w:fldLock="1"/>
      </w:r>
      <w:r w:rsidRPr="00223E3E">
        <w:instrText>ADDIN CSL_CITATION {"citationItems":[{"id":"ITEM-1","itemData":{"abstract":"The article discusses the use of the blockchain relational database technology in implementing interoperability of business processes and transactions, which can eliminate middle men, connect directly with customers and end users and add more value to the business.","author":[{"dropping-particle":"","family":"Gupta","given":"Vinay","non-dropping-particle":"","parse-names":false,"suffix":""}],"container-title":"Harvard Business Review Digital Articles","id":"ITEM-1","issued":{"date-parts":[["2017"]]},"page":"2-5","title":"The Promise of Blockchain Is a World Without Middlemen.","type":"article-journal"},"uris":["http://www.mendeley.com/documents/?uuid=0a5b579a-aea3-445c-9635-f58cd5044540"]},{"id":"ITEM-2","itemData":{"abstract":"Even years into the deployment of the internet, many believed that it was still a fad. Of course, the internet has since become a major influence on our lives, from how we buy goods and services, to the ways we socialize with friends, to the Arab Spring, to the 2016","author":[{"dropping-particle":"","family":"Ito","given":"Joichi","non-dropping-particle":"","parse-names":false,"suffix":""},{"dropping-particle":"","family":"Narula","given":"Neha","non-dropping-particle":"","parse-names":false,"suffix":""},{"dropping-particle":"","family":"Ali","given":"Robleh","non-dropping-particle":"","parse-names":false,"suffix":""}],"container-title":"Harvard Business Review","id":"ITEM-2","issued":{"date-parts":[["2017"]]},"page":"2-6","title":"The Blockchain Will Do to the Financial System What the Internet Did to Media","type":"article-journal"},"uris":["http://www.mendeley.com/documents/?uuid=e8c76498-9b9f-3de3-bdbc-81e6c8a2b5d7","http://www.mendeley.com/documents/?uuid=909edc7c-e58e-4115-b3e1-9a4f174ead58"]},{"id":"ITEM-3","itemData":{"abstract":"The article discusses hydraulic fracturing, also known as fracking, a method used to harvest natural gas from shale layers, and examines the possibility that fracking can pollute drinking water. Horizontal fracking, which is done using large amounts of water and chemicals, is being researched by scientists and engineers such as Anthony Ingraffea as a possible cause of methane contamination in water wells. The state of New York may give drilling access to the Marcellus and Utica Shale formations, despite the fact that the U.S. Environmental Protection Agency (EPA) has not finished a major safety study. Diagrams are provided which show how horizontal fracking works and how groundwater could be contaminated.","author":[{"dropping-particle":"","family":"Iansiti","given":"Marco","non-dropping-particle":"","parse-names":false,"suffix":""},{"dropping-particle":"","family":"Lakhani","given":"Karim R.","non-dropping-particle":"","parse-names":false,"suffix":""}],"container-title":"Harvard Business Review","id":"ITEM-3","issued":{"date-parts":[["2017"]]},"page":"118-127","title":"The Truth About Blockchain","type":"article-journal"},"uris":["http://www.mendeley.com/documents/?uuid=aa4cd23e-4c05-431c-bc1b-b4586b8c5493"]}],"mendeley":{"formattedCitation":"(Gupta, 2017; Iansiti &amp; Lakhani, 2017; Ito, Narula, &amp; Ali, 2017)","manualFormatting":" Gupta, 2017; Iansiti &amp; Lakhani, 2017; Ito, Narula, &amp; Ali, 2017)","plainTextFormattedCitation":"(Gupta, 2017; Iansiti &amp; Lakhani, 2017; Ito, Narula, &amp; Ali, 2017)","previouslyFormattedCitation":"(Gupta, 2017; Iansiti &amp; Lakhani, 2017; Ito, Narula, &amp; Ali, 2017)"},"properties":{"noteIndex":0},"schema":"https://github.com/citation-style-language/schema/raw/master/csl-citation.json"}</w:instrText>
      </w:r>
      <w:r w:rsidRPr="00223E3E">
        <w:fldChar w:fldCharType="separate"/>
      </w:r>
      <w:r w:rsidRPr="00223E3E">
        <w:rPr>
          <w:noProof/>
        </w:rPr>
        <w:t xml:space="preserve"> Gupta, 2017; Iansiti &amp; Lakhani, 2017; Ito, Narula, &amp; Ali, 2017)</w:t>
      </w:r>
      <w:r w:rsidRPr="00223E3E">
        <w:fldChar w:fldCharType="end"/>
      </w:r>
      <w:r w:rsidRPr="00223E3E">
        <w:t>. Yet</w:t>
      </w:r>
      <w:r w:rsidR="00174753" w:rsidRPr="00223E3E">
        <w:t>,</w:t>
      </w:r>
      <w:r w:rsidRPr="00223E3E">
        <w:t xml:space="preserve"> </w:t>
      </w:r>
      <w:r w:rsidR="00174753" w:rsidRPr="00223E3E">
        <w:t xml:space="preserve">although </w:t>
      </w:r>
      <w:r w:rsidRPr="00223E3E">
        <w:t xml:space="preserve">these studies have </w:t>
      </w:r>
      <w:r w:rsidR="00174753" w:rsidRPr="00223E3E">
        <w:t xml:space="preserve">advanced the creation of </w:t>
      </w:r>
      <w:r w:rsidRPr="00223E3E">
        <w:t xml:space="preserve">sensitivity </w:t>
      </w:r>
      <w:r w:rsidR="00174753" w:rsidRPr="00223E3E">
        <w:t xml:space="preserve">regarding the </w:t>
      </w:r>
      <w:r w:rsidRPr="00223E3E">
        <w:t xml:space="preserve">breath of </w:t>
      </w:r>
      <w:r w:rsidR="00174753" w:rsidRPr="00223E3E">
        <w:t xml:space="preserve">potential </w:t>
      </w:r>
      <w:r w:rsidRPr="00223E3E">
        <w:t>DLT-based innovation</w:t>
      </w:r>
      <w:r w:rsidR="00174753" w:rsidRPr="00223E3E">
        <w:t>s</w:t>
      </w:r>
      <w:r w:rsidRPr="00223E3E">
        <w:t xml:space="preserve">, </w:t>
      </w:r>
      <w:r w:rsidR="00174753" w:rsidRPr="00223E3E">
        <w:t xml:space="preserve">a number of critical </w:t>
      </w:r>
      <w:r w:rsidRPr="00223E3E">
        <w:t xml:space="preserve">issues remain. First, </w:t>
      </w:r>
      <w:r w:rsidR="00174753" w:rsidRPr="00223E3E">
        <w:t xml:space="preserve">despite the common (and often implicit) use of </w:t>
      </w:r>
      <w:r w:rsidRPr="00223E3E">
        <w:t xml:space="preserve">the term </w:t>
      </w:r>
      <w:r w:rsidR="00174753" w:rsidRPr="00223E3E">
        <w:t>‘</w:t>
      </w:r>
      <w:r w:rsidRPr="00223E3E">
        <w:rPr>
          <w:i/>
        </w:rPr>
        <w:t>blockchain</w:t>
      </w:r>
      <w:r w:rsidR="00174753" w:rsidRPr="00223E3E">
        <w:t>’</w:t>
      </w:r>
      <w:r w:rsidRPr="00223E3E">
        <w:t xml:space="preserve"> </w:t>
      </w:r>
      <w:r w:rsidR="00174753" w:rsidRPr="00223E3E">
        <w:t>as a</w:t>
      </w:r>
      <w:r w:rsidRPr="00223E3E">
        <w:t xml:space="preserve"> synonym for </w:t>
      </w:r>
      <w:r w:rsidR="00174753" w:rsidRPr="00223E3E">
        <w:t xml:space="preserve">any kind of </w:t>
      </w:r>
      <w:r w:rsidRPr="00223E3E">
        <w:t xml:space="preserve">DLT, </w:t>
      </w:r>
      <w:r w:rsidR="00174753" w:rsidRPr="00223E3E">
        <w:t>only very few</w:t>
      </w:r>
      <w:r w:rsidRPr="00223E3E">
        <w:t xml:space="preserve"> existing academic works </w:t>
      </w:r>
      <w:r w:rsidR="00174753" w:rsidRPr="00223E3E">
        <w:t xml:space="preserve">in the management domain consider </w:t>
      </w:r>
      <w:r w:rsidRPr="00223E3E">
        <w:t>protocol</w:t>
      </w:r>
      <w:r w:rsidR="00174753" w:rsidRPr="00223E3E">
        <w:t>-</w:t>
      </w:r>
      <w:r w:rsidRPr="00223E3E">
        <w:t xml:space="preserve">specific properties </w:t>
      </w:r>
      <w:r w:rsidR="00174753" w:rsidRPr="00223E3E">
        <w:t xml:space="preserve">in the assessment of </w:t>
      </w:r>
      <w:r w:rsidR="00EF195F" w:rsidRPr="00223E3E">
        <w:t xml:space="preserve">opportunities for </w:t>
      </w:r>
      <w:r w:rsidRPr="00223E3E">
        <w:t xml:space="preserve">business model innovation (BMI) </w:t>
      </w:r>
      <w:r w:rsidRPr="00223E3E">
        <w:fldChar w:fldCharType="begin" w:fldLock="1"/>
      </w:r>
      <w:r w:rsidR="00F278D2" w:rsidRPr="00223E3E">
        <w:instrText>ADDIN CSL_CITATION {"citationItems":[{"id":"ITEM-1","itemData":{"abstract":"A inovação tecnológica e a descentralização conseqüente estão impulsionando a evolução contínua e o aumento da abertura das infra-estruturas e serviços digitais. Uma das inovações mais discutidas e alegadamente disruptivas é a tecnologia de banco de dados distribuído referida como cadeia de blocos. Embora ainda esteja em sua infância tecnológica, a adoção experimental e a personalização parecem estar em pleno progresso em vários campos de aplicação potenciais que vão desde redes descentralizadas para computação e armazenamento até serviços financeiros globais. No entanto, a tecnologia e o seu caminho de desenvolvimento ainda implicam muitas incógnitas comuns para praticantes e pesquisadores. Especialmente sobre a questão de como a tecnologia poderia alterar ou ser incorporada na paisagem existente de serviços, processos e infraestruturas digitais. Assim, neste artigo desenvolvemos uma ontologia que (1) delineia claramente a terminologia comum, conceitos e componentes básicos, seus relacionamentos, bem como características inovadoras da tecnologia blockchain. Além disso, (2) conecta essas informações com implicações para tipos relevantes de modelos de mercado digital. Nosso quadro é de alto valor teórico e prático, pois fornece aos pesquisadores e profissionais uma base comum para comunicação e meios para análise orientada da aplicabilidade de cadeias de blocos.","author":[{"dropping-particle":"","family":"Glaser","given":"Florian","non-dropping-particle":"","parse-names":false,"suffix":""}],"container-title":"HICSS 2017 Proceedings","id":"ITEM-1","issued":{"date-parts":[["2017"]]},"page":"1543-1552","title":"Pervasive Decentralisation of Digital Infrastructures: A Framework for Blockchain enabled System and Use Case Analysis","type":"article-journal"},"uris":["http://www.mendeley.com/documents/?uuid=a4c48a1d-1add-4c28-8188-a53a2d72fd82"]}],"mendeley":{"formattedCitation":"(F. Glaser, 2017)","manualFormatting":"(Glaser, 2017)","plainTextFormattedCitation":"(F. Glaser, 2017)","previouslyFormattedCitation":"(F. Glaser, 2017)"},"properties":{"noteIndex":0},"schema":"https://github.com/citation-style-language/schema/raw/master/csl-citation.json"}</w:instrText>
      </w:r>
      <w:r w:rsidRPr="00223E3E">
        <w:fldChar w:fldCharType="separate"/>
      </w:r>
      <w:r w:rsidR="00C96EF8" w:rsidRPr="00223E3E">
        <w:rPr>
          <w:noProof/>
        </w:rPr>
        <w:t>(</w:t>
      </w:r>
      <w:r w:rsidRPr="00223E3E">
        <w:rPr>
          <w:noProof/>
        </w:rPr>
        <w:t xml:space="preserve">Glaser, </w:t>
      </w:r>
      <w:r w:rsidRPr="00223E3E">
        <w:rPr>
          <w:noProof/>
        </w:rPr>
        <w:lastRenderedPageBreak/>
        <w:t>2017)</w:t>
      </w:r>
      <w:r w:rsidRPr="00223E3E">
        <w:fldChar w:fldCharType="end"/>
      </w:r>
      <w:r w:rsidRPr="00223E3E">
        <w:t xml:space="preserve">. The </w:t>
      </w:r>
      <w:r w:rsidR="00EF195F" w:rsidRPr="00223E3E">
        <w:t>research</w:t>
      </w:r>
      <w:r w:rsidRPr="00223E3E">
        <w:t xml:space="preserve"> of </w:t>
      </w:r>
      <w:proofErr w:type="spellStart"/>
      <w:r w:rsidRPr="00223E3E">
        <w:t>Kahlert</w:t>
      </w:r>
      <w:proofErr w:type="spellEnd"/>
      <w:r w:rsidRPr="00223E3E">
        <w:t xml:space="preserve"> </w:t>
      </w:r>
      <w:r w:rsidRPr="00223E3E">
        <w:fldChar w:fldCharType="begin" w:fldLock="1"/>
      </w:r>
      <w:r w:rsidRPr="00223E3E">
        <w:instrText>ADDIN CSL_CITATION {"citationItems":[{"id":"ITEM-1","itemData":{"author":[{"dropping-particle":"","family":"Kahlert","given":"Jonas","non-dropping-particle":"","parse-names":false,"suffix":""}],"id":"ITEM-1","issued":{"date-parts":[["2018"]]},"publisher":"University of St. Gallen","title":"A Stakeholder-theoretic View on Seizing New Business Opportunities in the Context of Digital Ecosystems","type":"thesis"},"uris":["http://www.mendeley.com/documents/?uuid=9873d7ef-4f7f-49d3-99ca-c1dc941593dd"]}],"mendeley":{"formattedCitation":"(Kahlert, 2018)","manualFormatting":"(2018)","plainTextFormattedCitation":"(Kahlert, 2018)","previouslyFormattedCitation":"(Kahlert, 2018)"},"properties":{"noteIndex":0},"schema":"https://github.com/citation-style-language/schema/raw/master/csl-citation.json"}</w:instrText>
      </w:r>
      <w:r w:rsidRPr="00223E3E">
        <w:fldChar w:fldCharType="separate"/>
      </w:r>
      <w:r w:rsidRPr="00223E3E">
        <w:rPr>
          <w:noProof/>
        </w:rPr>
        <w:t>(2018)</w:t>
      </w:r>
      <w:r w:rsidRPr="00223E3E">
        <w:fldChar w:fldCharType="end"/>
      </w:r>
      <w:r w:rsidR="00C96EF8" w:rsidRPr="00223E3E">
        <w:t xml:space="preserve"> depicts</w:t>
      </w:r>
      <w:r w:rsidRPr="00223E3E">
        <w:t xml:space="preserve"> one notable exception in this domain. He finds that</w:t>
      </w:r>
      <w:r w:rsidR="00EF195F" w:rsidRPr="00223E3E">
        <w:t xml:space="preserve"> the constraints concerning </w:t>
      </w:r>
      <w:r w:rsidRPr="00223E3E">
        <w:t xml:space="preserve">transaction </w:t>
      </w:r>
      <w:r w:rsidR="00EF195F" w:rsidRPr="00223E3E">
        <w:t>rates</w:t>
      </w:r>
      <w:r w:rsidRPr="00223E3E">
        <w:t xml:space="preserve"> and high transaction costs </w:t>
      </w:r>
      <w:r w:rsidR="00EF195F" w:rsidRPr="00223E3E">
        <w:t>restrict</w:t>
      </w:r>
      <w:r w:rsidRPr="00223E3E">
        <w:t xml:space="preserve"> the applicability of </w:t>
      </w:r>
      <w:r w:rsidR="00EF195F" w:rsidRPr="00223E3E">
        <w:t xml:space="preserve">existing </w:t>
      </w:r>
      <w:r w:rsidRPr="00223E3E">
        <w:t xml:space="preserve">blockchain </w:t>
      </w:r>
      <w:r w:rsidR="00EF195F" w:rsidRPr="00223E3E">
        <w:t>protocols</w:t>
      </w:r>
      <w:r w:rsidRPr="00223E3E">
        <w:t xml:space="preserve"> for </w:t>
      </w:r>
      <w:r w:rsidR="00EF195F" w:rsidRPr="00223E3E">
        <w:t xml:space="preserve">a number of important </w:t>
      </w:r>
      <w:r w:rsidRPr="00223E3E">
        <w:t xml:space="preserve">use cases in the energy </w:t>
      </w:r>
      <w:r w:rsidR="00EF195F" w:rsidRPr="00223E3E">
        <w:t>industry</w:t>
      </w:r>
      <w:r w:rsidRPr="00223E3E">
        <w:t xml:space="preserve">, such as decentralised peer-to-peer </w:t>
      </w:r>
      <w:r w:rsidR="00EF195F" w:rsidRPr="00223E3E">
        <w:t xml:space="preserve">energy </w:t>
      </w:r>
      <w:r w:rsidRPr="00223E3E">
        <w:t>trad</w:t>
      </w:r>
      <w:r w:rsidR="00EF195F" w:rsidRPr="00223E3E">
        <w:t>e</w:t>
      </w:r>
      <w:r w:rsidRPr="00223E3E">
        <w:t xml:space="preserve">. Second, considering its relevance </w:t>
      </w:r>
      <w:r w:rsidR="00EF195F" w:rsidRPr="00223E3E">
        <w:t xml:space="preserve">for practice, </w:t>
      </w:r>
      <w:r w:rsidRPr="00223E3E">
        <w:t xml:space="preserve">the academic discourse </w:t>
      </w:r>
      <w:r w:rsidR="00EF195F" w:rsidRPr="00223E3E">
        <w:t xml:space="preserve">lags behind. In particular, </w:t>
      </w:r>
      <w:r w:rsidRPr="00223E3E">
        <w:t xml:space="preserve">sound empirical </w:t>
      </w:r>
      <w:r w:rsidR="00EF195F" w:rsidRPr="00223E3E">
        <w:t xml:space="preserve">research </w:t>
      </w:r>
      <w:r w:rsidRPr="00223E3E">
        <w:t xml:space="preserve">on DLT is </w:t>
      </w:r>
      <w:r w:rsidR="00EF195F" w:rsidRPr="00223E3E">
        <w:t>necessary</w:t>
      </w:r>
      <w:r w:rsidRPr="00223E3E">
        <w:t xml:space="preserve">. In response to </w:t>
      </w:r>
      <w:r w:rsidR="00EF195F" w:rsidRPr="00223E3E">
        <w:t xml:space="preserve">aforementioned constraints underlying </w:t>
      </w:r>
      <w:r w:rsidRPr="00223E3E">
        <w:t>blockchain architecture</w:t>
      </w:r>
      <w:r w:rsidR="00EF195F" w:rsidRPr="00223E3E">
        <w:t>s,</w:t>
      </w:r>
      <w:r w:rsidRPr="00223E3E">
        <w:t xml:space="preserve"> more recently </w:t>
      </w:r>
      <w:r w:rsidR="0092186A" w:rsidRPr="00223E3E">
        <w:t xml:space="preserve">structurally different </w:t>
      </w:r>
      <w:r w:rsidRPr="00223E3E">
        <w:t xml:space="preserve">protocols such as the </w:t>
      </w:r>
      <w:r w:rsidRPr="00223E3E">
        <w:rPr>
          <w:i/>
        </w:rPr>
        <w:t>IOTA</w:t>
      </w:r>
      <w:r w:rsidRPr="00223E3E">
        <w:t xml:space="preserve"> </w:t>
      </w:r>
      <w:r w:rsidRPr="00223E3E">
        <w:rPr>
          <w:i/>
        </w:rPr>
        <w:t>Tangle</w:t>
      </w:r>
      <w:r w:rsidRPr="00223E3E">
        <w:t xml:space="preserve"> have</w:t>
      </w:r>
      <w:r w:rsidR="0092186A" w:rsidRPr="00223E3E">
        <w:t xml:space="preserve"> been developed</w:t>
      </w:r>
      <w:r w:rsidRPr="00223E3E">
        <w:t xml:space="preserve"> </w:t>
      </w:r>
      <w:r w:rsidRPr="00223E3E">
        <w:fldChar w:fldCharType="begin" w:fldLock="1"/>
      </w:r>
      <w:r w:rsidRPr="00223E3E">
        <w:instrText>ADDIN CSL_CITATION {"citationItems":[{"id":"ITEM-1","itemData":{"ISSN":"0028-792X","author":[{"dropping-particle":"","family":"Popov","given":"Serguei","non-dropping-particle":"","parse-names":false,"suffix":""}],"container-title":"White Paper","id":"ITEM-1","issued":{"date-parts":[["2018"]]},"title":"The Tangle","type":"report"},"uris":["http://www.mendeley.com/documents/?uuid=e1dfac78-8539-4320-852f-2709d30875b6"]}],"mendeley":{"formattedCitation":"(Popov, 2018b)","plainTextFormattedCitation":"(Popov, 2018b)","previouslyFormattedCitation":"(Popov, 2018b)"},"properties":{"noteIndex":0},"schema":"https://github.com/citation-style-language/schema/raw/master/csl-citation.json"}</w:instrText>
      </w:r>
      <w:r w:rsidRPr="00223E3E">
        <w:fldChar w:fldCharType="separate"/>
      </w:r>
      <w:r w:rsidRPr="00223E3E">
        <w:rPr>
          <w:noProof/>
        </w:rPr>
        <w:t>(Popov, 2018b)</w:t>
      </w:r>
      <w:r w:rsidRPr="00223E3E">
        <w:fldChar w:fldCharType="end"/>
      </w:r>
      <w:r w:rsidR="0092186A" w:rsidRPr="00223E3E">
        <w:t>.</w:t>
      </w:r>
      <w:r w:rsidRPr="00223E3E">
        <w:t xml:space="preserve"> </w:t>
      </w:r>
      <w:r w:rsidR="0092186A" w:rsidRPr="00223E3E">
        <w:t>S</w:t>
      </w:r>
      <w:r w:rsidRPr="00223E3E">
        <w:t>o far</w:t>
      </w:r>
      <w:r w:rsidR="0092186A" w:rsidRPr="00223E3E">
        <w:t>, these</w:t>
      </w:r>
      <w:r w:rsidRPr="00223E3E">
        <w:t xml:space="preserve"> have been </w:t>
      </w:r>
      <w:r w:rsidR="0092186A" w:rsidRPr="00223E3E">
        <w:t>entirely</w:t>
      </w:r>
      <w:r w:rsidRPr="00223E3E">
        <w:t xml:space="preserve"> neglected by management research.</w:t>
      </w:r>
      <w:r w:rsidR="0092186A" w:rsidRPr="00223E3E">
        <w:t xml:space="preserve"> In sum</w:t>
      </w:r>
      <w:r w:rsidRPr="00223E3E">
        <w:t xml:space="preserve">, I conclude that the discourse </w:t>
      </w:r>
      <w:r w:rsidR="0092186A" w:rsidRPr="00223E3E">
        <w:t xml:space="preserve">among </w:t>
      </w:r>
      <w:r w:rsidRPr="00223E3E">
        <w:t>management research</w:t>
      </w:r>
      <w:r w:rsidR="0092186A" w:rsidRPr="00223E3E">
        <w:t>ers</w:t>
      </w:r>
      <w:r w:rsidRPr="00223E3E">
        <w:t xml:space="preserve"> lacks understanding and </w:t>
      </w:r>
      <w:r w:rsidR="0092186A" w:rsidRPr="00223E3E">
        <w:t xml:space="preserve">possibly even </w:t>
      </w:r>
      <w:r w:rsidRPr="00223E3E">
        <w:t xml:space="preserve">awareness </w:t>
      </w:r>
      <w:r w:rsidR="0092186A" w:rsidRPr="00223E3E">
        <w:t>concerning</w:t>
      </w:r>
      <w:r w:rsidRPr="00223E3E">
        <w:t xml:space="preserve"> protocol</w:t>
      </w:r>
      <w:r w:rsidR="0092186A" w:rsidRPr="00223E3E">
        <w:t>-</w:t>
      </w:r>
      <w:r w:rsidRPr="00223E3E">
        <w:t xml:space="preserve">specific properties. These however are </w:t>
      </w:r>
      <w:r w:rsidR="0092186A" w:rsidRPr="00223E3E">
        <w:t>crucial</w:t>
      </w:r>
      <w:r w:rsidRPr="00223E3E">
        <w:t xml:space="preserve"> to</w:t>
      </w:r>
      <w:r w:rsidR="0092186A" w:rsidRPr="00223E3E">
        <w:t xml:space="preserve"> draw</w:t>
      </w:r>
      <w:r w:rsidRPr="00223E3E">
        <w:t xml:space="preserve"> justifiable conclusions </w:t>
      </w:r>
      <w:r w:rsidR="0092186A" w:rsidRPr="00223E3E">
        <w:t xml:space="preserve">on </w:t>
      </w:r>
      <w:r w:rsidRPr="00223E3E">
        <w:t xml:space="preserve">the </w:t>
      </w:r>
      <w:r w:rsidR="0092186A" w:rsidRPr="00223E3E">
        <w:t xml:space="preserve">innovation </w:t>
      </w:r>
      <w:r w:rsidRPr="00223E3E">
        <w:t xml:space="preserve">trajectory of DLT and </w:t>
      </w:r>
      <w:r w:rsidR="0092186A" w:rsidRPr="00223E3E">
        <w:t xml:space="preserve">further </w:t>
      </w:r>
      <w:r w:rsidRPr="00223E3E">
        <w:t xml:space="preserve">to provide </w:t>
      </w:r>
      <w:r w:rsidR="0092186A" w:rsidRPr="00223E3E">
        <w:t xml:space="preserve">valuable </w:t>
      </w:r>
      <w:r w:rsidRPr="00223E3E">
        <w:t xml:space="preserve">guidance for managerial </w:t>
      </w:r>
      <w:r w:rsidR="0092186A" w:rsidRPr="00223E3E">
        <w:t>practice</w:t>
      </w:r>
      <w:r w:rsidRPr="00223E3E">
        <w:t xml:space="preserve">. </w:t>
      </w:r>
    </w:p>
    <w:p w14:paraId="252DD284" w14:textId="1652E910" w:rsidR="00792E20" w:rsidRPr="00223E3E" w:rsidRDefault="0092186A" w:rsidP="00792E20">
      <w:r w:rsidRPr="00223E3E">
        <w:t>This</w:t>
      </w:r>
      <w:r w:rsidR="00792E20" w:rsidRPr="00223E3E">
        <w:t xml:space="preserve"> </w:t>
      </w:r>
      <w:r w:rsidRPr="00223E3E">
        <w:t xml:space="preserve">study </w:t>
      </w:r>
      <w:r w:rsidR="00792E20" w:rsidRPr="00223E3E">
        <w:t>aim</w:t>
      </w:r>
      <w:r w:rsidRPr="00223E3E">
        <w:t>s</w:t>
      </w:r>
      <w:r w:rsidR="00792E20" w:rsidRPr="00223E3E">
        <w:t xml:space="preserve"> to address the </w:t>
      </w:r>
      <w:r w:rsidR="00B97DE6" w:rsidRPr="00223E3E">
        <w:t xml:space="preserve">outlined </w:t>
      </w:r>
      <w:r w:rsidR="00792E20" w:rsidRPr="00223E3E">
        <w:t xml:space="preserve">research gap and advance managerial </w:t>
      </w:r>
      <w:r w:rsidR="00B97DE6" w:rsidRPr="00223E3E">
        <w:t xml:space="preserve">insights on </w:t>
      </w:r>
      <w:r w:rsidR="00792E20" w:rsidRPr="00223E3E">
        <w:t>potential of DLT</w:t>
      </w:r>
      <w:r w:rsidR="00B97DE6" w:rsidRPr="00223E3E">
        <w:t xml:space="preserve"> for BMI. I rely on empirical insights of </w:t>
      </w:r>
      <w:r w:rsidR="00792E20" w:rsidRPr="00223E3E">
        <w:t>one specific protocol, the IOTA Tangle.</w:t>
      </w:r>
      <w:r w:rsidR="00B97DE6" w:rsidRPr="00223E3E">
        <w:t xml:space="preserve"> Consequently</w:t>
      </w:r>
      <w:r w:rsidR="00792E20" w:rsidRPr="00223E3E">
        <w:t>,</w:t>
      </w:r>
      <w:r w:rsidR="00B97DE6" w:rsidRPr="00223E3E">
        <w:t xml:space="preserve"> my research</w:t>
      </w:r>
      <w:r w:rsidR="00792E20" w:rsidRPr="00223E3E">
        <w:t xml:space="preserve"> ask</w:t>
      </w:r>
      <w:r w:rsidR="00B97DE6" w:rsidRPr="00223E3E">
        <w:t>s</w:t>
      </w:r>
      <w:r w:rsidR="00792E20" w:rsidRPr="00223E3E">
        <w:t>: “</w:t>
      </w:r>
      <w:r w:rsidR="00792E20" w:rsidRPr="00223E3E">
        <w:rPr>
          <w:i/>
        </w:rPr>
        <w:t>How does the IOTA Tangle enable firms to innovate their business models?”</w:t>
      </w:r>
      <w:r w:rsidR="00792E20" w:rsidRPr="00223E3E">
        <w:t xml:space="preserve"> Given the theoretical and empirical limitations, I </w:t>
      </w:r>
      <w:r w:rsidR="00B97DE6" w:rsidRPr="00223E3E">
        <w:t xml:space="preserve">opt for </w:t>
      </w:r>
      <w:r w:rsidR="00792E20" w:rsidRPr="00223E3E">
        <w:t xml:space="preserve">a theory-building approach </w:t>
      </w:r>
      <w:r w:rsidR="00B97DE6" w:rsidRPr="00223E3E">
        <w:t xml:space="preserve">through an </w:t>
      </w:r>
      <w:r w:rsidR="00792E20" w:rsidRPr="00223E3E">
        <w:t xml:space="preserve">inductive multiple-case study </w:t>
      </w:r>
      <w:r w:rsidR="00792E20" w:rsidRPr="00223E3E">
        <w:fldChar w:fldCharType="begin" w:fldLock="1"/>
      </w:r>
      <w:r w:rsidR="00E4783A" w:rsidRPr="00223E3E">
        <w:instrText>ADDIN CSL_CITATION {"citationItems":[{"id":"ITEM-1","itemData":{"author":[{"dropping-particle":"","family":"Eisenhardt","given":"Kathleen M","non-dropping-particle":"","parse-names":false,"suffix":""}],"container-title":"Academy of Management Review","id":"ITEM-1","issue":"4","issued":{"date-parts":[["1989"]]},"page":"532-550","title":"Building Theories from Case Study Research","type":"article-journal","volume":"14"},"uris":["http://www.mendeley.com/documents/?uuid=0b393c97-7ca8-41ab-aeb7-0e5fd1a4f93e"]},{"id":"ITEM-2","itemData":{"author":[{"dropping-particle":"","family":"Yin","given":"Robert K","non-dropping-particle":"","parse-names":false,"suffix":""}],"edition":"5th","id":"ITEM-2","issued":{"date-parts":[["2014"]]},"publisher":"Sage","publisher-place":"Thousand Oaks, CA","title":"Case Study Research: Design and Methods","type":"book"},"uris":["http://www.mendeley.com/documents/?uuid=a4e200f8-a54b-49a5-828a-21445c0d2b2d"]}],"mendeley":{"formattedCitation":"(Eisenhardt, 1989; Yin, 2014)","plainTextFormattedCitation":"(Eisenhardt, 1989; Yin, 2014)","previouslyFormattedCitation":"(Eisenhardt, 1989; Yin, 2014)"},"properties":{"noteIndex":0},"schema":"https://github.com/citation-style-language/schema/raw/master/csl-citation.json"}</w:instrText>
      </w:r>
      <w:r w:rsidR="00792E20" w:rsidRPr="00223E3E">
        <w:fldChar w:fldCharType="separate"/>
      </w:r>
      <w:r w:rsidR="00792E20" w:rsidRPr="00223E3E">
        <w:rPr>
          <w:noProof/>
        </w:rPr>
        <w:t>(Eisenhardt, 1989; Yin, 2014)</w:t>
      </w:r>
      <w:r w:rsidR="00792E20" w:rsidRPr="00223E3E">
        <w:fldChar w:fldCharType="end"/>
      </w:r>
      <w:r w:rsidR="00792E20" w:rsidRPr="00223E3E">
        <w:t xml:space="preserve">. </w:t>
      </w:r>
      <w:r w:rsidR="00B97DE6" w:rsidRPr="00223E3E">
        <w:t>The</w:t>
      </w:r>
      <w:r w:rsidR="00792E20" w:rsidRPr="00223E3E">
        <w:t xml:space="preserve"> unit of analysis is the business model</w:t>
      </w:r>
      <w:r w:rsidR="00B97DE6" w:rsidRPr="00223E3E">
        <w:t>.</w:t>
      </w:r>
      <w:r w:rsidR="00792E20" w:rsidRPr="00223E3E">
        <w:t xml:space="preserve"> </w:t>
      </w:r>
      <w:r w:rsidR="00B97DE6" w:rsidRPr="00223E3E">
        <w:t xml:space="preserve">The empirical context is </w:t>
      </w:r>
      <w:r w:rsidR="00792E20" w:rsidRPr="00223E3E">
        <w:t xml:space="preserve">ten use cases </w:t>
      </w:r>
      <w:r w:rsidR="00B97DE6" w:rsidRPr="00223E3E">
        <w:t xml:space="preserve">across </w:t>
      </w:r>
      <w:r w:rsidR="00792E20" w:rsidRPr="00223E3E">
        <w:t xml:space="preserve">nine organisations </w:t>
      </w:r>
      <w:r w:rsidR="00B97DE6" w:rsidRPr="00223E3E">
        <w:t xml:space="preserve">varying in </w:t>
      </w:r>
      <w:r w:rsidR="00792E20" w:rsidRPr="00223E3E">
        <w:t>industr</w:t>
      </w:r>
      <w:r w:rsidR="00B97DE6" w:rsidRPr="00223E3E">
        <w:t>y background</w:t>
      </w:r>
      <w:r w:rsidR="00792E20" w:rsidRPr="00223E3E">
        <w:t xml:space="preserve"> and firm size. I </w:t>
      </w:r>
      <w:r w:rsidR="00B97DE6" w:rsidRPr="00223E3E">
        <w:t xml:space="preserve">examine </w:t>
      </w:r>
      <w:r w:rsidR="00792E20" w:rsidRPr="00223E3E">
        <w:t xml:space="preserve">how the IOTA Tangle </w:t>
      </w:r>
      <w:r w:rsidR="00B97DE6" w:rsidRPr="00223E3E">
        <w:t xml:space="preserve">enables </w:t>
      </w:r>
      <w:r w:rsidR="00792E20" w:rsidRPr="00223E3E">
        <w:t xml:space="preserve">these </w:t>
      </w:r>
      <w:r w:rsidR="00B97DE6" w:rsidRPr="00223E3E">
        <w:t xml:space="preserve">firms </w:t>
      </w:r>
      <w:r w:rsidR="00792E20" w:rsidRPr="00223E3E">
        <w:t>to innovate their business models</w:t>
      </w:r>
      <w:r w:rsidR="00B97DE6" w:rsidRPr="00223E3E">
        <w:t xml:space="preserve">. This </w:t>
      </w:r>
      <w:r w:rsidR="0075631D" w:rsidRPr="00223E3E">
        <w:t xml:space="preserve">entails </w:t>
      </w:r>
      <w:r w:rsidR="00B97DE6" w:rsidRPr="00223E3E">
        <w:t xml:space="preserve">the </w:t>
      </w:r>
      <w:r w:rsidR="0075631D" w:rsidRPr="00223E3E">
        <w:t xml:space="preserve">business model characteristics </w:t>
      </w:r>
      <w:r w:rsidR="00792E20" w:rsidRPr="00223E3E">
        <w:t xml:space="preserve">in terms of </w:t>
      </w:r>
      <w:r w:rsidR="00B97DE6" w:rsidRPr="00223E3E">
        <w:t xml:space="preserve">three </w:t>
      </w:r>
      <w:r w:rsidR="0075631D" w:rsidRPr="00223E3E">
        <w:t xml:space="preserve">components, the </w:t>
      </w:r>
      <w:r w:rsidR="00792E20" w:rsidRPr="00223E3E">
        <w:t>value proposition, value creation, and value capture mechanisms.</w:t>
      </w:r>
    </w:p>
    <w:p w14:paraId="6E3698C4" w14:textId="7019D39D" w:rsidR="00792E20" w:rsidRPr="00223E3E" w:rsidRDefault="00792E20" w:rsidP="00ED5260">
      <w:pPr>
        <w:pStyle w:val="Heading1"/>
      </w:pPr>
      <w:bookmarkStart w:id="1" w:name="_Toc1632038"/>
      <w:r w:rsidRPr="00223E3E">
        <w:t>Background</w:t>
      </w:r>
      <w:bookmarkEnd w:id="1"/>
    </w:p>
    <w:p w14:paraId="5B32775C" w14:textId="5C6497E8" w:rsidR="00792E20" w:rsidRPr="00223E3E" w:rsidRDefault="0075631D" w:rsidP="00792E20">
      <w:r w:rsidRPr="00223E3E">
        <w:t>Prior</w:t>
      </w:r>
      <w:r w:rsidR="00792E20" w:rsidRPr="00223E3E">
        <w:t xml:space="preserve"> </w:t>
      </w:r>
      <w:r w:rsidRPr="00223E3E">
        <w:t>analysis</w:t>
      </w:r>
      <w:r w:rsidR="00792E20" w:rsidRPr="00223E3E">
        <w:t xml:space="preserve"> </w:t>
      </w:r>
      <w:r w:rsidRPr="00223E3E">
        <w:t xml:space="preserve">of the </w:t>
      </w:r>
      <w:r w:rsidR="00792E20" w:rsidRPr="00223E3E">
        <w:t xml:space="preserve">innovation </w:t>
      </w:r>
      <w:r w:rsidRPr="00223E3E">
        <w:t xml:space="preserve">potential </w:t>
      </w:r>
      <w:r w:rsidR="00792E20" w:rsidRPr="00223E3E">
        <w:t xml:space="preserve">of DLT </w:t>
      </w:r>
      <w:r w:rsidRPr="00223E3E">
        <w:t xml:space="preserve">has been </w:t>
      </w:r>
      <w:r w:rsidR="00792E20" w:rsidRPr="00223E3E">
        <w:t>characteri</w:t>
      </w:r>
      <w:r w:rsidR="00595818">
        <w:t>s</w:t>
      </w:r>
      <w:r w:rsidR="00792E20" w:rsidRPr="00223E3E">
        <w:t xml:space="preserve">ed by a mono-disciplinary perspective (also cf. </w:t>
      </w:r>
      <w:r w:rsidR="00792E20" w:rsidRPr="00223E3E">
        <w:fldChar w:fldCharType="begin" w:fldLock="1"/>
      </w:r>
      <w:r w:rsidR="00792E20" w:rsidRPr="00223E3E">
        <w:instrText>ADDIN CSL_CITATION {"citationItems":[{"id":"ITEM-1","itemData":{"abstract":"A inovação tecnológica e a descentralização conseqüente estão impulsionando a evolução contínua e o aumento da abertura das infra-estruturas e serviços digitais. Uma das inovações mais discutidas e alegadamente disruptivas é a tecnologia de banco de dados distribuído referida como cadeia de blocos. Embora ainda esteja em sua infância tecnológica, a adoção experimental e a personalização parecem estar em pleno progresso em vários campos de aplicação potenciais que vão desde redes descentralizadas para computação e armazenamento até serviços financeiros globais. No entanto, a tecnologia e o seu caminho de desenvolvimento ainda implicam muitas incógnitas comuns para praticantes e pesquisadores. Especialmente sobre a questão de como a tecnologia poderia alterar ou ser incorporada na paisagem existente de serviços, processos e infraestruturas digitais. Assim, neste artigo desenvolvemos uma ontologia que (1) delineia claramente a terminologia comum, conceitos e componentes básicos, seus relacionamentos, bem como características inovadoras da tecnologia blockchain. Além disso, (2) conecta essas informações com implicações para tipos relevantes de modelos de mercado digital. Nosso quadro é de alto valor teórico e prático, pois fornece aos pesquisadores e profissionais uma base comum para comunicação e meios para análise orientada da aplicabilidade de cadeias de blocos.","author":[{"dropping-particle":"","family":"Glaser","given":"Florian","non-dropping-particle":"","parse-names":false,"suffix":""}],"container-title":"HICSS 2017 Proceedings","id":"ITEM-1","issued":{"date-parts":[["2017"]]},"page":"1543-1552","title":"Pervasive Decentralisation of Digital Infrastructures: A Framework for Blockchain enabled System and Use Case Analysis","type":"article-journal"},"uris":["http://www.mendeley.com/documents/?uuid=a4c48a1d-1add-4c28-8188-a53a2d72fd82"]}],"mendeley":{"formattedCitation":"(F. Glaser, 2017)","manualFormatting":"Glaser, 2017)","plainTextFormattedCitation":"(F. Glaser, 2017)","previouslyFormattedCitation":"(F. Glaser, 2017)"},"properties":{"noteIndex":0},"schema":"https://github.com/citation-style-language/schema/raw/master/csl-citation.json"}</w:instrText>
      </w:r>
      <w:r w:rsidR="00792E20" w:rsidRPr="00223E3E">
        <w:fldChar w:fldCharType="separate"/>
      </w:r>
      <w:r w:rsidR="00792E20" w:rsidRPr="00223E3E">
        <w:rPr>
          <w:noProof/>
        </w:rPr>
        <w:t>Glaser, 2017)</w:t>
      </w:r>
      <w:r w:rsidR="00792E20" w:rsidRPr="00223E3E">
        <w:fldChar w:fldCharType="end"/>
      </w:r>
      <w:r w:rsidRPr="00223E3E">
        <w:t>. Such</w:t>
      </w:r>
      <w:r w:rsidR="00792E20" w:rsidRPr="00223E3E">
        <w:t xml:space="preserve"> </w:t>
      </w:r>
      <w:r w:rsidRPr="00223E3E">
        <w:t xml:space="preserve">approach inhibits to </w:t>
      </w:r>
      <w:r w:rsidR="00792E20" w:rsidRPr="00223E3E">
        <w:t>consolidat</w:t>
      </w:r>
      <w:r w:rsidRPr="00223E3E">
        <w:t>e</w:t>
      </w:r>
      <w:r w:rsidR="00792E20" w:rsidRPr="00223E3E">
        <w:t xml:space="preserve"> </w:t>
      </w:r>
      <w:r w:rsidRPr="00223E3E">
        <w:t xml:space="preserve">the </w:t>
      </w:r>
      <w:r w:rsidR="00792E20" w:rsidRPr="00223E3E">
        <w:t xml:space="preserve">technical and economic dimension. </w:t>
      </w:r>
      <w:r w:rsidRPr="00223E3E">
        <w:t>T</w:t>
      </w:r>
      <w:r w:rsidR="00792E20" w:rsidRPr="00223E3E">
        <w:t xml:space="preserve">he focus of this </w:t>
      </w:r>
      <w:r w:rsidRPr="00223E3E">
        <w:t xml:space="preserve">research is to assess the innovation potential of the IOTA Tangle </w:t>
      </w:r>
      <w:r w:rsidR="00066AA8" w:rsidRPr="00223E3E">
        <w:t xml:space="preserve">relying on the consideration of its unique </w:t>
      </w:r>
      <w:r w:rsidR="00792E20" w:rsidRPr="00223E3E">
        <w:t>properties.</w:t>
      </w:r>
    </w:p>
    <w:p w14:paraId="16F9B121" w14:textId="57EC1359" w:rsidR="00792E20" w:rsidRPr="00223E3E" w:rsidRDefault="005F415F" w:rsidP="00792E20">
      <w:pPr>
        <w:rPr>
          <w:i/>
        </w:rPr>
      </w:pPr>
      <w:bookmarkStart w:id="2" w:name="_Toc517116024"/>
      <w:bookmarkStart w:id="3" w:name="_Toc517116133"/>
      <w:bookmarkStart w:id="4" w:name="_Toc517120859"/>
      <w:r w:rsidRPr="00223E3E">
        <w:rPr>
          <w:i/>
        </w:rPr>
        <w:t>Business m</w:t>
      </w:r>
      <w:r w:rsidR="00792E20" w:rsidRPr="00223E3E">
        <w:rPr>
          <w:i/>
        </w:rPr>
        <w:t>odels and technological progress</w:t>
      </w:r>
      <w:bookmarkEnd w:id="2"/>
      <w:bookmarkEnd w:id="3"/>
      <w:bookmarkEnd w:id="4"/>
    </w:p>
    <w:p w14:paraId="040CFE88" w14:textId="06B5AEE5" w:rsidR="00792E20" w:rsidRPr="00223E3E" w:rsidRDefault="00792E20" w:rsidP="00792E20">
      <w:r w:rsidRPr="00223E3E">
        <w:t xml:space="preserve">A business model </w:t>
      </w:r>
      <w:r w:rsidR="00B1201C" w:rsidRPr="00223E3E">
        <w:t>refers to</w:t>
      </w:r>
      <w:r w:rsidRPr="00223E3E">
        <w:t xml:space="preserve"> the value a </w:t>
      </w:r>
      <w:r w:rsidR="00B1201C" w:rsidRPr="00223E3E">
        <w:t>company</w:t>
      </w:r>
      <w:r w:rsidRPr="00223E3E">
        <w:t xml:space="preserve"> </w:t>
      </w:r>
      <w:r w:rsidR="00B1201C" w:rsidRPr="00223E3E">
        <w:t xml:space="preserve">offers </w:t>
      </w:r>
      <w:r w:rsidRPr="00223E3E">
        <w:t xml:space="preserve">to its customers, the </w:t>
      </w:r>
      <w:r w:rsidR="00B1201C" w:rsidRPr="00223E3E">
        <w:t xml:space="preserve">set of </w:t>
      </w:r>
      <w:r w:rsidRPr="00223E3E">
        <w:t xml:space="preserve">activities through which it creates and delivers this value, and </w:t>
      </w:r>
      <w:r w:rsidR="00B1201C" w:rsidRPr="00223E3E">
        <w:t xml:space="preserve">the mechanisms through which </w:t>
      </w:r>
      <w:r w:rsidRPr="00223E3E">
        <w:t xml:space="preserve">it captures parts of </w:t>
      </w:r>
      <w:r w:rsidR="00B1201C" w:rsidRPr="00223E3E">
        <w:t xml:space="preserve">the value in the form of monetary returns </w:t>
      </w:r>
      <w:r w:rsidRPr="00223E3E">
        <w:t xml:space="preserve">to </w:t>
      </w:r>
      <w:r w:rsidR="00B1201C" w:rsidRPr="00223E3E">
        <w:t xml:space="preserve">facilitate </w:t>
      </w:r>
      <w:r w:rsidRPr="00223E3E">
        <w:t xml:space="preserve">sustainable business activity </w:t>
      </w:r>
      <w:r w:rsidRPr="00223E3E">
        <w:fldChar w:fldCharType="begin" w:fldLock="1"/>
      </w:r>
      <w:r w:rsidR="008373DB">
        <w:instrText>ADDIN CSL_CITATION {"citationItems":[{"id":"ITEM-1","itemData":{"abstract":"Whenever a business enterprise is established, it either explicitly or implicitly employs a particular business model that describes the design or architecture of the value creation, delivery, and capture mechanisms it employs. The essence of a business model is in defining the manner by which the enterprise delivers value to customers, entices customers to pay for value, and converts those payments to profit. It thus reflects management's hypothesis about what customers want, how they want it, and how the enterprise can organize to best meet those needs, get paid for doing so, and make a profit. The purpose of this article is to understand the significance of business models and explore their connections with business strategy, innovation management, and economic theory. ?? 2009.","author":[{"dropping-particle":"","family":"Teece","given":"David J.","non-dropping-particle":"","parse-names":false,"suffix":""}],"container-title":"Long Range Planning","id":"ITEM-1","issue":"2-3","issued":{"date-parts":[["2010"]]},"page":"172-194","publisher":"Elsevier Ltd","title":"Business models, business strategy and innovation","type":"article-journal","volume":"43"},"uris":["http://www.mendeley.com/documents/?uuid=e02b3ea9-edf4-43f8-b5ab-264cd75cbec4"]},{"id":"ITEM-2","itemData":{"abstract":"This article provides a broad and multifaceted review of the received literature on business models in which the authors examine the business model concept through multiple subject-matter lenses. The review reveals that scholars do not agree on what a business model is and that the literature is developing largely in silos, according to the phenomena of interest of the respective researchers. However, the authors also found emerging common themes among scholars of business models. Specifically, (1) the business model is emerging as a new unit of analysis; (2) business models emphasize a system-level, holistic approach to explaining how firms \"do business\"; (3) firm activities play an important role in the various conceptualizations of business models that have been proposed; and (4) business models seek to explain how value is created, not just how it is captured. These emerging themes could serve as catalysts for a more unified study of business models.","author":[{"dropping-particle":"","family":"Zott","given":"Christoph","non-dropping-particle":"","parse-names":false,"suffix":""},{"dropping-particle":"","family":"Amit","given":"Raphael","non-dropping-particle":"","parse-names":false,"suffix":""},{"dropping-particle":"","family":"Massa","given":"L.","non-dropping-particle":"","parse-names":false,"suffix":""}],"container-title":"Journal of Management","id":"ITEM-2","issue":"4","issued":{"date-parts":[["2011"]]},"page":"1019-1042","title":"The Business Model: Recent Developments and Future Research","type":"article-journal","volume":"37"},"uris":["http://www.mendeley.com/documents/?uuid=d3f0c1c2-18e2-4679-866a-0157527e7b17"]}],"mendeley":{"formattedCitation":"(Teece, 2010; Zott, Amit, &amp; Massa, 2011)","manualFormatting":"(e.g., Teece, 2010; Zott, Amit, &amp; Massa, 2011)","plainTextFormattedCitation":"(Teece, 2010; Zott, Amit, &amp; Massa, 2011)","previouslyFormattedCitation":"(Teece, 2010; Zott et al., 2011)"},"properties":{"noteIndex":0},"schema":"https://github.com/citation-style-language/schema/raw/master/csl-citation.json"}</w:instrText>
      </w:r>
      <w:r w:rsidRPr="00223E3E">
        <w:fldChar w:fldCharType="separate"/>
      </w:r>
      <w:r w:rsidRPr="00223E3E">
        <w:rPr>
          <w:noProof/>
        </w:rPr>
        <w:t>(e.g., Teece, 2010; Zott, Amit, &amp; Massa, 2011)</w:t>
      </w:r>
      <w:r w:rsidRPr="00223E3E">
        <w:fldChar w:fldCharType="end"/>
      </w:r>
      <w:r w:rsidRPr="00223E3E">
        <w:t xml:space="preserve">. When </w:t>
      </w:r>
      <w:r w:rsidR="00B1201C" w:rsidRPr="00223E3E">
        <w:t>examining</w:t>
      </w:r>
      <w:r w:rsidRPr="00223E3E">
        <w:t xml:space="preserve"> busi</w:t>
      </w:r>
      <w:r w:rsidRPr="00223E3E">
        <w:lastRenderedPageBreak/>
        <w:t xml:space="preserve">ness models of real </w:t>
      </w:r>
      <w:r w:rsidR="00B1201C" w:rsidRPr="00223E3E">
        <w:t>companies</w:t>
      </w:r>
      <w:r w:rsidRPr="00223E3E">
        <w:t xml:space="preserve">, scholars commonly </w:t>
      </w:r>
      <w:r w:rsidR="00B1201C" w:rsidRPr="00223E3E">
        <w:t>rely on</w:t>
      </w:r>
      <w:r w:rsidRPr="00223E3E">
        <w:t xml:space="preserve"> component-based </w:t>
      </w:r>
      <w:r w:rsidR="006035CB" w:rsidRPr="00223E3E">
        <w:t>conceptualisation</w:t>
      </w:r>
      <w:r w:rsidRPr="00223E3E">
        <w:t xml:space="preserve">s </w:t>
      </w:r>
      <w:r w:rsidR="00B1201C" w:rsidRPr="00223E3E">
        <w:t xml:space="preserve">of the construct </w:t>
      </w:r>
      <w:r w:rsidRPr="00223E3E">
        <w:fldChar w:fldCharType="begin" w:fldLock="1"/>
      </w:r>
      <w:r w:rsidR="008373DB">
        <w:instrText>ADDIN CSL_CITATION {"citationItems":[{"id":"ITEM-1","itemData":{"author":[{"dropping-particle":"","family":"Wirtz","given":"Bernd W.","non-dropping-particle":"","parse-names":false,"suffix":""},{"dropping-particle":"","family":"Pistoia","given":"Adriano","non-dropping-particle":"","parse-names":false,"suffix":""},{"dropping-particle":"","family":"Ullrich","given":"Sebastian","non-dropping-particle":"","parse-names":false,"suffix":""},{"dropping-particle":"","family":"Göttel","given":"Vincent","non-dropping-particle":"","parse-names":false,"suffix":""}],"container-title":"Long Range Planning","id":"ITEM-1","issue":"1","issued":{"date-parts":[["2016"]]},"page":"36-54","publisher":"Elsevier Ltd","title":"Business Models: Origin, Development and Future Research Perspectives","type":"article-journal","volume":"49"},"uris":["http://www.mendeley.com/documents/?uuid=7e488bcc-d127-4e42-8bda-667ed05d3aae"]},{"id":"ITEM-2","itemData":{"abstract":"Even years into the deployment of the internet, many believed that it was still a fad. Of course, the internet has since become a major influence on our lives, from how we buy goods and services, to the ways we socialize with friends, to the Arab Spring, to the 2016","author":[{"dropping-particle":"","family":"Ito","given":"Joichi","non-dropping-particle":"","parse-names":false,"suffix":""},{"dropping-particle":"","family":"Narula","given":"Neha","non-dropping-particle":"","parse-names":false,"suffix":""},{"dropping-particle":"","family":"Ali","given":"Robleh","non-dropping-particle":"","parse-names":false,"suffix":""}],"container-title":"Harvard Business Review","id":"ITEM-2","issued":{"date-parts":[["2017"]]},"page":"2-6","title":"The Blockchain Will Do to the Financial System What the Internet Did to Media","type":"article-journal"},"uris":["http://www.mendeley.com/documents/?uuid=909edc7c-e58e-4115-b3e1-9a4f174ead58","http://www.mendeley.com/documents/?uuid=e8c76498-9b9f-3de3-bdbc-81e6c8a2b5d7"]}],"mendeley":{"formattedCitation":"(Ito et al., 2017; Wirtz, Pistoia, Ullrich, &amp; Göttel, 2016)","plainTextFormattedCitation":"(Ito et al., 2017; Wirtz, Pistoia, Ullrich, &amp; Göttel, 2016)","previouslyFormattedCitation":"(Ito et al., 2017; Wirtz et al., 2016)"},"properties":{"noteIndex":0},"schema":"https://github.com/citation-style-language/schema/raw/master/csl-citation.json"}</w:instrText>
      </w:r>
      <w:r w:rsidRPr="00223E3E">
        <w:fldChar w:fldCharType="separate"/>
      </w:r>
      <w:r w:rsidR="008373DB" w:rsidRPr="008373DB">
        <w:rPr>
          <w:noProof/>
        </w:rPr>
        <w:t>(Ito et al., 2017; Wirtz, Pistoia, Ullrich, &amp; Göttel, 2016)</w:t>
      </w:r>
      <w:r w:rsidRPr="00223E3E">
        <w:fldChar w:fldCharType="end"/>
      </w:r>
      <w:r w:rsidR="00B1201C" w:rsidRPr="00223E3E">
        <w:t>.</w:t>
      </w:r>
      <w:r w:rsidRPr="00223E3E">
        <w:t xml:space="preserve"> </w:t>
      </w:r>
      <w:r w:rsidR="00B1201C" w:rsidRPr="00223E3E">
        <w:t>T</w:t>
      </w:r>
      <w:r w:rsidRPr="00223E3E">
        <w:t xml:space="preserve">hese allow </w:t>
      </w:r>
      <w:r w:rsidR="00B1201C" w:rsidRPr="00223E3E">
        <w:t xml:space="preserve">for </w:t>
      </w:r>
      <w:r w:rsidRPr="00223E3E">
        <w:t>fine-</w:t>
      </w:r>
      <w:r w:rsidR="00B1201C" w:rsidRPr="00223E3E">
        <w:t>grained</w:t>
      </w:r>
      <w:r w:rsidRPr="00223E3E">
        <w:t xml:space="preserve"> comparison</w:t>
      </w:r>
      <w:r w:rsidR="00B1201C" w:rsidRPr="00223E3E">
        <w:t>s</w:t>
      </w:r>
      <w:r w:rsidRPr="00223E3E">
        <w:t xml:space="preserve"> </w:t>
      </w:r>
      <w:r w:rsidR="00B1201C" w:rsidRPr="00223E3E">
        <w:t>across</w:t>
      </w:r>
      <w:r w:rsidRPr="00223E3E">
        <w:t xml:space="preserve"> different cases. Despite diverging understanding </w:t>
      </w:r>
      <w:r w:rsidR="00B1201C" w:rsidRPr="00223E3E">
        <w:t xml:space="preserve">concerning </w:t>
      </w:r>
      <w:r w:rsidRPr="00223E3E">
        <w:t xml:space="preserve">individual business model components, </w:t>
      </w:r>
      <w:r w:rsidR="00B1201C" w:rsidRPr="00223E3E">
        <w:t xml:space="preserve">researchers </w:t>
      </w:r>
      <w:r w:rsidRPr="00223E3E">
        <w:t xml:space="preserve">share common sense about </w:t>
      </w:r>
      <w:r w:rsidR="00B1201C" w:rsidRPr="00223E3E">
        <w:t xml:space="preserve">the </w:t>
      </w:r>
      <w:r w:rsidRPr="00223E3E">
        <w:t xml:space="preserve">three central ones: </w:t>
      </w:r>
      <w:r w:rsidRPr="00223E3E">
        <w:rPr>
          <w:i/>
        </w:rPr>
        <w:t>value proposition</w:t>
      </w:r>
      <w:r w:rsidRPr="00223E3E">
        <w:t xml:space="preserve">, </w:t>
      </w:r>
      <w:r w:rsidRPr="00223E3E">
        <w:rPr>
          <w:i/>
        </w:rPr>
        <w:t>value creation</w:t>
      </w:r>
      <w:r w:rsidRPr="00223E3E">
        <w:t xml:space="preserve">, </w:t>
      </w:r>
      <w:r w:rsidR="00B1201C" w:rsidRPr="00223E3E">
        <w:t xml:space="preserve">and </w:t>
      </w:r>
      <w:r w:rsidRPr="00223E3E">
        <w:rPr>
          <w:i/>
        </w:rPr>
        <w:t>value capture</w:t>
      </w:r>
      <w:r w:rsidRPr="00223E3E">
        <w:t xml:space="preserve"> </w:t>
      </w:r>
      <w:r w:rsidRPr="00223E3E">
        <w:fldChar w:fldCharType="begin" w:fldLock="1"/>
      </w:r>
      <w:r w:rsidR="00506D82" w:rsidRPr="00223E3E">
        <w:instrText>ADDIN CSL_CITATION {"citationItems":[{"id":"ITEM-1","itemData":{"abstract":"The study of business models involves exploring how firms do business at the system level. It lies at the intersection of strategy and entrepreneurship research and is, therefore, a topic of interest for scholars of strategic entrepreneurship. The purpose of this special issue is to publish work that develops theory on business models, or empirically investigates the phenom- enon, and to inspire future research on the topic. In our introduction, we briefly review the main conceptual developments of the past two decades. We highlight three contributions that busi- ness model research is poised to make to the domain of strategic entrepreneurship, and, by extension, to its constituent disciplines of strategy and entrepreneurship: (1) reconnecting strategy with entrepreneurship; (2) suggesting a more central place for customers in our frameworks and analyses; and (3) emphasizing the importance of implementation. We subse- quently present the articles in this special issue and explain how they relate to these themes.We conclude with suggestions for future research. Copyright © 2015 Strategic Management Society","author":[{"dropping-particle":"","family":"Demil","given":"Benoît","non-dropping-particle":"","parse-names":false,"suffix":""},{"dropping-particle":"","family":"Xavier","given":"Lecocq","non-dropping-particle":"","parse-names":false,"suffix":""},{"dropping-particle":"","family":"Joan Enric","given":"Ricart","non-dropping-particle":"","parse-names":false,"suffix":""},{"dropping-particle":"","family":"Zott","given":"Christoph","non-dropping-particle":"","parse-names":false,"suffix":""}],"container-title":"Strategic Entrepreneurship Journal","id":"ITEM-1","issue":"1","issued":{"date-parts":[["2015"]]},"page":"27-47","title":"Introduction to the SEJ Special Issue on Business Model: Business Models within the domain of strategig entrepreneurship","type":"article-journal","volume":"1"},"uris":["http://www.mendeley.com/documents/?uuid=9f7ded53-c8a3-4992-8867-e8578aee412f"]},{"id":"ITEM-2","itemData":{"abstract":"Building on a case study of an entrepreneurial venture, we investigate the role played by business models in the innovation process. Rather than debating their accuracy and efficiency, we adopt a pragmatic approach to business models - we examine them as market devices, focusing on their materiality, use and dynamics. Taking into account the variety of its forms, which range from corporate presentations to business plans, we show that the business model is a narrative and calculative device that allows entrepreneurs to explore a market and plays a performative role by contributing to the construction of the techno-economic network of an innovation. ?? 2009 Elsevier B.V. All rights reserved.","author":[{"dropping-particle":"","family":"Doganova","given":"Liliana","non-dropping-particle":"","parse-names":false,"suffix":""},{"dropping-particle":"","family":"Eyquem-Renault","given":"Marie","non-dropping-particle":"","parse-names":false,"suffix":""}],"container-title":"Research Policy","id":"ITEM-2","issue":"10","issued":{"date-parts":[["2009"]]},"page":"1559-1570","title":"What do business models do?. Innovation devices in technology entrepreneurship","type":"article-journal","volume":"38"},"uris":["http://www.mendeley.com/documents/?uuid=86ec8e4b-c761-488c-bd40-ca835af9f66b"]},{"id":"ITEM-3","itemData":{"abstract":"Whenever a business enterprise is established, it either explicitly or implicitly employs a particular business model that describes the design or architecture of the value creation, delivery, and capture mechanisms it employs. The essence of a business model is in defining the manner by which the enterprise delivers value to customers, entices customers to pay for value, and converts those payments to profit. It thus reflects management's hypothesis about what customers want, how they want it, and how the enterprise can organize to best meet those needs, get paid for doing so, and make a profit. The purpose of this article is to understand the significance of business models and explore their connections with business strategy, innovation management, and economic theory. ?? 2009.","author":[{"dropping-particle":"","family":"Teece","given":"David J.","non-dropping-particle":"","parse-names":false,"suffix":""}],"container-title":"Long Range Planning","id":"ITEM-3","issue":"2-3","issued":{"date-parts":[["2010"]]},"page":"172-194","publisher":"Elsevier Ltd","title":"Business models, business strategy and innovation","type":"article-journal","volume":"43"},"uris":["http://www.mendeley.com/documents/?uuid=e02b3ea9-edf4-43f8-b5ab-264cd75cbec4"]}],"mendeley":{"formattedCitation":"(Demil, Xavier, Joan Enric, &amp; Zott, 2015; Doganova &amp; Eyquem-Renault, 2009; Teece, 2010)","manualFormatting":"(e.g., Doganova &amp; Eyquem-Renault, 2009; Teece, 2010)","plainTextFormattedCitation":"(Demil, Xavier, Joan Enric, &amp; Zott, 2015; Doganova &amp; Eyquem-Renault, 2009; Teece, 2010)","previouslyFormattedCitation":"(Demil, Xavier, Joan Enric, &amp; Zott, 2015; Doganova &amp; Eyquem-Renault, 2009; Teece, 2010)"},"properties":{"noteIndex":0},"schema":"https://github.com/citation-style-language/schema/raw/master/csl-citation.json"}</w:instrText>
      </w:r>
      <w:r w:rsidRPr="00223E3E">
        <w:fldChar w:fldCharType="separate"/>
      </w:r>
      <w:r w:rsidRPr="00223E3E">
        <w:rPr>
          <w:noProof/>
        </w:rPr>
        <w:t>(e.g., Doganova &amp; Eyquem-Renault, 2009; Teece, 2010)</w:t>
      </w:r>
      <w:r w:rsidRPr="00223E3E">
        <w:fldChar w:fldCharType="end"/>
      </w:r>
      <w:r w:rsidRPr="00223E3E">
        <w:t xml:space="preserve">. The </w:t>
      </w:r>
      <w:r w:rsidRPr="00223E3E">
        <w:rPr>
          <w:i/>
        </w:rPr>
        <w:t>value proposition</w:t>
      </w:r>
      <w:r w:rsidRPr="00223E3E">
        <w:t xml:space="preserve"> </w:t>
      </w:r>
      <w:r w:rsidR="00B1201C" w:rsidRPr="00223E3E">
        <w:t>defines</w:t>
      </w:r>
      <w:r w:rsidRPr="00223E3E">
        <w:t xml:space="preserve"> the value a firm </w:t>
      </w:r>
      <w:r w:rsidR="00B1201C" w:rsidRPr="00223E3E">
        <w:t xml:space="preserve">proposes to its customers in the form of </w:t>
      </w:r>
      <w:r w:rsidRPr="00223E3E">
        <w:t xml:space="preserve">products and services. In order to </w:t>
      </w:r>
      <w:r w:rsidR="00B1201C" w:rsidRPr="00223E3E">
        <w:t xml:space="preserve">develop </w:t>
      </w:r>
      <w:r w:rsidRPr="00223E3E">
        <w:t xml:space="preserve">an </w:t>
      </w:r>
      <w:r w:rsidR="00B1201C" w:rsidRPr="00223E3E">
        <w:t xml:space="preserve">attractive </w:t>
      </w:r>
      <w:r w:rsidRPr="00223E3E">
        <w:t xml:space="preserve">value proposition, </w:t>
      </w:r>
      <w:r w:rsidR="00B1201C" w:rsidRPr="00223E3E">
        <w:t xml:space="preserve">the company </w:t>
      </w:r>
      <w:r w:rsidRPr="00223E3E">
        <w:t xml:space="preserve">needs to </w:t>
      </w:r>
      <w:r w:rsidR="00B1201C" w:rsidRPr="00223E3E">
        <w:t xml:space="preserve">address and meet </w:t>
      </w:r>
      <w:r w:rsidRPr="00223E3E">
        <w:t>customer</w:t>
      </w:r>
      <w:r w:rsidR="00B1201C" w:rsidRPr="00223E3E">
        <w:t xml:space="preserve"> demands</w:t>
      </w:r>
      <w:r w:rsidRPr="00223E3E">
        <w:t xml:space="preserve">. The </w:t>
      </w:r>
      <w:r w:rsidRPr="00223E3E">
        <w:rPr>
          <w:i/>
        </w:rPr>
        <w:t xml:space="preserve">value creation </w:t>
      </w:r>
      <w:r w:rsidR="00B1201C" w:rsidRPr="00223E3E">
        <w:t xml:space="preserve">defines </w:t>
      </w:r>
      <w:r w:rsidRPr="00223E3E">
        <w:t xml:space="preserve">the </w:t>
      </w:r>
      <w:r w:rsidR="00B1201C" w:rsidRPr="00223E3E">
        <w:t xml:space="preserve">mechanisms that collectively </w:t>
      </w:r>
      <w:r w:rsidR="0059542E" w:rsidRPr="00223E3E">
        <w:t xml:space="preserve">allow the firm to create and deliver </w:t>
      </w:r>
      <w:r w:rsidRPr="00223E3E">
        <w:t xml:space="preserve">the value proposition to customers. This </w:t>
      </w:r>
      <w:r w:rsidR="0059542E" w:rsidRPr="00223E3E">
        <w:t xml:space="preserve">is best achieved by attaining </w:t>
      </w:r>
      <w:r w:rsidRPr="00223E3E">
        <w:t xml:space="preserve">excellence in </w:t>
      </w:r>
      <w:r w:rsidR="0059542E" w:rsidRPr="00223E3E">
        <w:t xml:space="preserve">key </w:t>
      </w:r>
      <w:r w:rsidRPr="00223E3E">
        <w:t xml:space="preserve">activities, sufficient </w:t>
      </w:r>
      <w:r w:rsidR="0059542E" w:rsidRPr="00223E3E">
        <w:t>(</w:t>
      </w:r>
      <w:r w:rsidRPr="00223E3E">
        <w:t>organisational</w:t>
      </w:r>
      <w:r w:rsidR="0059542E" w:rsidRPr="00223E3E">
        <w:t>)</w:t>
      </w:r>
      <w:r w:rsidRPr="00223E3E">
        <w:t xml:space="preserve"> resources and capabilities </w:t>
      </w:r>
      <w:r w:rsidRPr="00223E3E">
        <w:fldChar w:fldCharType="begin" w:fldLock="1"/>
      </w:r>
      <w:r w:rsidRPr="00223E3E">
        <w:instrText>ADDIN CSL_CITATION {"citationItems":[{"id":"ITEM-1","itemData":{"abstract":"We explore the theoretical foundations of value creation in e-business by examining how 59 American and European e-businesses that have recently become publicly traded corporations create value. We observe that in e-business new value can be created by the ways in which transactions are enabled. Grounded in the rich data obtained from case study analyses and in the received theory in entrepreneurship and strategic management, we develop a model of the sources of value creation. The model suggests that the value creation potential of e-businesses hinges on four interdependent dimensions, namely: efficiency, complementarities, lock-in, and novelty. Our findings suggest that no single entrepreneurship or strategic management theory can fully explain the value creation potential of e-business. Rather, an integration of the received theoretical perspectives on value creation is needed. To enable such an integration, we offer the business model construct as a unit of analysis for future research on value creation in e-business. A business model depicts the design of transaction content, structure, and governance so as to create value through the exploitation of business opportunities. We propose that a firms business model is an important locus of innovation and a crucial source of value creation for the firm and its suppliers, partners, and customers.","author":[{"dropping-particle":"","family":"Amit","given":"Raphael","non-dropping-particle":"","parse-names":false,"suffix":""},{"dropping-particle":"","family":"Zott","given":"Christoph","non-dropping-particle":"","parse-names":false,"suffix":""}],"container-title":"Strategic Management Journal","id":"ITEM-1","issue":"6-7","issued":{"date-parts":[["2001"]]},"page":"493-520","title":"Value creation in e-business","type":"article-journal","volume":"22"},"uris":["http://www.mendeley.com/documents/?uuid=9f247bfb-bcf1-482e-adfe-60013bbbee3e"]}],"mendeley":{"formattedCitation":"(Amit &amp; Zott, 2001)","plainTextFormattedCitation":"(Amit &amp; Zott, 2001)","previouslyFormattedCitation":"(Amit &amp; Zott, 2001)"},"properties":{"noteIndex":0},"schema":"https://github.com/citation-style-language/schema/raw/master/csl-citation.json"}</w:instrText>
      </w:r>
      <w:r w:rsidRPr="00223E3E">
        <w:fldChar w:fldCharType="separate"/>
      </w:r>
      <w:r w:rsidRPr="00223E3E">
        <w:rPr>
          <w:noProof/>
        </w:rPr>
        <w:t>(Amit &amp; Zott, 2001)</w:t>
      </w:r>
      <w:r w:rsidRPr="00223E3E">
        <w:fldChar w:fldCharType="end"/>
      </w:r>
      <w:r w:rsidRPr="00223E3E">
        <w:t xml:space="preserve">. The </w:t>
      </w:r>
      <w:r w:rsidRPr="00223E3E">
        <w:rPr>
          <w:i/>
        </w:rPr>
        <w:t>value capture</w:t>
      </w:r>
      <w:r w:rsidRPr="00223E3E">
        <w:t xml:space="preserve"> </w:t>
      </w:r>
      <w:r w:rsidR="0059542E" w:rsidRPr="00223E3E">
        <w:t xml:space="preserve">is concerned with logic of how </w:t>
      </w:r>
      <w:r w:rsidRPr="00223E3E">
        <w:t>the firm moneti</w:t>
      </w:r>
      <w:r w:rsidR="00595818">
        <w:t>s</w:t>
      </w:r>
      <w:r w:rsidRPr="00223E3E">
        <w:t xml:space="preserve">es the created value. For </w:t>
      </w:r>
      <w:r w:rsidR="0059542E" w:rsidRPr="00223E3E">
        <w:t>the</w:t>
      </w:r>
      <w:r w:rsidRPr="00223E3E">
        <w:t xml:space="preserve"> collection and analysis of </w:t>
      </w:r>
      <w:r w:rsidR="0059542E" w:rsidRPr="00223E3E">
        <w:t xml:space="preserve">data on </w:t>
      </w:r>
      <w:r w:rsidRPr="00223E3E">
        <w:t>IOTA-</w:t>
      </w:r>
      <w:r w:rsidR="0059542E" w:rsidRPr="00223E3E">
        <w:t>enabled BMI</w:t>
      </w:r>
      <w:r w:rsidRPr="00223E3E">
        <w:t xml:space="preserve">, I </w:t>
      </w:r>
      <w:r w:rsidR="0059542E" w:rsidRPr="00223E3E">
        <w:t xml:space="preserve">applied </w:t>
      </w:r>
      <w:r w:rsidRPr="00223E3E">
        <w:t xml:space="preserve">this three-dimensional </w:t>
      </w:r>
      <w:r w:rsidR="006035CB" w:rsidRPr="00223E3E">
        <w:t>conceptualisation</w:t>
      </w:r>
      <w:r w:rsidRPr="00223E3E">
        <w:t>.</w:t>
      </w:r>
    </w:p>
    <w:p w14:paraId="018D5C16" w14:textId="1032CA08" w:rsidR="00792E20" w:rsidRPr="00223E3E" w:rsidRDefault="00792E20" w:rsidP="00792E20">
      <w:r w:rsidRPr="00223E3E">
        <w:t xml:space="preserve">Technological progress </w:t>
      </w:r>
      <w:r w:rsidR="00903928" w:rsidRPr="00223E3E">
        <w:t>is a main</w:t>
      </w:r>
      <w:r w:rsidRPr="00223E3E">
        <w:t xml:space="preserve"> </w:t>
      </w:r>
      <w:r w:rsidR="00903928" w:rsidRPr="00223E3E">
        <w:t xml:space="preserve">driver for firms to innovate their </w:t>
      </w:r>
      <w:r w:rsidRPr="00223E3E">
        <w:t xml:space="preserve">business models </w:t>
      </w:r>
      <w:r w:rsidRPr="00223E3E">
        <w:fldChar w:fldCharType="begin" w:fldLock="1"/>
      </w:r>
      <w:r w:rsidRPr="00223E3E">
        <w:instrText>ADDIN CSL_CITATION {"citationItems":[{"id":"ITEM-1","itemData":{"abstract":"This article describes a business model that is growing in prevalence and that carries novel implications: the development of general-purpose technologies for licensing to downstream specialists. In their archetypical format, these general-purpose technologies are constructed in ways that can be employed by different potential downstream licensees, and can accommodate their different strategies. This strengthens the hand of innovative firms in the rising markets for knowledge-based assets, and can be expected to improve their ability to capture a greater share of the value their technology creates. The innovation of business model designed for licensing such technologies will have unpredictable, but inevitable, consequences for industry structure and organizational capabilities, as well as for the content and context for the upstream science. ?? 2009 Elsevier Ltd.","author":[{"dropping-particle":"","family":"Gambardella","given":"Alfonso","non-dropping-particle":"","parse-names":false,"suffix":""},{"dropping-particle":"","family":"McGahan","given":"Anita M.","non-dropping-particle":"","parse-names":false,"suffix":""}],"container-title":"Long Range Planning","id":"ITEM-1","issue":"2-3","issued":{"date-parts":[["2010"]]},"page":"262-271","publisher":"Elsevier Ltd","title":"Business-model innovation: General purpose technologies and their implications for industry structure","type":"article-journal","volume":"43"},"uris":["http://www.mendeley.com/documents/?uuid=87c84da9-0ae9-42e8-9bd4-1605831902c6"]}],"mendeley":{"formattedCitation":"(Gambardella &amp; McGahan, 2010)","plainTextFormattedCitation":"(Gambardella &amp; McGahan, 2010)","previouslyFormattedCitation":"(Gambardella &amp; McGahan, 2010)"},"properties":{"noteIndex":0},"schema":"https://github.com/citation-style-language/schema/raw/master/csl-citation.json"}</w:instrText>
      </w:r>
      <w:r w:rsidRPr="00223E3E">
        <w:fldChar w:fldCharType="separate"/>
      </w:r>
      <w:r w:rsidRPr="00223E3E">
        <w:rPr>
          <w:noProof/>
        </w:rPr>
        <w:t>(Gambardella &amp; McGahan, 2010)</w:t>
      </w:r>
      <w:r w:rsidRPr="00223E3E">
        <w:fldChar w:fldCharType="end"/>
      </w:r>
      <w:r w:rsidR="00903928" w:rsidRPr="00223E3E">
        <w:t>.</w:t>
      </w:r>
      <w:r w:rsidRPr="00223E3E">
        <w:t xml:space="preserve"> </w:t>
      </w:r>
      <w:r w:rsidR="00903928" w:rsidRPr="00223E3E">
        <w:t xml:space="preserve">BMI is defined as </w:t>
      </w:r>
      <w:r w:rsidRPr="00223E3E">
        <w:rPr>
          <w:i/>
        </w:rPr>
        <w:t xml:space="preserve">“designed, novel, and nontrivial changes” </w:t>
      </w:r>
      <w:r w:rsidRPr="00223E3E">
        <w:t xml:space="preserve">to single or multiple </w:t>
      </w:r>
      <w:r w:rsidR="00903928" w:rsidRPr="00223E3E">
        <w:t xml:space="preserve">business model </w:t>
      </w:r>
      <w:r w:rsidRPr="00223E3E">
        <w:t xml:space="preserve">components or their linkages </w:t>
      </w:r>
      <w:r w:rsidRPr="00223E3E">
        <w:fldChar w:fldCharType="begin" w:fldLock="1"/>
      </w:r>
      <w:r w:rsidRPr="00223E3E">
        <w:instrText>ADDIN CSL_CITATION {"citationItems":[{"id":"ITEM-1","itemData":{"abstract":"Over the last 15 years, business model innovation (BMI) has gained an increasing amount of attention in management research and among practitioners. The emerging BMI literature addresses an important phenomenon but lacks theoretical underpinning, and empirical inquiry is not cumulative. Thus, a concerted research effort seems warranted. Accordingly, we take stock of the extant literature on BMI. We identify and analyze 150 peer-reviewed scholarly articles on BMI published between 2000 and 2015. We provide the first comprehensive systematic review of the BMI literature, include a critical assessment of these research efforts, and offer suggestions for future research. We argue that the literature faces problems with respect to construct clarity and has gaps with respect to the identification of antecedent conditions, contingencies, and outcomes. We identify important avenues for future research and show how the complexity theory, innovation, and other streams of literature can help overcome many of the gaps in the BMI literature.","author":[{"dropping-particle":"","family":"Foss","given":"Nicolai J.","non-dropping-particle":"","parse-names":false,"suffix":""},{"dropping-particle":"","family":"Saebi","given":"Tina","non-dropping-particle":"","parse-names":false,"suffix":""}],"container-title":"Journal of Management","id":"ITEM-1","issue":"1","issued":{"date-parts":[["2017"]]},"page":"200-227","title":"Fifteen Years of Research on Business Model Innovation: How Far Have We Come, and Where Should We Go?","type":"article-journal","volume":"43"},"uris":["http://www.mendeley.com/documents/?uuid=26935964-cb7a-4738-b00f-9db692c70c93"]}],"mendeley":{"formattedCitation":"(Foss &amp; Saebi, 2017)","manualFormatting":"(Foss &amp; Saebi, 2016, p.201)","plainTextFormattedCitation":"(Foss &amp; Saebi, 2017)","previouslyFormattedCitation":"(Foss &amp; Saebi, 2017)"},"properties":{"noteIndex":0},"schema":"https://github.com/citation-style-language/schema/raw/master/csl-citation.json"}</w:instrText>
      </w:r>
      <w:r w:rsidRPr="00223E3E">
        <w:fldChar w:fldCharType="separate"/>
      </w:r>
      <w:r w:rsidRPr="00223E3E">
        <w:rPr>
          <w:noProof/>
        </w:rPr>
        <w:t>(Foss &amp; Saebi, 2016, p.201)</w:t>
      </w:r>
      <w:r w:rsidRPr="00223E3E">
        <w:fldChar w:fldCharType="end"/>
      </w:r>
      <w:r w:rsidRPr="00223E3E">
        <w:t xml:space="preserve">. When </w:t>
      </w:r>
      <w:r w:rsidR="00903928" w:rsidRPr="00223E3E">
        <w:t>referring to</w:t>
      </w:r>
      <w:r w:rsidRPr="00223E3E">
        <w:t xml:space="preserve"> innovation potential</w:t>
      </w:r>
      <w:r w:rsidR="00903928" w:rsidRPr="00223E3E">
        <w:t>s</w:t>
      </w:r>
      <w:r w:rsidRPr="00223E3E">
        <w:t xml:space="preserve"> of DLT, </w:t>
      </w:r>
      <w:r w:rsidR="00903928" w:rsidRPr="00223E3E">
        <w:t xml:space="preserve">research </w:t>
      </w:r>
      <w:r w:rsidRPr="00223E3E">
        <w:t xml:space="preserve">has </w:t>
      </w:r>
      <w:r w:rsidR="00903928" w:rsidRPr="00223E3E">
        <w:t xml:space="preserve">focused on </w:t>
      </w:r>
      <w:r w:rsidRPr="00223E3E">
        <w:t xml:space="preserve">adoption patterns </w:t>
      </w:r>
      <w:r w:rsidR="00903928" w:rsidRPr="00223E3E">
        <w:t xml:space="preserve">in </w:t>
      </w:r>
      <w:r w:rsidRPr="00223E3E">
        <w:t xml:space="preserve">organisations </w:t>
      </w:r>
      <w:r w:rsidRPr="00223E3E">
        <w:fldChar w:fldCharType="begin" w:fldLock="1"/>
      </w:r>
      <w:r w:rsidRPr="00223E3E">
        <w:instrText>ADDIN CSL_CITATION {"citationItems":[{"id":"ITEM-1","itemData":{"abstract":"The article discusses hydraulic fracturing, also known as fracking, a method used to harvest natural gas from shale layers, and examines the possibility that fracking can pollute drinking water. Horizontal fracking, which is done using large amounts of water and chemicals, is being researched by scientists and engineers such as Anthony Ingraffea as a possible cause of methane contamination in water wells. The state of New York may give drilling access to the Marcellus and Utica Shale formations, despite the fact that the U.S. Environmental Protection Agency (EPA) has not finished a major safety study. Diagrams are provided which show how horizontal fracking works and how groundwater could be contaminated.","author":[{"dropping-particle":"","family":"Iansiti","given":"Marco","non-dropping-particle":"","parse-names":false,"suffix":""},{"dropping-particle":"","family":"Lakhani","given":"Karim R.","non-dropping-particle":"","parse-names":false,"suffix":""}],"container-title":"Harvard Business Review","id":"ITEM-1","issued":{"date-parts":[["2017"]]},"page":"118-127","title":"The Truth About Blockchain","type":"article-journal"},"uris":["http://www.mendeley.com/documents/?uuid=aa4cd23e-4c05-431c-bc1b-b4586b8c5493"]}],"mendeley":{"formattedCitation":"(Iansiti &amp; Lakhani, 2017)","plainTextFormattedCitation":"(Iansiti &amp; Lakhani, 2017)","previouslyFormattedCitation":"(Iansiti &amp; Lakhani, 2017)"},"properties":{"noteIndex":0},"schema":"https://github.com/citation-style-language/schema/raw/master/csl-citation.json"}</w:instrText>
      </w:r>
      <w:r w:rsidRPr="00223E3E">
        <w:fldChar w:fldCharType="separate"/>
      </w:r>
      <w:r w:rsidRPr="00223E3E">
        <w:rPr>
          <w:noProof/>
        </w:rPr>
        <w:t>(Iansiti &amp; Lakhani, 2017)</w:t>
      </w:r>
      <w:r w:rsidRPr="00223E3E">
        <w:fldChar w:fldCharType="end"/>
      </w:r>
      <w:r w:rsidRPr="00223E3E">
        <w:t xml:space="preserve"> and </w:t>
      </w:r>
      <w:r w:rsidR="00903928" w:rsidRPr="00223E3E">
        <w:t>the elaboration</w:t>
      </w:r>
      <w:r w:rsidRPr="00223E3E">
        <w:t xml:space="preserve"> of </w:t>
      </w:r>
      <w:r w:rsidR="00903928" w:rsidRPr="00223E3E">
        <w:t>application</w:t>
      </w:r>
      <w:r w:rsidRPr="00223E3E">
        <w:t xml:space="preserve"> developments across various</w:t>
      </w:r>
      <w:r w:rsidR="007C435D" w:rsidRPr="00223E3E">
        <w:t xml:space="preserve"> industries and domains</w:t>
      </w:r>
      <w:r w:rsidRPr="00223E3E">
        <w:t xml:space="preserve">, </w:t>
      </w:r>
      <w:r w:rsidR="007C435D" w:rsidRPr="00223E3E">
        <w:t xml:space="preserve">spanning </w:t>
      </w:r>
      <w:r w:rsidRPr="00223E3E">
        <w:t xml:space="preserve">finance </w:t>
      </w:r>
      <w:r w:rsidRPr="00223E3E">
        <w:fldChar w:fldCharType="begin" w:fldLock="1"/>
      </w:r>
      <w:r w:rsidRPr="00223E3E">
        <w:instrText>ADDIN CSL_CITATION {"citationItems":[{"id":"ITEM-1","itemData":{"abstract":"Because of its potentially disruptive influence on business models (BMs), blockchain technology has sparked a lively debate among researchers. Our Delphi study sets out to explore the impact of blockchain in payments, which represents a major cornerstone of banking and the cradle of this technology. The results, grouped around four areas of thoughts, indicate that blockchain allows the offering of new services and renders some of the current ones obsolete. This consequently impacts the financial structure of firms in the payments industry and further generates great potential for new BMs while making some existing ones obsolete. Eventually, new players, which are better able to leverage the po- tential of blockchain, will give a strong impulse to this development. Our findings contribute to the literature by providing new insights about the impact of innova- tive technologies on BMs and have further practical implications by presenting a better understanding of future BMs in payments.","author":[{"dropping-particle":"","family":"Holotiuk","given":"Friedrich","non-dropping-particle":"","parse-names":false,"suffix":""},{"dropping-particle":"","family":"Pisani","given":"Francesco","non-dropping-particle":"","parse-names":false,"suffix":""},{"dropping-particle":"","family":"Moormann","given":"Jürgen","non-dropping-particle":"","parse-names":false,"suffix":""}],"container-title":"WI 2017 Proceedings","id":"ITEM-1","issued":{"date-parts":[["2017"]]},"page":"912-926","title":"The Impact of Blockchain Technology on Business Models in the Payments Industry","type":"article-journal"},"uris":["http://www.mendeley.com/documents/?uuid=cfbaaa08-8b7d-489d-a2b4-e730d4ec91ca"]},{"id":"ITEM-2","itemData":{"abstract":"Bitcoin, the famous and sometimes infamous digital currency, has two key uses. First, it can serve as a currency to buy and sell goods and services. 1 Second, as its value has fluctuated dramatically within recent years, many users purchase Bitcoins for speculative purposes. 2 Bitcoin exists wholly as lines of computer code 3 governed by the Bitcoin protocol, the program that dictates the generation and transfer of Bitcoins. 4 Unlike fiat currencies such as the U.S. dollar (\" USD \"), Japanese yen, or euro, Bitcoin is not backed by the government of any nation or by a physical commodity such as gold. 5 Instead, the value of Bitcoin is based on the trust people put in it and its scarcity. 6 In 2013, the market price of a single Bitcoin ranged from thirteen to 1200 USD. 7 Bitcoin relies on cryptography 8 to validate and govern its production and use, with each transaction recorded on an online public ledger called the \" blockchain. \" 9 © 2015 Misha Tsukerman.","author":[{"dropping-particle":"","family":"Tsukerman","given":"Misha","non-dropping-particle":"","parse-names":false,"suffix":""}],"container-title":"Berkeley Technology Law Journal","id":"ITEM-2","issue":"4","issued":{"date-parts":[["2016"]]},"page":"1127-1169","title":"The Block is hot: A Survey of the State of Bitcoin Regulation and Suggestions for the Future","type":"article-journal","volume":"30"},"uris":["http://www.mendeley.com/documents/?uuid=536fd36f-623f-46fe-b995-7b003e069375","http://www.mendeley.com/documents/?uuid=ea47ae53-0784-4e66-aed7-b65c661dab1b"]},{"id":"ITEM-3","itemData":{"abstract":"Even years into the deployment of the internet, many believed that it was still a fad. Of course, the internet has since become a major influence on our lives, from how we buy goods and services, to the ways we socialize with friends, to the Arab Spring, to the 2016","author":[{"dropping-particle":"","family":"Ito","given":"Joichi","non-dropping-particle":"","parse-names":false,"suffix":""},{"dropping-particle":"","family":"Narula","given":"Neha","non-dropping-particle":"","parse-names":false,"suffix":""},{"dropping-particle":"","family":"Ali","given":"Robleh","non-dropping-particle":"","parse-names":false,"suffix":""}],"container-title":"Harvard Business Review","id":"ITEM-3","issued":{"date-parts":[["2017"]]},"page":"2-6","title":"The Blockchain Will Do to the Financial System What the Internet Did to Media","type":"article-journal"},"uris":["http://www.mendeley.com/documents/?uuid=909edc7c-e58e-4115-b3e1-9a4f174ead58","http://www.mendeley.com/documents/?uuid=e8c76498-9b9f-3de3-bdbc-81e6c8a2b5d7"]}],"mendeley":{"formattedCitation":"(Holotiuk, Pisani, &amp; Moormann, 2017; Ito et al., 2017; Tsukerman, 2016)","plainTextFormattedCitation":"(Holotiuk, Pisani, &amp; Moormann, 2017; Ito et al., 2017; Tsukerman, 2016)","previouslyFormattedCitation":"(Holotiuk, Pisani, &amp; Moormann, 2017; Ito et al., 2017; Tsukerman, 2016)"},"properties":{"noteIndex":0},"schema":"https://github.com/citation-style-language/schema/raw/master/csl-citation.json"}</w:instrText>
      </w:r>
      <w:r w:rsidRPr="00223E3E">
        <w:fldChar w:fldCharType="separate"/>
      </w:r>
      <w:r w:rsidRPr="00223E3E">
        <w:rPr>
          <w:noProof/>
        </w:rPr>
        <w:t>(Holotiuk, Pisani, &amp; Moormann, 2017; Ito et al., 2017; Tsukerman, 2016)</w:t>
      </w:r>
      <w:r w:rsidRPr="00223E3E">
        <w:fldChar w:fldCharType="end"/>
      </w:r>
      <w:r w:rsidRPr="00223E3E">
        <w:t xml:space="preserve">, IoT </w:t>
      </w:r>
      <w:r w:rsidRPr="00223E3E">
        <w:fldChar w:fldCharType="begin" w:fldLock="1"/>
      </w:r>
      <w:r w:rsidRPr="00223E3E">
        <w:instrText>ADDIN CSL_CITATION {"citationItems":[{"id":"ITEM-1","itemData":{"abstract":"Hoje em dia, o desenvolvimento dos modelos comerciais tradicionais se torna cada vez mais maduro. Internet das coisas (IoT), sendo uma revolução inovadora pela internet, torna-se uma nova plataforma para negócios eletrônicos. No entanto, os modelos de negócios antigos dificilmente poderiam caber para o E-business no IoT. Neste artigo, nós 1) propomos um modelo IOTT E-business, especialmente concebido para o IOTT E-business; 2) redesenhar muitos elementos em modelos tradicionais de negócios eletrônicos; 3) realizar a transação de propriedade inteligente e dados pagos no IoT com a ajuda do comércio P2P com base no Blockchain e no contrato inteligente. Nós também experimentamos nosso projeto e fazemos uma discussão abrangente.","author":[{"dropping-particle":"","family":"Zhang","given":"Yu","non-dropping-particle":"","parse-names":false,"suffix":""},{"dropping-particle":"","family":"Wen","given":"Jiangtao","non-dropping-particle":"","parse-names":false,"suffix":""}],"container-title":"Peer-to-Peer Networking and Applications","id":"ITEM-1","issue":"4","issued":{"date-parts":[["2017"]]},"page":"983-994","publisher":"Peer-to-Peer Networking and Applications","title":"The IoT electric business model: Using blockchain technology for the internet of things","type":"article-journal","volume":"10"},"uris":["http://www.mendeley.com/documents/?uuid=4fd3d4cf-bf7f-4db4-b67e-cc3fc5564b0a"]}],"mendeley":{"formattedCitation":"(Zhang &amp; Wen, 2017)","plainTextFormattedCitation":"(Zhang &amp; Wen, 2017)","previouslyFormattedCitation":"(Zhang &amp; Wen, 2017)"},"properties":{"noteIndex":0},"schema":"https://github.com/citation-style-language/schema/raw/master/csl-citation.json"}</w:instrText>
      </w:r>
      <w:r w:rsidRPr="00223E3E">
        <w:fldChar w:fldCharType="separate"/>
      </w:r>
      <w:r w:rsidRPr="00223E3E">
        <w:rPr>
          <w:noProof/>
        </w:rPr>
        <w:t>(Zhang &amp; Wen, 2017)</w:t>
      </w:r>
      <w:r w:rsidRPr="00223E3E">
        <w:fldChar w:fldCharType="end"/>
      </w:r>
      <w:r w:rsidRPr="00223E3E">
        <w:t xml:space="preserve">, </w:t>
      </w:r>
      <w:r w:rsidR="007C435D" w:rsidRPr="00223E3E">
        <w:t xml:space="preserve">electronic voting </w:t>
      </w:r>
      <w:r w:rsidR="007C435D" w:rsidRPr="00223E3E">
        <w:fldChar w:fldCharType="begin" w:fldLock="1"/>
      </w:r>
      <w:r w:rsidR="007C435D" w:rsidRPr="00223E3E">
        <w:instrText>ADDIN CSL_CITATION {"citationItems":[{"id":"ITEM-1","itemData":{"abstract":"Technological advancements and innovation is constantly evolving and growing at such a fast rate that everyone is required to stay abreast of these advancements and innovations. The paradigm change of Blockchain is not left out from this evolution. The technological concept behind the Blockchain is interestingly closely identical to that of a database. However, it is clearly one of the key concepts that needs to be understood for the future. There are five key concepts that not only need to be understood but also explored in a manner that examines how they interrelate one to another: smart contracts, decentralized consensus, the Blockchain, trusted computing and proof of work/state. This exciting computing paradigm is critically important because it will be instrumental to the creation of decentralized applications. This chapter will explore 4 main key concepts of Blockchain Technology—Blockchain, Decentralized databases application con-sensus, Proof of work/stake and Smart contracts—while appreciating the Blockchain paradigm change structure.","author":[{"dropping-particle":"","family":"Morabito","given":"Vincenzo","non-dropping-particle":"","parse-names":false,"suffix":""}],"id":"ITEM-1","issued":{"date-parts":[["2017"]]},"publisher":"Springer","title":"Business Innovation Through Blockchain","type":"book"},"uris":["http://www.mendeley.com/documents/?uuid=0354367f-16ff-424b-a17a-f297cc4dc9c0","http://www.mendeley.com/documents/?uuid=13ae399f-8314-3192-a1d6-2e0dd1e37628"]}],"mendeley":{"formattedCitation":"(Morabito, 2017)","plainTextFormattedCitation":"(Morabito, 2017)","previouslyFormattedCitation":"(Morabito, 2017)"},"properties":{"noteIndex":0},"schema":"https://github.com/citation-style-language/schema/raw/master/csl-citation.json"}</w:instrText>
      </w:r>
      <w:r w:rsidR="007C435D" w:rsidRPr="00223E3E">
        <w:fldChar w:fldCharType="separate"/>
      </w:r>
      <w:r w:rsidR="007C435D" w:rsidRPr="00223E3E">
        <w:rPr>
          <w:noProof/>
        </w:rPr>
        <w:t>(Morabito, 2017)</w:t>
      </w:r>
      <w:r w:rsidR="007C435D" w:rsidRPr="00223E3E">
        <w:fldChar w:fldCharType="end"/>
      </w:r>
      <w:r w:rsidR="007C435D" w:rsidRPr="00223E3E">
        <w:t xml:space="preserve">, </w:t>
      </w:r>
      <w:r w:rsidRPr="00223E3E">
        <w:t xml:space="preserve">automotive security </w:t>
      </w:r>
      <w:r w:rsidRPr="00223E3E">
        <w:fldChar w:fldCharType="begin" w:fldLock="1"/>
      </w:r>
      <w:r w:rsidRPr="00223E3E">
        <w:instrText>ADDIN CSL_CITATION {"citationItems":[{"id":"ITEM-1","itemData":{"author":[{"dropping-particle":"","family":"Dorri","given":"Ali","non-dropping-particle":"","parse-names":false,"suffix":""},{"dropping-particle":"","family":"Steger","given":"Marco","non-dropping-particle":"","parse-names":false,"suffix":""},{"dropping-particle":"","family":"Kanhere","given":"Salil","non-dropping-particle":"","parse-names":false,"suffix":""},{"dropping-particle":"","family":"Jurdak","given":"Raja","non-dropping-particle":"","parse-names":false,"suffix":""}],"container-title":"IEEE Communication Magazine","id":"ITEM-1","issued":{"date-parts":[["2017"]]},"title":"blockchain - a distributed solution to automotive security and privacy","type":"article-journal"},"uris":["http://www.mendeley.com/documents/?uuid=070209e4-e91e-37a2-8017-6d9e73553b92","http://www.mendeley.com/documents/?uuid=7b4f72c8-b865-47ab-ad6f-68b681290921"]}],"mendeley":{"formattedCitation":"(Dorri, Steger, Kanhere, &amp; Jurdak, 2017)","plainTextFormattedCitation":"(Dorri, Steger, Kanhere, &amp; Jurdak, 2017)","previouslyFormattedCitation":"(Dorri, Steger, Kanhere, &amp; Jurdak, 2017)"},"properties":{"noteIndex":0},"schema":"https://github.com/citation-style-language/schema/raw/master/csl-citation.json"}</w:instrText>
      </w:r>
      <w:r w:rsidRPr="00223E3E">
        <w:fldChar w:fldCharType="separate"/>
      </w:r>
      <w:r w:rsidRPr="00223E3E">
        <w:rPr>
          <w:noProof/>
        </w:rPr>
        <w:t>(Dorri, Steger, Kanhere, &amp; Jurdak, 2017)</w:t>
      </w:r>
      <w:r w:rsidRPr="00223E3E">
        <w:fldChar w:fldCharType="end"/>
      </w:r>
      <w:r w:rsidRPr="00223E3E">
        <w:t xml:space="preserve">, and others </w:t>
      </w:r>
      <w:r w:rsidRPr="00223E3E">
        <w:fldChar w:fldCharType="begin" w:fldLock="1"/>
      </w:r>
      <w:r w:rsidRPr="00223E3E">
        <w:instrText>ADDIN CSL_CITATION {"citationItems":[{"id":"ITEM-1","itemData":{"abstract":"Even years into the deployment of the internet, many believed that it was still a fad. Of course, the internet has since become a major influence on our lives, from how we buy goods and services, to the ways we socialize with friends, to the Arab Spring, to the 2016","author":[{"dropping-particle":"","family":"Ito","given":"Joichi","non-dropping-particle":"","parse-names":false,"suffix":""},{"dropping-particle":"","family":"Narula","given":"Neha","non-dropping-particle":"","parse-names":false,"suffix":""},{"dropping-particle":"","family":"Ali","given":"Robleh","non-dropping-particle":"","parse-names":false,"suffix":""}],"container-title":"Harvard Business Review","id":"ITEM-1","issued":{"date-parts":[["2017"]]},"page":"2-6","title":"The Blockchain Will Do to the Financial System What the Internet Did to Media","type":"article-journal"},"uris":["http://www.mendeley.com/documents/?uuid=909edc7c-e58e-4115-b3e1-9a4f174ead58","http://www.mendeley.com/documents/?uuid=e8c76498-9b9f-3de3-bdbc-81e6c8a2b5d7"]},{"id":"ITEM-2","itemData":{"abstract":"Over 30 years, no theorist of the digital age has better explained the next big thing than Don Tapscott. For example, in Wikinomics Tapscott was the first to show how the Internet provides the first global platform for mass collaboration. Now, he writes about a profound technological shift that will change how the world does business—and everything else—using blockchain technology, which powers the digital currency Bitcoin.","author":[{"dropping-particle":"","family":"Tapscott","given":"Don","non-dropping-particle":"","parse-names":false,"suffix":""},{"dropping-particle":"","family":"Tapscott","given":"Alex","non-dropping-particle":"","parse-names":false,"suffix":""}],"container-title":"Blockchain Revolution","id":"ITEM-2","issued":{"date-parts":[["2016"]]},"page":"367","publisher":"Penguin","publisher-place":"New York","title":"Blockchain Revolution","type":"article"},"uris":["http://www.mendeley.com/documents/?uuid=e3197285-71cb-424a-9c4d-cd666244c96f","http://www.mendeley.com/documents/?uuid=3cef7f73-25ae-4837-8c05-8997545eaa2a","http://www.mendeley.com/documents/?uuid=1cadd247-7b8c-47c8-b782-392661c24c43"]}],"mendeley":{"formattedCitation":"(Ito et al., 2017; Tapscott &amp; Tapscott, 2016)","plainTextFormattedCitation":"(Ito et al., 2017; Tapscott &amp; Tapscott, 2016)","previouslyFormattedCitation":"(Ito et al., 2017; Tapscott &amp; Tapscott, 2016)"},"properties":{"noteIndex":0},"schema":"https://github.com/citation-style-language/schema/raw/master/csl-citation.json"}</w:instrText>
      </w:r>
      <w:r w:rsidRPr="00223E3E">
        <w:fldChar w:fldCharType="separate"/>
      </w:r>
      <w:r w:rsidRPr="00223E3E">
        <w:rPr>
          <w:noProof/>
        </w:rPr>
        <w:t>(Ito et al., 2017; Tapscott &amp; Tapscott, 2016)</w:t>
      </w:r>
      <w:r w:rsidRPr="00223E3E">
        <w:fldChar w:fldCharType="end"/>
      </w:r>
      <w:r w:rsidRPr="00223E3E">
        <w:t xml:space="preserve">. </w:t>
      </w:r>
      <w:r w:rsidR="007C435D" w:rsidRPr="00223E3E">
        <w:t>Despite</w:t>
      </w:r>
      <w:r w:rsidRPr="00223E3E">
        <w:t xml:space="preserve"> </w:t>
      </w:r>
      <w:r w:rsidR="007C435D" w:rsidRPr="00223E3E">
        <w:t xml:space="preserve">valuable insights offered by </w:t>
      </w:r>
      <w:r w:rsidRPr="00223E3E">
        <w:t>the existing work</w:t>
      </w:r>
      <w:r w:rsidR="007C435D" w:rsidRPr="00223E3E">
        <w:t>,</w:t>
      </w:r>
      <w:r w:rsidRPr="00223E3E">
        <w:t xml:space="preserve"> research lacks a </w:t>
      </w:r>
      <w:r w:rsidR="007C435D" w:rsidRPr="00223E3E">
        <w:t>clear</w:t>
      </w:r>
      <w:r w:rsidRPr="00223E3E">
        <w:t xml:space="preserve"> business model perspective</w:t>
      </w:r>
      <w:r w:rsidR="007C435D" w:rsidRPr="00223E3E">
        <w:t>.</w:t>
      </w:r>
      <w:r w:rsidRPr="00223E3E">
        <w:t xml:space="preserve"> </w:t>
      </w:r>
      <w:r w:rsidR="007C435D" w:rsidRPr="00223E3E">
        <w:t xml:space="preserve">This </w:t>
      </w:r>
      <w:r w:rsidRPr="00223E3E">
        <w:t xml:space="preserve">would </w:t>
      </w:r>
      <w:r w:rsidR="007C435D" w:rsidRPr="00223E3E">
        <w:t xml:space="preserve">foster the </w:t>
      </w:r>
      <w:r w:rsidRPr="00223E3E">
        <w:t>identif</w:t>
      </w:r>
      <w:r w:rsidR="007C435D" w:rsidRPr="00223E3E">
        <w:t>ication</w:t>
      </w:r>
      <w:r w:rsidRPr="00223E3E">
        <w:t xml:space="preserve"> </w:t>
      </w:r>
      <w:r w:rsidR="007C435D" w:rsidRPr="00223E3E">
        <w:t xml:space="preserve">of </w:t>
      </w:r>
      <w:r w:rsidRPr="00223E3E">
        <w:t xml:space="preserve">use case-overarching patterns </w:t>
      </w:r>
      <w:r w:rsidR="007C435D" w:rsidRPr="00223E3E">
        <w:t xml:space="preserve">in terms of </w:t>
      </w:r>
      <w:r w:rsidRPr="00223E3E">
        <w:t xml:space="preserve">innovative </w:t>
      </w:r>
      <w:r w:rsidR="007C435D" w:rsidRPr="00223E3E">
        <w:t xml:space="preserve">mechanisms for </w:t>
      </w:r>
      <w:r w:rsidRPr="00223E3E">
        <w:t xml:space="preserve">value creation and capture. Further, </w:t>
      </w:r>
      <w:r w:rsidR="007C435D" w:rsidRPr="00223E3E">
        <w:t xml:space="preserve">these works </w:t>
      </w:r>
      <w:r w:rsidRPr="00223E3E">
        <w:t xml:space="preserve">majorly disregard the technical properties of </w:t>
      </w:r>
      <w:r w:rsidR="007C435D" w:rsidRPr="00223E3E">
        <w:t xml:space="preserve">the use-case underlying </w:t>
      </w:r>
      <w:r w:rsidRPr="00223E3E">
        <w:t xml:space="preserve">any </w:t>
      </w:r>
      <w:r w:rsidR="007C435D" w:rsidRPr="00223E3E">
        <w:t>DLT-</w:t>
      </w:r>
      <w:r w:rsidRPr="00223E3E">
        <w:t>protocol</w:t>
      </w:r>
      <w:r w:rsidR="007C435D" w:rsidRPr="00223E3E">
        <w:t xml:space="preserve">s, which is </w:t>
      </w:r>
      <w:r w:rsidRPr="00223E3E">
        <w:t xml:space="preserve">essential for </w:t>
      </w:r>
      <w:r w:rsidR="007C435D" w:rsidRPr="00223E3E">
        <w:t xml:space="preserve">a thorough assessment </w:t>
      </w:r>
      <w:r w:rsidRPr="00223E3E">
        <w:t xml:space="preserve">of </w:t>
      </w:r>
      <w:r w:rsidR="007C435D" w:rsidRPr="00223E3E">
        <w:t xml:space="preserve">any </w:t>
      </w:r>
      <w:r w:rsidRPr="00223E3E">
        <w:t xml:space="preserve">innovation potential. </w:t>
      </w:r>
    </w:p>
    <w:p w14:paraId="27125FB5" w14:textId="77777777" w:rsidR="00792E20" w:rsidRPr="00223E3E" w:rsidRDefault="00792E20" w:rsidP="00792E20">
      <w:pPr>
        <w:rPr>
          <w:i/>
        </w:rPr>
      </w:pPr>
      <w:r w:rsidRPr="00223E3E">
        <w:rPr>
          <w:i/>
        </w:rPr>
        <w:t>The IOTA Tangle</w:t>
      </w:r>
    </w:p>
    <w:p w14:paraId="06EE6093" w14:textId="55CDAE19" w:rsidR="00792E20" w:rsidRPr="00223E3E" w:rsidRDefault="00F1440A" w:rsidP="009E399A">
      <w:r w:rsidRPr="00223E3E">
        <w:t xml:space="preserve">DLT </w:t>
      </w:r>
      <w:r w:rsidR="00792E20" w:rsidRPr="00223E3E">
        <w:t xml:space="preserve">is the umbrella term </w:t>
      </w:r>
      <w:r w:rsidRPr="00223E3E">
        <w:t xml:space="preserve">comprising various </w:t>
      </w:r>
      <w:r w:rsidR="00792E20" w:rsidRPr="00223E3E">
        <w:t xml:space="preserve">protocol types, of which </w:t>
      </w:r>
      <w:r w:rsidR="00792E20" w:rsidRPr="00223E3E">
        <w:rPr>
          <w:i/>
        </w:rPr>
        <w:t>blockchain</w:t>
      </w:r>
      <w:r w:rsidR="00792E20" w:rsidRPr="00223E3E">
        <w:t xml:space="preserve"> </w:t>
      </w:r>
      <w:r w:rsidRPr="00223E3E">
        <w:t xml:space="preserve">depicts </w:t>
      </w:r>
      <w:r w:rsidR="00792E20" w:rsidRPr="00223E3E">
        <w:t xml:space="preserve">the most widely known. </w:t>
      </w:r>
      <w:bookmarkStart w:id="5" w:name="_Toc517116136"/>
      <w:r w:rsidRPr="00223E3E">
        <w:t>A unifying characteristic is t</w:t>
      </w:r>
      <w:r w:rsidR="00C96EF8" w:rsidRPr="00223E3E">
        <w:t>he</w:t>
      </w:r>
      <w:r w:rsidR="00792E20" w:rsidRPr="00223E3E">
        <w:t xml:space="preserve"> </w:t>
      </w:r>
      <w:r w:rsidR="00C96EF8" w:rsidRPr="00223E3E">
        <w:t>use</w:t>
      </w:r>
      <w:r w:rsidR="00792E20" w:rsidRPr="00223E3E">
        <w:t xml:space="preserve"> </w:t>
      </w:r>
      <w:r w:rsidR="00C96EF8" w:rsidRPr="00223E3E">
        <w:t xml:space="preserve">of </w:t>
      </w:r>
      <w:r w:rsidR="00792E20" w:rsidRPr="00223E3E">
        <w:t xml:space="preserve">a public ledger </w:t>
      </w:r>
      <w:r w:rsidRPr="00223E3E">
        <w:t xml:space="preserve">to record transactions. This is </w:t>
      </w:r>
      <w:r w:rsidR="00C96EF8" w:rsidRPr="00223E3E">
        <w:t xml:space="preserve">intended </w:t>
      </w:r>
      <w:r w:rsidR="00792E20" w:rsidRPr="00223E3E">
        <w:t xml:space="preserve">to remove </w:t>
      </w:r>
      <w:r w:rsidRPr="00223E3E">
        <w:t xml:space="preserve">any </w:t>
      </w:r>
      <w:r w:rsidR="00792E20" w:rsidRPr="00223E3E">
        <w:t>single entity</w:t>
      </w:r>
      <w:r w:rsidR="00C1370C" w:rsidRPr="00223E3E">
        <w:t>, such as banks or other mediators,</w:t>
      </w:r>
      <w:r w:rsidR="00792E20" w:rsidRPr="00223E3E">
        <w:t xml:space="preserve"> from control over the </w:t>
      </w:r>
      <w:r w:rsidR="00C1370C" w:rsidRPr="00223E3E">
        <w:t xml:space="preserve">transaction </w:t>
      </w:r>
      <w:r w:rsidR="00792E20" w:rsidRPr="00223E3E">
        <w:t xml:space="preserve">record </w:t>
      </w:r>
      <w:r w:rsidR="00792E20" w:rsidRPr="00223E3E">
        <w:fldChar w:fldCharType="begin" w:fldLock="1"/>
      </w:r>
      <w:r w:rsidR="00792E20" w:rsidRPr="00223E3E">
        <w:instrText>ADDIN CSL_CITATION {"citationItems":[{"id":"ITEM-1","itemData":{"abstract":"Blockchain has the potential to become a significant source of disruptive innovations in business and management. There is a scarcity of knowledge and understanding of blockchain techniques that hinders its academic research and practical application. Business managers need to under- stand the potential impact and threat of blockchain applications in order to gain and maintain competitive advantage. Blockchain applications appear to offer considerable performance im provement and commercialization opportunities.","author":[{"dropping-particle":"","family":"White","given":"Gareth R.T.","non-dropping-particle":"","parse-names":false,"suffix":""}],"container-title":"Strategic Change","id":"ITEM-1","issue":"5","issued":{"date-parts":[["2017"]]},"page":"439-451","title":"Future applications of blockchain in business and management: A Delphi study","type":"article-journal","volume":"26"},"uris":["http://www.mendeley.com/documents/?uuid=af227aa5-5769-44f2-9d02-7ac4cd42b7ff"]},{"id":"ITEM-2","itemData":{"abstract":"The financial sector is currently undergoing a major transformation, brought about by the rapid development and spread of new technologies. The confluence of 'finance' and 'technology' is often referred to as 'Fintech', typically describing companies or innovations that employ new technologies to improve or innovate financial services. 'Fintech' developments are seen across all areas of the financial sector, including payments and financial infrastructures, consumer and SME lending, insurance, investment management, and venture financing. This note on distributed ledger technology (DLT) and blockchains is part of a series of short notes that explore new trends and developments in Fintech and analyze their potential relevance for WBG activities. Forthcoming notes in this series will cover marketplace lending, 'InsureTech', and other topics. This note outlines the mechanisms, origins, and key characteristics of DLT; the difference between 'public' and 'private' DLT; the technology's main advantages, challenges, and risks; relevant examples of DLT applications (with a focus on financial sector applications); and a brief overview of activities by governments, multilateral organization, and other stakeholders in this space. Finally, this note proposes next steps for the World Bank to study and evaluate areas where DLT could potentially be integrated into World Bank financial sector operations.","author":[{"dropping-particle":"","family":"Natarajan","given":"Harish","non-dropping-particle":"","parse-names":false,"suffix":""},{"dropping-particle":"","family":"Krause","given":"Solvej Karla","non-dropping-particle":"","parse-names":false,"suffix":""},{"dropping-particle":"","family":"Gradstein","given":"Helen Luskin","non-dropping-particle":"","parse-names":false,"suffix":""}],"container-title":"FinTech note","id":"ITEM-2","issue":"1","issued":{"date-parts":[["2017"]]},"number-of-pages":"1-60","publisher-place":"Washington, D.C.","title":"Distributed Ledger Technology (DLT) and Blockchain (English)","type":"report"},"uris":["http://www.mendeley.com/documents/?uuid=7d6a6fcc-d548-4aa1-b1f4-4976dacaad50"]}],"mendeley":{"formattedCitation":"(Natarajan et al., 2017; White, 2017)","plainTextFormattedCitation":"(Natarajan et al., 2017; White, 2017)","previouslyFormattedCitation":"(Natarajan et al., 2017; White, 2017)"},"properties":{"noteIndex":0},"schema":"https://github.com/citation-style-language/schema/raw/master/csl-citation.json"}</w:instrText>
      </w:r>
      <w:r w:rsidR="00792E20" w:rsidRPr="00223E3E">
        <w:fldChar w:fldCharType="separate"/>
      </w:r>
      <w:r w:rsidR="00792E20" w:rsidRPr="00223E3E">
        <w:rPr>
          <w:noProof/>
        </w:rPr>
        <w:t>(Natarajan et al., 2017; White, 2017)</w:t>
      </w:r>
      <w:r w:rsidR="00792E20" w:rsidRPr="00223E3E">
        <w:fldChar w:fldCharType="end"/>
      </w:r>
      <w:r w:rsidR="00792E20" w:rsidRPr="00223E3E">
        <w:t xml:space="preserve">. </w:t>
      </w:r>
      <w:r w:rsidR="00C1370C" w:rsidRPr="00223E3E">
        <w:t>However, there</w:t>
      </w:r>
      <w:r w:rsidR="00792E20" w:rsidRPr="00223E3E">
        <w:t xml:space="preserve"> </w:t>
      </w:r>
      <w:r w:rsidR="00C1370C" w:rsidRPr="00223E3E">
        <w:t xml:space="preserve">exist significant </w:t>
      </w:r>
      <w:r w:rsidR="00792E20" w:rsidRPr="00223E3E">
        <w:t xml:space="preserve">differences </w:t>
      </w:r>
      <w:r w:rsidR="00C1370C" w:rsidRPr="00223E3E">
        <w:t>in the way this property is implemented by</w:t>
      </w:r>
      <w:r w:rsidR="00792E20" w:rsidRPr="00223E3E">
        <w:t xml:space="preserve"> </w:t>
      </w:r>
      <w:r w:rsidR="00C1370C" w:rsidRPr="00223E3E">
        <w:t xml:space="preserve">the </w:t>
      </w:r>
      <w:r w:rsidR="00792E20" w:rsidRPr="00223E3E">
        <w:t>different protocol types. In the following</w:t>
      </w:r>
      <w:r w:rsidR="00C1370C" w:rsidRPr="00223E3E">
        <w:t>,</w:t>
      </w:r>
      <w:r w:rsidR="00792E20" w:rsidRPr="00223E3E">
        <w:t xml:space="preserve"> I </w:t>
      </w:r>
      <w:r w:rsidR="00C1370C" w:rsidRPr="00223E3E">
        <w:t>outline</w:t>
      </w:r>
      <w:r w:rsidR="00792E20" w:rsidRPr="00223E3E">
        <w:t xml:space="preserve"> the </w:t>
      </w:r>
      <w:r w:rsidR="00C1370C" w:rsidRPr="00223E3E">
        <w:t xml:space="preserve">unique properties </w:t>
      </w:r>
      <w:r w:rsidR="00792E20" w:rsidRPr="00223E3E">
        <w:t xml:space="preserve">of the </w:t>
      </w:r>
      <w:r w:rsidR="00792E20" w:rsidRPr="00223E3E">
        <w:rPr>
          <w:i/>
        </w:rPr>
        <w:t xml:space="preserve">IOTA </w:t>
      </w:r>
      <w:r w:rsidR="00792E20" w:rsidRPr="00223E3E">
        <w:rPr>
          <w:i/>
        </w:rPr>
        <w:lastRenderedPageBreak/>
        <w:t>Tangle</w:t>
      </w:r>
      <w:r w:rsidR="00C1370C" w:rsidRPr="00223E3E">
        <w:t xml:space="preserve">. To illustrate important differences, I draw a </w:t>
      </w:r>
      <w:r w:rsidR="00792E20" w:rsidRPr="00223E3E">
        <w:t xml:space="preserve">comparison to </w:t>
      </w:r>
      <w:r w:rsidR="00C1370C" w:rsidRPr="00223E3E">
        <w:t xml:space="preserve">major </w:t>
      </w:r>
      <w:r w:rsidR="00792E20" w:rsidRPr="00223E3E">
        <w:t xml:space="preserve">blockchain protocols, </w:t>
      </w:r>
      <w:r w:rsidR="00C1370C" w:rsidRPr="00223E3E">
        <w:t xml:space="preserve">namely </w:t>
      </w:r>
      <w:r w:rsidR="00792E20" w:rsidRPr="00223E3E">
        <w:rPr>
          <w:i/>
        </w:rPr>
        <w:t>Bitcoin</w:t>
      </w:r>
      <w:r w:rsidR="00792E20" w:rsidRPr="00223E3E">
        <w:t xml:space="preserve"> and </w:t>
      </w:r>
      <w:r w:rsidR="00792E20" w:rsidRPr="00223E3E">
        <w:rPr>
          <w:i/>
        </w:rPr>
        <w:t>Ethereum</w:t>
      </w:r>
      <w:r w:rsidR="00792E20" w:rsidRPr="00223E3E">
        <w:t>.</w:t>
      </w:r>
      <w:bookmarkStart w:id="6" w:name="_p0uahn7cdwa1" w:colFirst="0" w:colLast="0"/>
      <w:bookmarkStart w:id="7" w:name="_726awtxc2qe" w:colFirst="0" w:colLast="0"/>
      <w:bookmarkEnd w:id="6"/>
      <w:bookmarkEnd w:id="7"/>
      <w:r w:rsidR="00792E20" w:rsidRPr="00223E3E">
        <w:t xml:space="preserve"> </w:t>
      </w:r>
    </w:p>
    <w:bookmarkEnd w:id="5"/>
    <w:p w14:paraId="01FBA0C4" w14:textId="7F9D8039" w:rsidR="00792E20" w:rsidRPr="00223E3E" w:rsidRDefault="00C1370C" w:rsidP="00792E20">
      <w:r w:rsidRPr="00223E3E">
        <w:t>In contrast to</w:t>
      </w:r>
      <w:r w:rsidR="00792E20" w:rsidRPr="00223E3E">
        <w:t xml:space="preserve"> a sequential chain of blocks</w:t>
      </w:r>
      <w:r w:rsidRPr="00223E3E">
        <w:t xml:space="preserve"> </w:t>
      </w:r>
      <w:r w:rsidR="00792E20" w:rsidRPr="00223E3E">
        <w:t xml:space="preserve">each of which </w:t>
      </w:r>
      <w:r w:rsidRPr="00223E3E">
        <w:t>includes</w:t>
      </w:r>
      <w:r w:rsidR="00792E20" w:rsidRPr="00223E3E">
        <w:t xml:space="preserve"> multiple transactions</w:t>
      </w:r>
      <w:r w:rsidRPr="00223E3E">
        <w:t>,</w:t>
      </w:r>
      <w:r w:rsidR="00792E20" w:rsidRPr="00223E3E">
        <w:t xml:space="preserve"> the IOTA Tangle leverages a directed acyclic graph. </w:t>
      </w:r>
      <w:r w:rsidR="00FB654A" w:rsidRPr="00223E3E">
        <w:t xml:space="preserve">The edges of this graph – in a mathematical sense – </w:t>
      </w:r>
      <w:r w:rsidR="00792E20" w:rsidRPr="00223E3E">
        <w:t xml:space="preserve">are directed in sequence </w:t>
      </w:r>
      <w:r w:rsidR="00FB654A" w:rsidRPr="00223E3E">
        <w:t xml:space="preserve">and </w:t>
      </w:r>
      <w:r w:rsidR="00792E20" w:rsidRPr="00223E3E">
        <w:t xml:space="preserve">without any cycles </w:t>
      </w:r>
      <w:r w:rsidR="00792E20" w:rsidRPr="00223E3E">
        <w:fldChar w:fldCharType="begin" w:fldLock="1"/>
      </w:r>
      <w:r w:rsidR="00792E20" w:rsidRPr="00223E3E">
        <w:instrText>ADDIN CSL_CITATION {"citationItems":[{"id":"ITEM-1","itemData":{"abstract":"Sometime in the 1990s architecture historians shifted their attention from buildings to publications, exhibitions, films and photographs produced by architects. This shift is related to the more general transformation in which 'society' has been substituted by 'culture'. More than any other work it is Beatriz Colomina's Privacy and Publicity that has come to represent this growing interest of architecture historians. The following review article closely studies the arguments and methodologies at the centre of Privacy and Publicity as a means of delineating the idealism that is the subtext of this shift.","author":[{"dropping-particle":"","family":"Daly","given":"Ronan","non-dropping-particle":"","parse-names":false,"suffix":""},{"dropping-particle":"","family":"Shen","given":"Qiang","non-dropping-particle":"","parse-names":false,"suffix":""},{"dropping-particle":"","family":"Aitken","given":"Stuart","non-dropping-particle":"","parse-names":false,"suffix":""}],"container-title":"The Knowledge Engineering Review","id":"ITEM-1","issue":"2","issued":{"date-parts":[["2011"]]},"page":"99-157","title":"Learning Bayesian networks: approaches and issues","type":"article-journal","volume":"26"},"uris":["http://www.mendeley.com/documents/?uuid=3f864c6c-4e02-46d7-92cb-665217df05a9"]},{"id":"ITEM-2","itemData":{"author":[{"dropping-particle":"","family":"Bramas","given":"Quentin","non-dropping-particle":"","parse-names":false,"suffix":""}],"id":"ITEM-2","issued":{"date-parts":[["2018"]]},"title":"The Stability and the Security of the Tangle To cite this version : HAL Id : hal-01716111","type":"article-journal"},"uris":["http://www.mendeley.com/documents/?uuid=cf7f9b61-fdff-4e98-8b8f-0495af272ad3","http://www.mendeley.com/documents/?uuid=32b89d7f-6049-4be7-a799-6e85277c9e8e"]}],"mendeley":{"formattedCitation":"(Bramas, 2018; Daly, Shen, &amp; Aitken, 2011)","plainTextFormattedCitation":"(Bramas, 2018; Daly, Shen, &amp; Aitken, 2011)","previouslyFormattedCitation":"(Bramas, 2018; Daly, Shen, &amp; Aitken, 2011)"},"properties":{"noteIndex":0},"schema":"https://github.com/citation-style-language/schema/raw/master/csl-citation.json"}</w:instrText>
      </w:r>
      <w:r w:rsidR="00792E20" w:rsidRPr="00223E3E">
        <w:fldChar w:fldCharType="separate"/>
      </w:r>
      <w:r w:rsidR="00792E20" w:rsidRPr="00223E3E">
        <w:rPr>
          <w:noProof/>
        </w:rPr>
        <w:t>(Bramas, 2018; Daly, Shen, &amp; Aitken, 2011)</w:t>
      </w:r>
      <w:r w:rsidR="00792E20" w:rsidRPr="00223E3E">
        <w:fldChar w:fldCharType="end"/>
      </w:r>
      <w:r w:rsidR="00792E20" w:rsidRPr="00223E3E">
        <w:t>. In the IOTA Tangle</w:t>
      </w:r>
      <w:r w:rsidR="00FB654A" w:rsidRPr="00223E3E">
        <w:t>,</w:t>
      </w:r>
      <w:r w:rsidR="00792E20" w:rsidRPr="00223E3E">
        <w:t xml:space="preserve"> </w:t>
      </w:r>
      <w:r w:rsidR="00FB654A" w:rsidRPr="00223E3E">
        <w:t xml:space="preserve">each vertex </w:t>
      </w:r>
      <w:r w:rsidR="00792E20" w:rsidRPr="00223E3E">
        <w:t>represent</w:t>
      </w:r>
      <w:r w:rsidR="00FB654A" w:rsidRPr="00223E3E">
        <w:t>s</w:t>
      </w:r>
      <w:r w:rsidR="00792E20" w:rsidRPr="00223E3E">
        <w:t xml:space="preserve"> </w:t>
      </w:r>
      <w:r w:rsidR="00FB654A" w:rsidRPr="00223E3E">
        <w:t xml:space="preserve">an </w:t>
      </w:r>
      <w:r w:rsidR="00792E20" w:rsidRPr="00223E3E">
        <w:t xml:space="preserve">individual transaction and the edges </w:t>
      </w:r>
      <w:r w:rsidR="00FB654A" w:rsidRPr="00223E3E">
        <w:t xml:space="preserve">connecting the vertices </w:t>
      </w:r>
      <w:r w:rsidR="00792E20" w:rsidRPr="00223E3E">
        <w:t xml:space="preserve">represent approvals. </w:t>
      </w:r>
    </w:p>
    <w:p w14:paraId="2D532142" w14:textId="741698C4" w:rsidR="00792E20" w:rsidRPr="00223E3E" w:rsidRDefault="00792E20" w:rsidP="00792E20">
      <w:r w:rsidRPr="00223E3E">
        <w:t xml:space="preserve">A new transaction is </w:t>
      </w:r>
      <w:r w:rsidR="00FB654A" w:rsidRPr="00223E3E">
        <w:t>added</w:t>
      </w:r>
      <w:r w:rsidRPr="00223E3E">
        <w:t xml:space="preserve"> </w:t>
      </w:r>
      <w:r w:rsidR="00FB654A" w:rsidRPr="00223E3E">
        <w:t xml:space="preserve">to </w:t>
      </w:r>
      <w:r w:rsidRPr="00223E3E">
        <w:t xml:space="preserve">the Tangle </w:t>
      </w:r>
      <w:r w:rsidR="00FB654A" w:rsidRPr="00223E3E">
        <w:t xml:space="preserve">following the </w:t>
      </w:r>
      <w:r w:rsidRPr="00223E3E">
        <w:t>approval of two previous transactions</w:t>
      </w:r>
      <w:r w:rsidR="00FB654A" w:rsidRPr="00223E3E">
        <w:t>. As a result, two edges and one vertex are added to the graph. The approval is done</w:t>
      </w:r>
      <w:r w:rsidRPr="00223E3E">
        <w:t xml:space="preserve"> by the </w:t>
      </w:r>
      <w:r w:rsidR="00FB654A" w:rsidRPr="00223E3E">
        <w:t xml:space="preserve">transaction-issuing </w:t>
      </w:r>
      <w:r w:rsidRPr="00223E3E">
        <w:t>node.</w:t>
      </w:r>
      <w:r w:rsidR="00FB654A" w:rsidRPr="00223E3E">
        <w:t xml:space="preserve"> </w:t>
      </w:r>
      <w:r w:rsidR="00C96EF8" w:rsidRPr="00223E3E">
        <w:t>Therefore</w:t>
      </w:r>
      <w:r w:rsidRPr="00223E3E">
        <w:t xml:space="preserve">, opposed to </w:t>
      </w:r>
      <w:r w:rsidR="00FB654A" w:rsidRPr="00223E3E">
        <w:t>most</w:t>
      </w:r>
      <w:r w:rsidRPr="00223E3E">
        <w:t xml:space="preserve"> blockchain networks, there </w:t>
      </w:r>
      <w:r w:rsidR="00530017" w:rsidRPr="00223E3E">
        <w:t>exists</w:t>
      </w:r>
      <w:r w:rsidRPr="00223E3E">
        <w:t xml:space="preserve"> no separation between </w:t>
      </w:r>
      <w:r w:rsidR="00530017" w:rsidRPr="00223E3E">
        <w:t xml:space="preserve">participants who issue </w:t>
      </w:r>
      <w:r w:rsidRPr="00223E3E">
        <w:t xml:space="preserve">transactions and </w:t>
      </w:r>
      <w:r w:rsidR="00530017" w:rsidRPr="00223E3E">
        <w:t xml:space="preserve">transaction </w:t>
      </w:r>
      <w:r w:rsidRPr="00223E3E">
        <w:t>validat</w:t>
      </w:r>
      <w:r w:rsidR="00530017" w:rsidRPr="00223E3E">
        <w:t>ors</w:t>
      </w:r>
      <w:r w:rsidRPr="00223E3E">
        <w:t xml:space="preserve"> </w:t>
      </w:r>
      <w:r w:rsidR="00530017" w:rsidRPr="00223E3E">
        <w:t>in the network</w:t>
      </w:r>
      <w:r w:rsidRPr="00223E3E">
        <w:t xml:space="preserve">. This </w:t>
      </w:r>
      <w:r w:rsidR="00530017" w:rsidRPr="00223E3E">
        <w:t>property</w:t>
      </w:r>
      <w:r w:rsidRPr="00223E3E">
        <w:t xml:space="preserve"> </w:t>
      </w:r>
      <w:r w:rsidR="00530017" w:rsidRPr="00223E3E">
        <w:t xml:space="preserve">enables participant to issue </w:t>
      </w:r>
      <w:r w:rsidRPr="00223E3E">
        <w:t>transactions</w:t>
      </w:r>
      <w:r w:rsidR="00530017" w:rsidRPr="00223E3E">
        <w:t xml:space="preserve"> with no additional fees</w:t>
      </w:r>
      <w:r w:rsidRPr="00223E3E">
        <w:t xml:space="preserve">, </w:t>
      </w:r>
      <w:r w:rsidR="00530017" w:rsidRPr="00223E3E">
        <w:t>disregarding insignificant</w:t>
      </w:r>
      <w:r w:rsidRPr="00223E3E">
        <w:t xml:space="preserve"> computational resources </w:t>
      </w:r>
      <w:r w:rsidR="00530017" w:rsidRPr="00223E3E">
        <w:t>originating from the approval</w:t>
      </w:r>
      <w:r w:rsidRPr="00223E3E">
        <w:t xml:space="preserve"> </w:t>
      </w:r>
      <w:r w:rsidR="00530017" w:rsidRPr="00223E3E">
        <w:t xml:space="preserve">process </w:t>
      </w:r>
      <w:r w:rsidRPr="00223E3E">
        <w:fldChar w:fldCharType="begin" w:fldLock="1"/>
      </w:r>
      <w:r w:rsidRPr="00223E3E">
        <w:instrText>ADDIN CSL_CITATION {"citationItems":[{"id":"ITEM-1","itemData":{"author":[{"dropping-particle":"","family":"Popov","given":"Serguei","non-dropping-particle":"","parse-names":false,"suffix":""}],"collection-title":"White Paper","id":"ITEM-1","issued":{"date-parts":[["2018"]]},"number-of-pages":"1-10","title":"Local modifiers in the Tangle","type":"report"},"uris":["http://www.mendeley.com/documents/?uuid=7cd0a183-302c-4979-9ba1-ec2334aa2e7d"]},{"id":"ITEM-2","itemData":{"author":[{"dropping-particle":"","family":"Bramas","given":"Quentin","non-dropping-particle":"","parse-names":false,"suffix":""}],"id":"ITEM-2","issued":{"date-parts":[["2018"]]},"title":"The Stability and the Security of the Tangle To cite this version : HAL Id : hal-01716111","type":"article-journal"},"uris":["http://www.mendeley.com/documents/?uuid=32b89d7f-6049-4be7-a799-6e85277c9e8e","http://www.mendeley.com/documents/?uuid=cf7f9b61-fdff-4e98-8b8f-0495af272ad3"]}],"mendeley":{"formattedCitation":"(Bramas, 2018; Popov, 2018a)","plainTextFormattedCitation":"(Bramas, 2018; Popov, 2018a)","previouslyFormattedCitation":"(Bramas, 2018; Popov, 2018a)"},"properties":{"noteIndex":0},"schema":"https://github.com/citation-style-language/schema/raw/master/csl-citation.json"}</w:instrText>
      </w:r>
      <w:r w:rsidRPr="00223E3E">
        <w:fldChar w:fldCharType="separate"/>
      </w:r>
      <w:r w:rsidRPr="00223E3E">
        <w:rPr>
          <w:noProof/>
        </w:rPr>
        <w:t>(Bramas, 2018; Popov, 2018a)</w:t>
      </w:r>
      <w:r w:rsidRPr="00223E3E">
        <w:fldChar w:fldCharType="end"/>
      </w:r>
      <w:r w:rsidRPr="00223E3E">
        <w:t xml:space="preserve">. In contrast, the energy </w:t>
      </w:r>
      <w:r w:rsidR="00530017" w:rsidRPr="00223E3E">
        <w:t xml:space="preserve">necessary </w:t>
      </w:r>
      <w:r w:rsidRPr="00223E3E">
        <w:t xml:space="preserve">to maintain a </w:t>
      </w:r>
      <w:r w:rsidR="00530017" w:rsidRPr="00223E3E">
        <w:t xml:space="preserve">certain </w:t>
      </w:r>
      <w:r w:rsidRPr="00223E3E">
        <w:t>blockchain can be significant</w:t>
      </w:r>
      <w:r w:rsidR="001B325D" w:rsidRPr="00223E3E">
        <w:t>. This is</w:t>
      </w:r>
      <w:r w:rsidRPr="00223E3E">
        <w:t xml:space="preserve"> due to the </w:t>
      </w:r>
      <w:r w:rsidR="001B325D" w:rsidRPr="00223E3E">
        <w:t xml:space="preserve">continuous creation </w:t>
      </w:r>
      <w:r w:rsidRPr="00223E3E">
        <w:t>of blocks (</w:t>
      </w:r>
      <w:r w:rsidR="001B325D" w:rsidRPr="00223E3E">
        <w:t xml:space="preserve">which is </w:t>
      </w:r>
      <w:r w:rsidRPr="00223E3E">
        <w:t xml:space="preserve">independent from the amount of processed transactions) and cumulative </w:t>
      </w:r>
      <w:r w:rsidR="001B325D" w:rsidRPr="00223E3E">
        <w:t xml:space="preserve">computational </w:t>
      </w:r>
      <w:r w:rsidRPr="00223E3E">
        <w:t xml:space="preserve">resources </w:t>
      </w:r>
      <w:r w:rsidR="001B325D" w:rsidRPr="00223E3E">
        <w:t xml:space="preserve">used by </w:t>
      </w:r>
      <w:r w:rsidRPr="00223E3E">
        <w:t xml:space="preserve">all </w:t>
      </w:r>
      <w:r w:rsidR="001B325D" w:rsidRPr="00223E3E">
        <w:t xml:space="preserve">block </w:t>
      </w:r>
      <w:r w:rsidRPr="00223E3E">
        <w:t xml:space="preserve">validators of which only </w:t>
      </w:r>
      <w:r w:rsidR="001B325D" w:rsidRPr="00223E3E">
        <w:t>the first valid solution is considered</w:t>
      </w:r>
      <w:r w:rsidRPr="00223E3E">
        <w:t xml:space="preserve">. </w:t>
      </w:r>
      <w:r w:rsidR="00530017" w:rsidRPr="00223E3E">
        <w:t xml:space="preserve">At the moment of writing, </w:t>
      </w:r>
      <w:r w:rsidRPr="00223E3E">
        <w:t>Bitcoin’s annual energy consumption is estimated at 73.12 TWh</w:t>
      </w:r>
      <w:r w:rsidR="00530017" w:rsidRPr="00223E3E">
        <w:t>.</w:t>
      </w:r>
      <w:r w:rsidRPr="00223E3E">
        <w:t xml:space="preserve"> </w:t>
      </w:r>
      <w:r w:rsidR="00530017" w:rsidRPr="00223E3E">
        <w:t xml:space="preserve">This </w:t>
      </w:r>
      <w:r w:rsidRPr="00223E3E">
        <w:t xml:space="preserve">is higher than </w:t>
      </w:r>
      <w:r w:rsidR="00530017" w:rsidRPr="00223E3E">
        <w:t xml:space="preserve">Austria’s annual energy consumption </w:t>
      </w:r>
      <w:r w:rsidRPr="00223E3E">
        <w:fldChar w:fldCharType="begin" w:fldLock="1"/>
      </w:r>
      <w:r w:rsidRPr="00223E3E">
        <w:instrText>ADDIN CSL_CITATION {"citationItems":[{"id":"ITEM-1","itemData":{"author":[{"dropping-particle":"","family":"Digiconomist","given":"","non-dropping-particle":"","parse-names":false,"suffix":""}],"id":"ITEM-1","issued":{"date-parts":[["2018"]]},"title":"Bitcoin Energy Consumption Index - Digiconomist","type":"webpage"},"uris":["http://www.mendeley.com/documents/?uuid=84536483-6a99-347b-9a40-26afd7808ee3","http://www.mendeley.com/documents/?uuid=5949e3c9-54dd-477c-9e9e-9527d4df1208"]}],"mendeley":{"formattedCitation":"(Digiconomist, 2018)","plainTextFormattedCitation":"(Digiconomist, 2018)","previouslyFormattedCitation":"(Digiconomist, 2018)"},"properties":{"noteIndex":0},"schema":"https://github.com/citation-style-language/schema/raw/master/csl-citation.json"}</w:instrText>
      </w:r>
      <w:r w:rsidRPr="00223E3E">
        <w:fldChar w:fldCharType="separate"/>
      </w:r>
      <w:r w:rsidRPr="00223E3E">
        <w:rPr>
          <w:noProof/>
        </w:rPr>
        <w:t>(Digiconomist, 2018)</w:t>
      </w:r>
      <w:r w:rsidRPr="00223E3E">
        <w:fldChar w:fldCharType="end"/>
      </w:r>
      <w:r w:rsidRPr="00223E3E">
        <w:t>.</w:t>
      </w:r>
    </w:p>
    <w:p w14:paraId="692FBCF4" w14:textId="0DAA9226" w:rsidR="00792E20" w:rsidRPr="00223E3E" w:rsidRDefault="001B325D" w:rsidP="00792E20">
      <w:r w:rsidRPr="00223E3E">
        <w:t>After being</w:t>
      </w:r>
      <w:r w:rsidR="00792E20" w:rsidRPr="00223E3E">
        <w:t xml:space="preserve"> issued to the Tangle</w:t>
      </w:r>
      <w:r w:rsidRPr="00223E3E">
        <w:t>,</w:t>
      </w:r>
      <w:r w:rsidR="00792E20" w:rsidRPr="00223E3E">
        <w:t xml:space="preserve"> a</w:t>
      </w:r>
      <w:r w:rsidRPr="00223E3E">
        <w:t>ny</w:t>
      </w:r>
      <w:r w:rsidR="00792E20" w:rsidRPr="00223E3E">
        <w:t xml:space="preserve"> new transaction is initially unconfirmed. </w:t>
      </w:r>
      <w:r w:rsidRPr="00223E3E">
        <w:t xml:space="preserve">Over time, as new transactions are issued, its </w:t>
      </w:r>
      <w:r w:rsidR="00792E20" w:rsidRPr="00223E3E">
        <w:t xml:space="preserve">validity increases as </w:t>
      </w:r>
      <w:r w:rsidRPr="00223E3E">
        <w:t xml:space="preserve">the issuing nodes approve previous </w:t>
      </w:r>
      <w:r w:rsidR="00792E20" w:rsidRPr="00223E3E">
        <w:t xml:space="preserve">transactions. </w:t>
      </w:r>
      <w:r w:rsidRPr="00223E3E">
        <w:t xml:space="preserve">An </w:t>
      </w:r>
      <w:r w:rsidR="00792E20" w:rsidRPr="00223E3E">
        <w:t>increas</w:t>
      </w:r>
      <w:r w:rsidRPr="00223E3E">
        <w:t>e</w:t>
      </w:r>
      <w:r w:rsidR="00792E20" w:rsidRPr="00223E3E">
        <w:t xml:space="preserve"> in the ratio </w:t>
      </w:r>
      <w:r w:rsidRPr="00223E3E">
        <w:t xml:space="preserve">of newly issued </w:t>
      </w:r>
      <w:r w:rsidR="00792E20" w:rsidRPr="00223E3E">
        <w:t xml:space="preserve">transactions </w:t>
      </w:r>
      <w:r w:rsidRPr="00223E3E">
        <w:t xml:space="preserve">per period leads to </w:t>
      </w:r>
      <w:r w:rsidR="00792E20" w:rsidRPr="00223E3E">
        <w:t>faster validation</w:t>
      </w:r>
      <w:r w:rsidRPr="00223E3E">
        <w:t>s of transactions</w:t>
      </w:r>
      <w:r w:rsidR="00792E20" w:rsidRPr="00223E3E">
        <w:t xml:space="preserve">. Theoretically, there </w:t>
      </w:r>
      <w:r w:rsidRPr="00223E3E">
        <w:t xml:space="preserve">exists </w:t>
      </w:r>
      <w:r w:rsidR="00792E20" w:rsidRPr="00223E3E">
        <w:t xml:space="preserve">no limit </w:t>
      </w:r>
      <w:r w:rsidRPr="00223E3E">
        <w:t xml:space="preserve">in </w:t>
      </w:r>
      <w:r w:rsidR="00792E20" w:rsidRPr="00223E3E">
        <w:t xml:space="preserve">the </w:t>
      </w:r>
      <w:r w:rsidRPr="00223E3E">
        <w:t xml:space="preserve">ratio of issued </w:t>
      </w:r>
      <w:r w:rsidR="00792E20" w:rsidRPr="00223E3E">
        <w:t xml:space="preserve">transactions per </w:t>
      </w:r>
      <w:r w:rsidRPr="00223E3E">
        <w:t xml:space="preserve">period </w:t>
      </w:r>
      <w:r w:rsidR="00792E20" w:rsidRPr="00223E3E">
        <w:t xml:space="preserve">in the Tangle </w:t>
      </w:r>
      <w:r w:rsidR="00792E20" w:rsidRPr="00223E3E">
        <w:fldChar w:fldCharType="begin" w:fldLock="1"/>
      </w:r>
      <w:r w:rsidR="00792E20" w:rsidRPr="00223E3E">
        <w:instrText>ADDIN CSL_CITATION {"citationItems":[{"id":"ITEM-1","itemData":{"author":[{"dropping-particle":"","family":"Popov","given":"Serguei","non-dropping-particle":"","parse-names":false,"suffix":""}],"collection-title":"White Paper","id":"ITEM-1","issued":{"date-parts":[["2018"]]},"number-of-pages":"1-10","title":"Local modifiers in the Tangle","type":"report"},"uris":["http://www.mendeley.com/documents/?uuid=7cd0a183-302c-4979-9ba1-ec2334aa2e7d"]}],"mendeley":{"formattedCitation":"(Popov, 2018a)","plainTextFormattedCitation":"(Popov, 2018a)","previouslyFormattedCitation":"(Popov, 2018a)"},"properties":{"noteIndex":0},"schema":"https://github.com/citation-style-language/schema/raw/master/csl-citation.json"}</w:instrText>
      </w:r>
      <w:r w:rsidR="00792E20" w:rsidRPr="00223E3E">
        <w:fldChar w:fldCharType="separate"/>
      </w:r>
      <w:r w:rsidR="00792E20" w:rsidRPr="00223E3E">
        <w:rPr>
          <w:noProof/>
        </w:rPr>
        <w:t>(Popov, 2018a)</w:t>
      </w:r>
      <w:r w:rsidR="00792E20" w:rsidRPr="00223E3E">
        <w:fldChar w:fldCharType="end"/>
      </w:r>
      <w:r w:rsidR="00792E20" w:rsidRPr="00223E3E">
        <w:t xml:space="preserve">. In contrast, </w:t>
      </w:r>
      <w:r w:rsidR="00FB3E93" w:rsidRPr="00223E3E">
        <w:t xml:space="preserve">in most blockchain protocols </w:t>
      </w:r>
      <w:r w:rsidR="00792E20" w:rsidRPr="00223E3E">
        <w:t xml:space="preserve">the amount of </w:t>
      </w:r>
      <w:r w:rsidR="00FB3E93" w:rsidRPr="00223E3E">
        <w:t xml:space="preserve">approvable </w:t>
      </w:r>
      <w:r w:rsidR="00792E20" w:rsidRPr="00223E3E">
        <w:t xml:space="preserve">transaction </w:t>
      </w:r>
      <w:r w:rsidR="00FB3E93" w:rsidRPr="00223E3E">
        <w:t>per period is limited by design</w:t>
      </w:r>
      <w:r w:rsidR="004C486E" w:rsidRPr="00223E3E">
        <w:t>:</w:t>
      </w:r>
      <w:r w:rsidR="00792E20" w:rsidRPr="00223E3E">
        <w:t xml:space="preserve"> Unlike a </w:t>
      </w:r>
      <w:r w:rsidR="00FB3E93" w:rsidRPr="00223E3E">
        <w:t>sequence of blocks</w:t>
      </w:r>
      <w:r w:rsidR="00792E20" w:rsidRPr="00223E3E">
        <w:t xml:space="preserve">, the Tangle </w:t>
      </w:r>
      <w:r w:rsidR="00FB3E93" w:rsidRPr="00223E3E">
        <w:t xml:space="preserve">protocol </w:t>
      </w:r>
      <w:r w:rsidR="00792E20" w:rsidRPr="00223E3E">
        <w:t>is asynchronous</w:t>
      </w:r>
      <w:r w:rsidR="00243813" w:rsidRPr="00223E3E">
        <w:t>.</w:t>
      </w:r>
      <w:r w:rsidR="00792E20" w:rsidRPr="00223E3E">
        <w:t xml:space="preserve"> </w:t>
      </w:r>
      <w:r w:rsidR="00243813" w:rsidRPr="00223E3E">
        <w:t xml:space="preserve">Due to latency in the synchronisation of transactions, the </w:t>
      </w:r>
      <w:r w:rsidR="00792E20" w:rsidRPr="00223E3E">
        <w:t>node</w:t>
      </w:r>
      <w:r w:rsidR="00243813" w:rsidRPr="00223E3E">
        <w:t>s</w:t>
      </w:r>
      <w:r w:rsidR="00792E20" w:rsidRPr="00223E3E">
        <w:t xml:space="preserve"> </w:t>
      </w:r>
      <w:r w:rsidR="00FB3E93" w:rsidRPr="00223E3E">
        <w:t>may see</w:t>
      </w:r>
      <w:r w:rsidR="00792E20" w:rsidRPr="00223E3E">
        <w:t xml:space="preserve"> different </w:t>
      </w:r>
      <w:r w:rsidR="00243813" w:rsidRPr="00223E3E">
        <w:t xml:space="preserve">parts of the ledger. This means different </w:t>
      </w:r>
      <w:r w:rsidR="00792E20" w:rsidRPr="00223E3E">
        <w:t>set</w:t>
      </w:r>
      <w:r w:rsidR="003734FF" w:rsidRPr="00223E3E">
        <w:t>s</w:t>
      </w:r>
      <w:r w:rsidR="00792E20" w:rsidRPr="00223E3E">
        <w:t xml:space="preserve"> of </w:t>
      </w:r>
      <w:r w:rsidR="00243813" w:rsidRPr="00223E3E">
        <w:t xml:space="preserve">recent </w:t>
      </w:r>
      <w:r w:rsidR="00792E20" w:rsidRPr="00223E3E">
        <w:t>transactions</w:t>
      </w:r>
      <w:r w:rsidR="00243813" w:rsidRPr="00223E3E">
        <w:t xml:space="preserve"> considered for</w:t>
      </w:r>
      <w:r w:rsidR="003734FF" w:rsidRPr="00223E3E">
        <w:t xml:space="preserve"> approval</w:t>
      </w:r>
      <w:r w:rsidR="00792E20" w:rsidRPr="00223E3E">
        <w:t xml:space="preserve">. This </w:t>
      </w:r>
      <w:r w:rsidR="003734FF" w:rsidRPr="00223E3E">
        <w:t xml:space="preserve">can lead to the temporary existence of </w:t>
      </w:r>
      <w:r w:rsidR="00792E20" w:rsidRPr="00223E3E">
        <w:t>sub-tangles</w:t>
      </w:r>
      <w:r w:rsidR="003734FF" w:rsidRPr="00223E3E">
        <w:t>.</w:t>
      </w:r>
      <w:r w:rsidR="00792E20" w:rsidRPr="00223E3E">
        <w:t xml:space="preserve"> </w:t>
      </w:r>
      <w:r w:rsidR="003734FF" w:rsidRPr="00223E3E">
        <w:t xml:space="preserve">This state is often referred to </w:t>
      </w:r>
      <w:r w:rsidR="00792E20" w:rsidRPr="00223E3E">
        <w:t xml:space="preserve">as offline transactions. If </w:t>
      </w:r>
      <w:r w:rsidR="003734FF" w:rsidRPr="00223E3E">
        <w:t xml:space="preserve">two </w:t>
      </w:r>
      <w:r w:rsidR="00792E20" w:rsidRPr="00223E3E">
        <w:t>conflicting transaction</w:t>
      </w:r>
      <w:r w:rsidR="003734FF" w:rsidRPr="00223E3E">
        <w:t>s</w:t>
      </w:r>
      <w:r w:rsidR="00792E20" w:rsidRPr="00223E3E">
        <w:t xml:space="preserve"> arise, the nodes decide for one to be</w:t>
      </w:r>
      <w:r w:rsidR="003734FF" w:rsidRPr="00223E3E">
        <w:t xml:space="preserve"> left </w:t>
      </w:r>
      <w:r w:rsidR="00792E20" w:rsidRPr="00223E3E">
        <w:t xml:space="preserve">orphaned </w:t>
      </w:r>
      <w:r w:rsidR="00792E20" w:rsidRPr="00223E3E">
        <w:fldChar w:fldCharType="begin" w:fldLock="1"/>
      </w:r>
      <w:r w:rsidR="00792E20" w:rsidRPr="00223E3E">
        <w:instrText>ADDIN CSL_CITATION {"citationItems":[{"id":"ITEM-1","itemData":{"ISSN":"0028-792X","author":[{"dropping-particle":"","family":"Popov","given":"Serguei","non-dropping-particle":"","parse-names":false,"suffix":""}],"container-title":"White Paper","id":"ITEM-1","issued":{"date-parts":[["2018"]]},"title":"The Tangle","type":"report"},"uris":["http://www.mendeley.com/documents/?uuid=e1dfac78-8539-4320-852f-2709d30875b6"]},{"id":"ITEM-2","itemData":{"author":[{"dropping-particle":"","family":"Popov","given":"Serguei","non-dropping-particle":"","parse-names":false,"suffix":""}],"collection-title":"White Paper","id":"ITEM-2","issued":{"date-parts":[["2018"]]},"number-of-pages":"1-10","title":"Local modifiers in the Tangle","type":"report"},"uris":["http://www.mendeley.com/documents/?uuid=7cd0a183-302c-4979-9ba1-ec2334aa2e7d"]}],"mendeley":{"formattedCitation":"(Popov, 2018b, 2018a)","plainTextFormattedCitation":"(Popov, 2018b, 2018a)","previouslyFormattedCitation":"(Popov, 2018b, 2018a)"},"properties":{"noteIndex":0},"schema":"https://github.com/citation-style-language/schema/raw/master/csl-citation.json"}</w:instrText>
      </w:r>
      <w:r w:rsidR="00792E20" w:rsidRPr="00223E3E">
        <w:fldChar w:fldCharType="separate"/>
      </w:r>
      <w:r w:rsidR="00792E20" w:rsidRPr="00223E3E">
        <w:rPr>
          <w:noProof/>
        </w:rPr>
        <w:t>(Popov, 2018b, 2018a)</w:t>
      </w:r>
      <w:r w:rsidR="00792E20" w:rsidRPr="00223E3E">
        <w:fldChar w:fldCharType="end"/>
      </w:r>
      <w:r w:rsidR="00792E20" w:rsidRPr="00223E3E">
        <w:t xml:space="preserve">. </w:t>
      </w:r>
      <w:r w:rsidR="003734FF" w:rsidRPr="00223E3E">
        <w:t>The sequence of block</w:t>
      </w:r>
      <w:r w:rsidR="00243813" w:rsidRPr="00223E3E">
        <w:t>s</w:t>
      </w:r>
      <w:r w:rsidR="003734FF" w:rsidRPr="00223E3E">
        <w:t xml:space="preserve"> in blockchains leads to </w:t>
      </w:r>
      <w:r w:rsidR="00792E20" w:rsidRPr="00223E3E">
        <w:t>synchronous</w:t>
      </w:r>
      <w:r w:rsidR="003734FF" w:rsidRPr="00223E3E">
        <w:t xml:space="preserve"> protocols</w:t>
      </w:r>
      <w:r w:rsidR="00243813" w:rsidRPr="00223E3E">
        <w:t>.</w:t>
      </w:r>
      <w:r w:rsidR="00792E20" w:rsidRPr="00223E3E">
        <w:t xml:space="preserve"> </w:t>
      </w:r>
      <w:r w:rsidR="00243813" w:rsidRPr="00223E3E">
        <w:t>A</w:t>
      </w:r>
      <w:r w:rsidR="00792E20" w:rsidRPr="00223E3E">
        <w:t>t every moment</w:t>
      </w:r>
      <w:r w:rsidR="00243813" w:rsidRPr="00223E3E">
        <w:t>,</w:t>
      </w:r>
      <w:r w:rsidR="00792E20" w:rsidRPr="00223E3E">
        <w:t xml:space="preserve"> </w:t>
      </w:r>
      <w:r w:rsidR="00243813" w:rsidRPr="00223E3E">
        <w:t xml:space="preserve">the validators are </w:t>
      </w:r>
      <w:r w:rsidR="00792E20" w:rsidRPr="00223E3E">
        <w:t>consisten</w:t>
      </w:r>
      <w:r w:rsidR="00243813" w:rsidRPr="00223E3E">
        <w:t>t</w:t>
      </w:r>
      <w:r w:rsidR="00792E20" w:rsidRPr="00223E3E">
        <w:t xml:space="preserve"> </w:t>
      </w:r>
      <w:r w:rsidR="00243813" w:rsidRPr="00223E3E">
        <w:t xml:space="preserve">in regard to </w:t>
      </w:r>
      <w:r w:rsidR="00792E20" w:rsidRPr="00223E3E">
        <w:t>the current state of the ledger.</w:t>
      </w:r>
      <w:r w:rsidR="004C486E" w:rsidRPr="00223E3E">
        <w:t xml:space="preserve"> So as</w:t>
      </w:r>
      <w:r w:rsidR="00792E20" w:rsidRPr="00223E3E">
        <w:t xml:space="preserve"> to ensure synchroni</w:t>
      </w:r>
      <w:r w:rsidR="00243813" w:rsidRPr="00223E3E">
        <w:t>s</w:t>
      </w:r>
      <w:r w:rsidR="00792E20" w:rsidRPr="00223E3E">
        <w:t xml:space="preserve">ation among </w:t>
      </w:r>
      <w:r w:rsidR="004C486E" w:rsidRPr="00223E3E">
        <w:t xml:space="preserve">all </w:t>
      </w:r>
      <w:r w:rsidR="00792E20" w:rsidRPr="00223E3E">
        <w:t>validators</w:t>
      </w:r>
      <w:r w:rsidR="004C486E" w:rsidRPr="00223E3E">
        <w:t>,</w:t>
      </w:r>
      <w:r w:rsidR="00792E20" w:rsidRPr="00223E3E">
        <w:t xml:space="preserve"> the average block creation time</w:t>
      </w:r>
      <w:r w:rsidR="004C486E" w:rsidRPr="00223E3E">
        <w:t xml:space="preserve"> in blockchain protocols is controlled</w:t>
      </w:r>
      <w:r w:rsidR="00792E20" w:rsidRPr="00223E3E">
        <w:t xml:space="preserve">. </w:t>
      </w:r>
      <w:r w:rsidR="004C486E" w:rsidRPr="00223E3E">
        <w:t xml:space="preserve">Evenly, </w:t>
      </w:r>
      <w:r w:rsidR="00792E20" w:rsidRPr="00223E3E">
        <w:t>block</w:t>
      </w:r>
      <w:r w:rsidR="004C486E" w:rsidRPr="00223E3E">
        <w:t>s</w:t>
      </w:r>
      <w:r w:rsidR="00792E20" w:rsidRPr="00223E3E">
        <w:t xml:space="preserve"> </w:t>
      </w:r>
      <w:r w:rsidR="004C486E" w:rsidRPr="00223E3E">
        <w:t xml:space="preserve">have a </w:t>
      </w:r>
      <w:r w:rsidR="00792E20" w:rsidRPr="00223E3E">
        <w:t xml:space="preserve">predefined </w:t>
      </w:r>
      <w:r w:rsidR="00792E20" w:rsidRPr="00223E3E">
        <w:lastRenderedPageBreak/>
        <w:t>maximum size</w:t>
      </w:r>
      <w:r w:rsidR="004C486E" w:rsidRPr="00223E3E">
        <w:t xml:space="preserve"> that </w:t>
      </w:r>
      <w:r w:rsidR="00792E20" w:rsidRPr="00223E3E">
        <w:t xml:space="preserve">determines the amount of data, respectively </w:t>
      </w:r>
      <w:r w:rsidR="004C486E" w:rsidRPr="00223E3E">
        <w:t xml:space="preserve">the number of </w:t>
      </w:r>
      <w:r w:rsidR="00792E20" w:rsidRPr="00223E3E">
        <w:t xml:space="preserve">transactions </w:t>
      </w:r>
      <w:r w:rsidR="004C486E" w:rsidRPr="00223E3E">
        <w:t xml:space="preserve">they can include </w:t>
      </w:r>
      <w:r w:rsidR="00792E20" w:rsidRPr="00223E3E">
        <w:fldChar w:fldCharType="begin" w:fldLock="1"/>
      </w:r>
      <w:r w:rsidR="00792E20" w:rsidRPr="00223E3E">
        <w:instrText>ADDIN CSL_CITATION {"citationItems":[{"id":"ITEM-1","itemData":{"abstract":"Satoshi Nakamoto's development of Bitcoin in 2009 has often been hailed as a radical development in money and currency, being the first example of a digital asset which simultaneously has no backing or \"intrinsic value\" and no centralized issuer or controller. However, another, arguably more important, part of the Bitcoin experiment is the underlying blockchain technology as a tool of distributed consensus, and attention is rapidly starting to shift to this other aspect of Bitcoin. Commonly cited alternative applications of blockchain technology include using on-blockchain digital assets to represent custom currencies and financial instruments (\"colored coins\"), the ownership of an underlying physical device (\"smart property\"), non-fungible assets such as domain names (\"Namecoin\"), as well as more complex applications involving having digital assets being directly controlled by a piece of code implementing arbitrary rules (\"smart contracts\") or even blockchain-based \"decentralized autonomous organizations\" (DAOs). What Ethereum intends to provide is a blockchain with a built-in fully fledged Turing-complete programming language that can be used to create \"contracts\" that can be used to encode arbitrary state transition functions, allowing users to create any of the systems described above, as well as many others that we have not yet imagined, simply by writing up the logic in a few lines of code.","author":[{"dropping-particle":"","family":"Buterin","given":"Vitalik","non-dropping-particle":"","parse-names":false,"suffix":""}],"container-title":"Etherum","id":"ITEM-1","issue":"January","issued":{"date-parts":[["2014"]]},"page":"1-36","title":"A next-generation smart contract and decentralized application platform","type":"article-journal"},"uris":["http://www.mendeley.com/documents/?uuid=71106cd6-947c-4f2f-b947-33503e49d645","http://www.mendeley.com/documents/?uuid=af6a5ca3-5937-44ce-b8ef-ceef053a5599"]},{"id":"ITEM-2","itemData":{"abstract":"Just as decentralization communication systems lead to the creation of the Internet, today a new technology — the blockchain — has the potential to decentralize the way we store data and manage information, potentially leading to a reduced role for one of the most important regulatory actors in our society: the middleman. Blockchain technology enables the creation of decentralized currencies, self-executing digital contracts (smart contracts) and intelligent assets that can be controlled over the Internet (smart property). The blockchain also enables the development of new governance systems with more democratic or participatory decision-making, and decentralized (autonomous) organizations that can operate over a network of computers without any human intervention. These applications have lead many to compare the blockchain to the Internet, with accompanying predictions that this technology will shift the balance of power away from centralized authorities in the field of communications, business, and even politics or law.In this Article, we explore the benefits and drawbacks of this emerging decentralized technology and argue that its widespread deployment will lead to expansion of a new subset of law, which we term Lex Cryptographia: rules administered through self-executing smart contracts and decentralized (autonomous) organizations. As blockchain technology becomes widely adopted, centralized authorities, such as governmental agencies and large multinational corporations, could lose the ability to control and shape the activities of disparate people through existing means. As a result, there will be an increasing need to focus on how to regulate blockchain technology and how to shape the creation and deployment of these emerging decentralized organizations in ways that have yet to be explored under current legal theory.","author":[{"dropping-particle":"","family":"Wright","given":"Aaron","non-dropping-particle":"","parse-names":false,"suffix":""},{"dropping-particle":"","family":"Filippi","given":"Primavera","non-dropping-particle":"De","parse-names":false,"suffix":""}],"container-title":"SSRN Electronic Journal","id":"ITEM-2","issued":{"date-parts":[["2015"]]},"title":"Decentralized Blockchain Technology and the Rise of Lex Cryptographia","type":"article-journal"},"uris":["http://www.mendeley.com/documents/?uuid=cda8555f-6405-45df-b656-1d0b55a54749","http://www.mendeley.com/documents/?uuid=b1354c37-a908-475e-ade9-23563c11e8a7","http://www.mendeley.com/documents/?uuid=9e7bf27b-6352-4067-9bd9-7aa1145e8b42"]}],"mendeley":{"formattedCitation":"(Buterin, 2014; Wright &amp; De Filippi, 2015)","plainTextFormattedCitation":"(Buterin, 2014; Wright &amp; De Filippi, 2015)","previouslyFormattedCitation":"(Buterin, 2014; Wright &amp; De Filippi, 2015)"},"properties":{"noteIndex":0},"schema":"https://github.com/citation-style-language/schema/raw/master/csl-citation.json"}</w:instrText>
      </w:r>
      <w:r w:rsidR="00792E20" w:rsidRPr="00223E3E">
        <w:fldChar w:fldCharType="separate"/>
      </w:r>
      <w:r w:rsidR="00792E20" w:rsidRPr="00223E3E">
        <w:rPr>
          <w:noProof/>
        </w:rPr>
        <w:t>(Buterin, 2014; Wright &amp; De Filippi, 2015)</w:t>
      </w:r>
      <w:r w:rsidR="00792E20" w:rsidRPr="00223E3E">
        <w:fldChar w:fldCharType="end"/>
      </w:r>
      <w:r w:rsidR="00792E20" w:rsidRPr="00223E3E">
        <w:t xml:space="preserve">. </w:t>
      </w:r>
      <w:r w:rsidR="004C486E" w:rsidRPr="00223E3E">
        <w:t>As a result</w:t>
      </w:r>
      <w:r w:rsidR="00792E20" w:rsidRPr="00223E3E">
        <w:t xml:space="preserve">, the amount of confirmed transactions per seconds (CTPS) on a blockchain like </w:t>
      </w:r>
      <w:r w:rsidR="00792E20" w:rsidRPr="00223E3E">
        <w:rPr>
          <w:i/>
        </w:rPr>
        <w:t>Bitcoin</w:t>
      </w:r>
      <w:r w:rsidR="00792E20" w:rsidRPr="00223E3E">
        <w:t xml:space="preserve"> is about 7 </w:t>
      </w:r>
      <w:r w:rsidR="00792E20" w:rsidRPr="00223E3E">
        <w:fldChar w:fldCharType="begin" w:fldLock="1"/>
      </w:r>
      <w:r w:rsidR="00792E20" w:rsidRPr="00223E3E">
        <w:instrText>ADDIN CSL_CITATION {"citationItems":[{"id":"ITEM-1","itemData":{"abstract":"The increasing popularity of blockchain-based cryptocurren-cies has made scalability a primary and urgent concern. We analyze how fundamental and circumstantial bottlenecks in Bitcoin limit the abil-ity of its current peer-to-peer overlay network to support substantially higher throughputs and lower latencies. Our results suggest that repa-rameterization of block size and intervals should be viewed only as a first increment toward achieving next-generation, high-load blockchain proto-cols, and major advances will additionally require a basic rethinking of technical approaches. We offer a structured perspective on the design space for such approaches. Within this perspective, we enumerate and briefly discuss a number of recently proposed protocol ideas and offer several new ideas and open challenges.","author":[{"dropping-particle":"","family":"Croman","given":"Kyle","non-dropping-particle":"","parse-names":false,"suffix":""},{"dropping-particle":"","family":"Decker","given":"Christian","non-dropping-particle":"","parse-names":false,"suffix":""},{"dropping-particle":"","family":"Eyal","given":"Ittay","non-dropping-particle":"","parse-names":false,"suffix":""},{"dropping-particle":"","family":"Efe Gencer","given":"Adem","non-dropping-particle":"","parse-names":false,"suffix":""},{"dropping-particle":"","family":"Juels","given":"Ari","non-dropping-particle":"","parse-names":false,"suffix":""},{"dropping-particle":"","family":"Kosba","given":"Ahmed","non-dropping-particle":"","parse-names":false,"suffix":""},{"dropping-particle":"","family":"Miller","given":"Andrew","non-dropping-particle":"","parse-names":false,"suffix":""},{"dropping-particle":"","family":"Saxena","given":"Prateek","non-dropping-particle":"","parse-names":false,"suffix":""},{"dropping-particle":"","family":"Shi","given":"Elaine","non-dropping-particle":"","parse-names":false,"suffix":""},{"dropping-particle":"","family":"Gün Sirer","given":"Emin","non-dropping-particle":"","parse-names":false,"suffix":""},{"dropping-particle":"","family":"Song","given":"Dawn","non-dropping-particle":"","parse-names":false,"suffix":""},{"dropping-particle":"","family":"Wattenhofer","given":"Roger","non-dropping-particle":"","parse-names":false,"suffix":""}],"container-title":"International Conference on Financial Cryptography and Data Security","id":"ITEM-1","issued":{"date-parts":[["2016"]]},"page":"106-125","title":"On Scaling Decentralized Blockchains","type":"article-journal"},"uris":["http://www.mendeley.com/documents/?uuid=d3fe118c-7617-4985-9606-d3d10519009f"]}],"mendeley":{"formattedCitation":"(Croman et al., 2016)","plainTextFormattedCitation":"(Croman et al., 2016)","previouslyFormattedCitation":"(Croman et al., 2016)"},"properties":{"noteIndex":0},"schema":"https://github.com/citation-style-language/schema/raw/master/csl-citation.json"}</w:instrText>
      </w:r>
      <w:r w:rsidR="00792E20" w:rsidRPr="00223E3E">
        <w:fldChar w:fldCharType="separate"/>
      </w:r>
      <w:r w:rsidR="00792E20" w:rsidRPr="00223E3E">
        <w:rPr>
          <w:noProof/>
        </w:rPr>
        <w:t>(Croman et al., 2016)</w:t>
      </w:r>
      <w:r w:rsidR="00792E20" w:rsidRPr="00223E3E">
        <w:fldChar w:fldCharType="end"/>
      </w:r>
      <w:r w:rsidR="00792E20" w:rsidRPr="00223E3E">
        <w:t xml:space="preserve">. </w:t>
      </w:r>
      <w:r w:rsidR="004C486E" w:rsidRPr="00223E3E">
        <w:t xml:space="preserve">However, </w:t>
      </w:r>
      <w:r w:rsidR="00792E20" w:rsidRPr="00223E3E">
        <w:t xml:space="preserve">the asynchronous nature of the </w:t>
      </w:r>
      <w:r w:rsidR="004C486E" w:rsidRPr="00223E3E">
        <w:t xml:space="preserve">IOTA </w:t>
      </w:r>
      <w:r w:rsidR="00792E20" w:rsidRPr="00223E3E">
        <w:t xml:space="preserve">Tangle </w:t>
      </w:r>
      <w:r w:rsidR="001F5682" w:rsidRPr="00223E3E">
        <w:t xml:space="preserve">also </w:t>
      </w:r>
      <w:r w:rsidR="004C486E" w:rsidRPr="00223E3E">
        <w:t>causes challenges</w:t>
      </w:r>
      <w:r w:rsidR="00C96EF8" w:rsidRPr="00223E3E">
        <w:t xml:space="preserve"> </w:t>
      </w:r>
      <w:r w:rsidR="004C486E" w:rsidRPr="00223E3E">
        <w:t xml:space="preserve">to </w:t>
      </w:r>
      <w:r w:rsidR="001F5682" w:rsidRPr="00223E3E">
        <w:t>include</w:t>
      </w:r>
      <w:r w:rsidR="004C486E" w:rsidRPr="00223E3E">
        <w:t xml:space="preserve"> </w:t>
      </w:r>
      <w:r w:rsidR="00C96EF8" w:rsidRPr="00223E3E">
        <w:t xml:space="preserve">timestamps </w:t>
      </w:r>
      <w:r w:rsidR="001F5682" w:rsidRPr="00223E3E">
        <w:t>for</w:t>
      </w:r>
      <w:r w:rsidR="00C96EF8" w:rsidRPr="00223E3E">
        <w:t xml:space="preserve"> </w:t>
      </w:r>
      <w:r w:rsidR="004C486E" w:rsidRPr="00223E3E">
        <w:t xml:space="preserve">each </w:t>
      </w:r>
      <w:r w:rsidR="00C96EF8" w:rsidRPr="00223E3E">
        <w:t>transaction.</w:t>
      </w:r>
      <w:r w:rsidR="00792E20" w:rsidRPr="00223E3E">
        <w:t xml:space="preserve"> </w:t>
      </w:r>
      <w:r w:rsidR="001F5682" w:rsidRPr="00223E3E">
        <w:t xml:space="preserve">Timestamps </w:t>
      </w:r>
      <w:r w:rsidR="00792E20" w:rsidRPr="00223E3E">
        <w:t>a</w:t>
      </w:r>
      <w:r w:rsidR="001F5682" w:rsidRPr="00223E3E">
        <w:t>re</w:t>
      </w:r>
      <w:r w:rsidR="00792E20" w:rsidRPr="00223E3E">
        <w:t xml:space="preserve"> necessary for </w:t>
      </w:r>
      <w:r w:rsidR="001F5682" w:rsidRPr="00223E3E">
        <w:t xml:space="preserve">the development of </w:t>
      </w:r>
      <w:r w:rsidR="00792E20" w:rsidRPr="00223E3E">
        <w:t>smart contracts</w:t>
      </w:r>
      <w:r w:rsidR="001F5682" w:rsidRPr="00223E3E">
        <w:t>, an often highlighted feature of DLT</w:t>
      </w:r>
      <w:r w:rsidR="00792E20" w:rsidRPr="00223E3E">
        <w:t xml:space="preserve"> that allow for the automated execution of transactions</w:t>
      </w:r>
      <w:r w:rsidR="001F5682" w:rsidRPr="00223E3E">
        <w:t xml:space="preserve"> (Tapscott &amp; Tapscott, 2016)</w:t>
      </w:r>
      <w:r w:rsidR="00792E20" w:rsidRPr="00223E3E">
        <w:t>.</w:t>
      </w:r>
    </w:p>
    <w:p w14:paraId="6770B8EA" w14:textId="1E326B4E" w:rsidR="00792E20" w:rsidRPr="00223E3E" w:rsidRDefault="001F5682" w:rsidP="00792E20">
      <w:r w:rsidRPr="00223E3E">
        <w:t>Both</w:t>
      </w:r>
      <w:r w:rsidR="00792E20" w:rsidRPr="00223E3E">
        <w:t xml:space="preserve"> </w:t>
      </w:r>
      <w:r w:rsidRPr="00223E3E">
        <w:t xml:space="preserve">the dominant blockchain protocols and the IOTA </w:t>
      </w:r>
      <w:r w:rsidR="00792E20" w:rsidRPr="00223E3E">
        <w:t xml:space="preserve">Tangle allow for </w:t>
      </w:r>
      <w:r w:rsidRPr="00223E3E">
        <w:t xml:space="preserve">the development of higher-level </w:t>
      </w:r>
      <w:r w:rsidR="00792E20" w:rsidRPr="00223E3E">
        <w:t xml:space="preserve">infrastructure. One of </w:t>
      </w:r>
      <w:r w:rsidRPr="00223E3E">
        <w:t xml:space="preserve">such modules, specific to </w:t>
      </w:r>
      <w:r w:rsidR="00792E20" w:rsidRPr="00223E3E">
        <w:t>IOTA</w:t>
      </w:r>
      <w:r w:rsidRPr="00223E3E">
        <w:t xml:space="preserve"> </w:t>
      </w:r>
      <w:r w:rsidR="00792E20" w:rsidRPr="00223E3E">
        <w:t xml:space="preserve">distinct is </w:t>
      </w:r>
      <w:r w:rsidR="00792E20" w:rsidRPr="00223E3E">
        <w:rPr>
          <w:i/>
        </w:rPr>
        <w:t>Masked Authenticated Messaging</w:t>
      </w:r>
      <w:r w:rsidRPr="00223E3E">
        <w:rPr>
          <w:i/>
        </w:rPr>
        <w:t>.</w:t>
      </w:r>
      <w:r w:rsidR="00792E20" w:rsidRPr="00223E3E">
        <w:t xml:space="preserve"> </w:t>
      </w:r>
      <w:r w:rsidRPr="00223E3E">
        <w:t xml:space="preserve">It is </w:t>
      </w:r>
      <w:r w:rsidR="00792E20" w:rsidRPr="00223E3E">
        <w:t>a second layer protocol</w:t>
      </w:r>
      <w:r w:rsidRPr="00223E3E">
        <w:t xml:space="preserve"> that enables the issuing</w:t>
      </w:r>
      <w:r w:rsidR="00792E20" w:rsidRPr="00223E3E">
        <w:t xml:space="preserve"> and access </w:t>
      </w:r>
      <w:r w:rsidRPr="00223E3E">
        <w:t xml:space="preserve">of </w:t>
      </w:r>
      <w:r w:rsidR="00792E20" w:rsidRPr="00223E3E">
        <w:t xml:space="preserve">encrypted data streams </w:t>
      </w:r>
      <w:r w:rsidR="00792E20" w:rsidRPr="00223E3E">
        <w:fldChar w:fldCharType="begin" w:fldLock="1"/>
      </w:r>
      <w:r w:rsidR="00792E20" w:rsidRPr="00223E3E">
        <w:instrText>ADDIN CSL_CITATION {"citationItems":[{"id":"ITEM-1","itemData":{"URL":"https://blog.iota.org/introducing-masked-authenticated-messaging-e55c1822d50e","accessed":{"date-parts":[["2018","6","18"]]},"author":[{"dropping-particle":"","family":"Handy","given":"Paul","non-dropping-particle":"","parse-names":false,"suffix":""}],"container-title":"blog.iota.org","id":"ITEM-1","issued":{"date-parts":[["2017"]]},"title":"Introducing Masked Authenticated Messaging","type":"webpage"},"uris":["http://www.mendeley.com/documents/?uuid=c4aae34e-741c-475c-82f8-ff05b2a54c39"]}],"mendeley":{"formattedCitation":"(Handy, 2017)","plainTextFormattedCitation":"(Handy, 2017)","previouslyFormattedCitation":"(Handy, 2017)"},"properties":{"noteIndex":0},"schema":"https://github.com/citation-style-language/schema/raw/master/csl-citation.json"}</w:instrText>
      </w:r>
      <w:r w:rsidR="00792E20" w:rsidRPr="00223E3E">
        <w:fldChar w:fldCharType="separate"/>
      </w:r>
      <w:r w:rsidR="00792E20" w:rsidRPr="00223E3E">
        <w:rPr>
          <w:noProof/>
        </w:rPr>
        <w:t>(Handy, 2017)</w:t>
      </w:r>
      <w:r w:rsidR="00792E20" w:rsidRPr="00223E3E">
        <w:fldChar w:fldCharType="end"/>
      </w:r>
      <w:r w:rsidR="00792E20" w:rsidRPr="00223E3E">
        <w:t xml:space="preserve">. </w:t>
      </w:r>
    </w:p>
    <w:p w14:paraId="6A72CA1D" w14:textId="7054CEE6" w:rsidR="00792E20" w:rsidRPr="00223E3E" w:rsidRDefault="004B06AE" w:rsidP="00792E20">
      <w:r w:rsidRPr="00223E3E">
        <w:t xml:space="preserve">In its current implementation the IOTA Tangle relies on a trusted node. This so called </w:t>
      </w:r>
      <w:r w:rsidRPr="00223E3E">
        <w:rPr>
          <w:i/>
        </w:rPr>
        <w:t xml:space="preserve">‘coordinator’ </w:t>
      </w:r>
      <w:r w:rsidRPr="00223E3E">
        <w:t>regularly issues ‘milestone’-transactions</w:t>
      </w:r>
      <w:r w:rsidRPr="00223E3E">
        <w:rPr>
          <w:i/>
        </w:rPr>
        <w:t xml:space="preserve"> </w:t>
      </w:r>
      <w:r w:rsidRPr="00223E3E">
        <w:t xml:space="preserve">and only transactions directly or indirectly approved by a milestone-transaction are considered valid. This mechanism serves </w:t>
      </w:r>
      <w:r w:rsidR="00792E20" w:rsidRPr="00223E3E">
        <w:t xml:space="preserve">to protect the </w:t>
      </w:r>
      <w:r w:rsidR="001F5682" w:rsidRPr="00223E3E">
        <w:t>protocol</w:t>
      </w:r>
      <w:r w:rsidR="00792E20" w:rsidRPr="00223E3E">
        <w:t xml:space="preserve"> from </w:t>
      </w:r>
      <w:r w:rsidRPr="00223E3E">
        <w:t xml:space="preserve">malicious </w:t>
      </w:r>
      <w:r w:rsidR="00792E20" w:rsidRPr="00223E3E">
        <w:t>attacks until sufficient activity</w:t>
      </w:r>
      <w:r w:rsidRPr="00223E3E">
        <w:t xml:space="preserve"> makes the network robust against such attacks.</w:t>
      </w:r>
      <w:r w:rsidR="00792E20" w:rsidRPr="00223E3E">
        <w:t xml:space="preserve"> </w:t>
      </w:r>
      <w:r w:rsidRPr="00223E3E">
        <w:t xml:space="preserve">The coordinator </w:t>
      </w:r>
      <w:r w:rsidR="00792E20" w:rsidRPr="00223E3E">
        <w:t>essentially centrali</w:t>
      </w:r>
      <w:r w:rsidR="00595818">
        <w:t>s</w:t>
      </w:r>
      <w:r w:rsidR="00792E20" w:rsidRPr="00223E3E">
        <w:t>es the network. The IOTA Foundation, responsible for maintaining and optimi</w:t>
      </w:r>
      <w:r w:rsidR="009453B0">
        <w:t>si</w:t>
      </w:r>
      <w:r w:rsidR="00792E20" w:rsidRPr="00223E3E">
        <w:t xml:space="preserve">ng the protocol, intends to remove </w:t>
      </w:r>
      <w:r w:rsidRPr="00223E3E">
        <w:t xml:space="preserve">it </w:t>
      </w:r>
      <w:r w:rsidR="00792E20" w:rsidRPr="00223E3E">
        <w:t xml:space="preserve">or replace </w:t>
      </w:r>
      <w:r w:rsidRPr="00223E3E">
        <w:t xml:space="preserve">the node </w:t>
      </w:r>
      <w:r w:rsidR="00792E20" w:rsidRPr="00223E3E">
        <w:t xml:space="preserve">by a set of distributed trusted </w:t>
      </w:r>
      <w:r w:rsidRPr="00223E3E">
        <w:t xml:space="preserve">ones </w:t>
      </w:r>
      <w:r w:rsidR="00792E20" w:rsidRPr="00223E3E">
        <w:t xml:space="preserve">in the near future </w:t>
      </w:r>
      <w:r w:rsidR="00792E20" w:rsidRPr="00223E3E">
        <w:fldChar w:fldCharType="begin" w:fldLock="1"/>
      </w:r>
      <w:r w:rsidR="00792E20" w:rsidRPr="00223E3E">
        <w:instrText>ADDIN CSL_CITATION {"citationItems":[{"id":"ITEM-1","itemData":{"author":[{"dropping-particle":"","family":"Bramas","given":"Quentin","non-dropping-particle":"","parse-names":false,"suffix":""}],"id":"ITEM-1","issued":{"date-parts":[["2018"]]},"title":"The Stability and the Security of the Tangle To cite this version : HAL Id : hal-01716111","type":"article-journal"},"uris":["http://www.mendeley.com/documents/?uuid=32b89d7f-6049-4be7-a799-6e85277c9e8e","http://www.mendeley.com/documents/?uuid=cf7f9b61-fdff-4e98-8b8f-0495af272ad3"]}],"mendeley":{"formattedCitation":"(Bramas, 2018)","plainTextFormattedCitation":"(Bramas, 2018)","previouslyFormattedCitation":"(Bramas, 2018)"},"properties":{"noteIndex":0},"schema":"https://github.com/citation-style-language/schema/raw/master/csl-citation.json"}</w:instrText>
      </w:r>
      <w:r w:rsidR="00792E20" w:rsidRPr="00223E3E">
        <w:fldChar w:fldCharType="separate"/>
      </w:r>
      <w:r w:rsidR="00792E20" w:rsidRPr="00223E3E">
        <w:rPr>
          <w:noProof/>
        </w:rPr>
        <w:t>(Bramas, 2018)</w:t>
      </w:r>
      <w:r w:rsidR="00792E20" w:rsidRPr="00223E3E">
        <w:fldChar w:fldCharType="end"/>
      </w:r>
      <w:r w:rsidR="00792E20" w:rsidRPr="00223E3E">
        <w:t xml:space="preserve">. </w:t>
      </w:r>
    </w:p>
    <w:p w14:paraId="2C30D798" w14:textId="68CBAF2B" w:rsidR="00792E20" w:rsidRPr="00223E3E" w:rsidRDefault="00792E20" w:rsidP="00ED5260">
      <w:pPr>
        <w:pStyle w:val="Heading1"/>
      </w:pPr>
      <w:bookmarkStart w:id="8" w:name="_Toc1632039"/>
      <w:r w:rsidRPr="00223E3E">
        <w:t>Methodology</w:t>
      </w:r>
      <w:bookmarkEnd w:id="8"/>
    </w:p>
    <w:p w14:paraId="03796E11" w14:textId="2005C607" w:rsidR="00792E20" w:rsidRPr="00223E3E" w:rsidRDefault="00B81F24" w:rsidP="00792E20">
      <w:r w:rsidRPr="00223E3E">
        <w:t xml:space="preserve">This </w:t>
      </w:r>
      <w:r w:rsidR="00792E20" w:rsidRPr="00223E3E">
        <w:t>research address</w:t>
      </w:r>
      <w:r w:rsidRPr="00223E3E">
        <w:t>es</w:t>
      </w:r>
      <w:r w:rsidR="00792E20" w:rsidRPr="00223E3E">
        <w:t xml:space="preserve"> the question of how </w:t>
      </w:r>
      <w:r w:rsidRPr="00223E3E">
        <w:t xml:space="preserve">the IOTA Tangle </w:t>
      </w:r>
      <w:r w:rsidR="00792E20" w:rsidRPr="00223E3E">
        <w:t xml:space="preserve">facilitates new logics for </w:t>
      </w:r>
      <w:r w:rsidR="006035CB" w:rsidRPr="00223E3E">
        <w:t>organisation</w:t>
      </w:r>
      <w:r w:rsidRPr="00223E3E">
        <w:t xml:space="preserve">s </w:t>
      </w:r>
      <w:r w:rsidR="00792E20" w:rsidRPr="00223E3E">
        <w:t xml:space="preserve">to </w:t>
      </w:r>
      <w:r w:rsidRPr="00223E3E">
        <w:t xml:space="preserve">propose, </w:t>
      </w:r>
      <w:r w:rsidR="00792E20" w:rsidRPr="00223E3E">
        <w:t xml:space="preserve">create and capture value. Given the lack of theory </w:t>
      </w:r>
      <w:r w:rsidRPr="00223E3E">
        <w:t xml:space="preserve">that can </w:t>
      </w:r>
      <w:r w:rsidR="00792E20" w:rsidRPr="00223E3E">
        <w:t>explain</w:t>
      </w:r>
      <w:r w:rsidRPr="00223E3E">
        <w:t xml:space="preserve"> </w:t>
      </w:r>
      <w:r w:rsidR="00792E20" w:rsidRPr="00223E3E">
        <w:t>these mechanisms</w:t>
      </w:r>
      <w:r w:rsidRPr="00223E3E">
        <w:t>,</w:t>
      </w:r>
      <w:r w:rsidR="00792E20" w:rsidRPr="00223E3E">
        <w:t xml:space="preserve"> I </w:t>
      </w:r>
      <w:r w:rsidRPr="00223E3E">
        <w:t xml:space="preserve">applied </w:t>
      </w:r>
      <w:r w:rsidR="00792E20" w:rsidRPr="00223E3E">
        <w:t xml:space="preserve">an explorative multiple case study </w:t>
      </w:r>
      <w:r w:rsidRPr="00223E3E">
        <w:t xml:space="preserve">to </w:t>
      </w:r>
      <w:r w:rsidR="00523267" w:rsidRPr="00223E3E">
        <w:t xml:space="preserve">facilitate </w:t>
      </w:r>
      <w:r w:rsidR="00792E20" w:rsidRPr="00223E3E">
        <w:t xml:space="preserve">inductive </w:t>
      </w:r>
      <w:r w:rsidRPr="00223E3E">
        <w:t>theory</w:t>
      </w:r>
      <w:r w:rsidR="00792E20" w:rsidRPr="00223E3E">
        <w:t xml:space="preserve"> </w:t>
      </w:r>
      <w:r w:rsidR="00523267" w:rsidRPr="00223E3E">
        <w:t xml:space="preserve">building </w:t>
      </w:r>
      <w:r w:rsidR="00792E20" w:rsidRPr="00223E3E">
        <w:fldChar w:fldCharType="begin" w:fldLock="1"/>
      </w:r>
      <w:r w:rsidR="00E4783A" w:rsidRPr="00223E3E">
        <w:instrText>ADDIN CSL_CITATION {"citationItems":[{"id":"ITEM-1","itemData":{"author":[{"dropping-particle":"","family":"Eisenhardt","given":"Kathleen M","non-dropping-particle":"","parse-names":false,"suffix":""}],"container-title":"Academy of Management Review","id":"ITEM-1","issue":"4","issued":{"date-parts":[["1989"]]},"page":"532-550","title":"Building Theories from Case Study Research","type":"article-journal","volume":"14"},"uris":["http://www.mendeley.com/documents/?uuid=0b393c97-7ca8-41ab-aeb7-0e5fd1a4f93e"]},{"id":"ITEM-2","itemData":{"author":[{"dropping-particle":"","family":"Yin","given":"Robert K","non-dropping-particle":"","parse-names":false,"suffix":""}],"edition":"5th","id":"ITEM-2","issued":{"date-parts":[["2014"]]},"publisher":"Sage","publisher-place":"Thousand Oaks, CA","title":"Case Study Research: Design and Methods","type":"book"},"uris":["http://www.mendeley.com/documents/?uuid=a4e200f8-a54b-49a5-828a-21445c0d2b2d"]}],"mendeley":{"formattedCitation":"(Eisenhardt, 1989; Yin, 2014)","plainTextFormattedCitation":"(Eisenhardt, 1989; Yin, 2014)","previouslyFormattedCitation":"(Eisenhardt, 1989; Yin, 2014)"},"properties":{"noteIndex":0},"schema":"https://github.com/citation-style-language/schema/raw/master/csl-citation.json"}</w:instrText>
      </w:r>
      <w:r w:rsidR="00792E20" w:rsidRPr="00223E3E">
        <w:fldChar w:fldCharType="separate"/>
      </w:r>
      <w:r w:rsidR="00792E20" w:rsidRPr="00223E3E">
        <w:rPr>
          <w:noProof/>
        </w:rPr>
        <w:t>(Eisenhardt, 1989; Yin, 2014)</w:t>
      </w:r>
      <w:r w:rsidR="00792E20" w:rsidRPr="00223E3E">
        <w:fldChar w:fldCharType="end"/>
      </w:r>
      <w:r w:rsidR="00792E20" w:rsidRPr="00223E3E">
        <w:t xml:space="preserve">. </w:t>
      </w:r>
      <w:r w:rsidR="00523267" w:rsidRPr="00223E3E">
        <w:t>Consistent</w:t>
      </w:r>
      <w:r w:rsidR="00792E20" w:rsidRPr="00223E3E">
        <w:t xml:space="preserve"> with my post</w:t>
      </w:r>
      <w:r w:rsidR="00523267" w:rsidRPr="00223E3E">
        <w:t>-</w:t>
      </w:r>
      <w:r w:rsidR="00792E20" w:rsidRPr="00223E3E">
        <w:t xml:space="preserve">positivist stance, my research </w:t>
      </w:r>
      <w:r w:rsidR="00523267" w:rsidRPr="00223E3E">
        <w:t xml:space="preserve">is grounded </w:t>
      </w:r>
      <w:r w:rsidR="00792E20" w:rsidRPr="00223E3E">
        <w:t xml:space="preserve">on </w:t>
      </w:r>
      <w:r w:rsidR="00523267" w:rsidRPr="00223E3E">
        <w:t xml:space="preserve">empirical </w:t>
      </w:r>
      <w:r w:rsidR="00792E20" w:rsidRPr="00223E3E">
        <w:t xml:space="preserve">insights from ten cases </w:t>
      </w:r>
      <w:r w:rsidR="00523267" w:rsidRPr="00223E3E">
        <w:t xml:space="preserve">that allow for </w:t>
      </w:r>
      <w:r w:rsidR="00C96EF8" w:rsidRPr="00223E3E">
        <w:t>more generali</w:t>
      </w:r>
      <w:r w:rsidR="009453B0">
        <w:t>sa</w:t>
      </w:r>
      <w:r w:rsidR="00C96EF8" w:rsidRPr="00223E3E">
        <w:t>ble theories</w:t>
      </w:r>
      <w:r w:rsidR="00792E20" w:rsidRPr="00223E3E">
        <w:t xml:space="preserve"> </w:t>
      </w:r>
      <w:r w:rsidR="00523267" w:rsidRPr="00223E3E">
        <w:t xml:space="preserve">in </w:t>
      </w:r>
      <w:r w:rsidR="00792E20" w:rsidRPr="00223E3E">
        <w:t>compar</w:t>
      </w:r>
      <w:r w:rsidR="00523267" w:rsidRPr="00223E3E">
        <w:t>ison</w:t>
      </w:r>
      <w:r w:rsidR="00792E20" w:rsidRPr="00223E3E">
        <w:t xml:space="preserve"> to a single case study </w:t>
      </w:r>
      <w:r w:rsidR="00792E20" w:rsidRPr="00223E3E">
        <w:fldChar w:fldCharType="begin" w:fldLock="1"/>
      </w:r>
      <w:r w:rsidR="00792E20" w:rsidRPr="00223E3E">
        <w:instrText>ADDIN CSL_CITATION {"citationItems":[{"id":"ITEM-1","itemData":{"abstract":"This article discusses the research strategy of theory building from cases, particularly multiple cases. Such a strategy involves using one or more cases to create theoretical constructs, propositions, and/or midrange theory from case-based, empirical evidence. Replication logic means that each case serves as a distinct experiment that stands on its own merits as an analytic unit. The frequent use of case studies as a research strategy has given rise to some challenges that can be mitigated by the use of very precise wording and thoughtful research design.","author":[{"dropping-particle":"","family":"Eisenhardt","given":"Kathleen M.","non-dropping-particle":"","parse-names":false,"suffix":""},{"dropping-particle":"","family":"Graebner","given":"Melissa E.","non-dropping-particle":"","parse-names":false,"suffix":""}],"container-title":"Academy of Management Journal","id":"ITEM-1","issued":{"date-parts":[["2007"]]},"title":"Theory building from cases: Opportunities and challenges","type":"article-journal"},"uris":["http://www.mendeley.com/documents/?uuid=fbaad3f4-e519-3d60-8e27-98450e9c86eb"]}],"mendeley":{"formattedCitation":"(Eisenhardt &amp; Graebner, 2007)","plainTextFormattedCitation":"(Eisenhardt &amp; Graebner, 2007)","previouslyFormattedCitation":"(Eisenhardt &amp; Graebner, 2007)"},"properties":{"noteIndex":0},"schema":"https://github.com/citation-style-language/schema/raw/master/csl-citation.json"}</w:instrText>
      </w:r>
      <w:r w:rsidR="00792E20" w:rsidRPr="00223E3E">
        <w:fldChar w:fldCharType="separate"/>
      </w:r>
      <w:r w:rsidR="00792E20" w:rsidRPr="00223E3E">
        <w:rPr>
          <w:noProof/>
        </w:rPr>
        <w:t>(Eisenhardt &amp; Graebner, 2007)</w:t>
      </w:r>
      <w:r w:rsidR="00792E20" w:rsidRPr="00223E3E">
        <w:fldChar w:fldCharType="end"/>
      </w:r>
      <w:r w:rsidR="00792E20" w:rsidRPr="00223E3E">
        <w:t xml:space="preserve">. </w:t>
      </w:r>
      <w:r w:rsidR="00523267" w:rsidRPr="00223E3E">
        <w:t xml:space="preserve">The </w:t>
      </w:r>
      <w:r w:rsidR="00792E20" w:rsidRPr="00223E3E">
        <w:t xml:space="preserve">theoretical foundation is the business model. I </w:t>
      </w:r>
      <w:r w:rsidR="00523267" w:rsidRPr="00223E3E">
        <w:t xml:space="preserve">rely </w:t>
      </w:r>
      <w:r w:rsidR="00792E20" w:rsidRPr="00223E3E">
        <w:t xml:space="preserve">on </w:t>
      </w:r>
      <w:r w:rsidR="00523267" w:rsidRPr="00223E3E">
        <w:t xml:space="preserve">a </w:t>
      </w:r>
      <w:r w:rsidR="00792E20" w:rsidRPr="00223E3E">
        <w:t xml:space="preserve">component-based </w:t>
      </w:r>
      <w:r w:rsidR="006035CB" w:rsidRPr="00223E3E">
        <w:t>conceptualisation</w:t>
      </w:r>
      <w:r w:rsidR="00792E20" w:rsidRPr="00223E3E">
        <w:t xml:space="preserve"> </w:t>
      </w:r>
      <w:r w:rsidR="00523267" w:rsidRPr="00223E3E">
        <w:t xml:space="preserve">for insights along </w:t>
      </w:r>
      <w:r w:rsidR="00792E20" w:rsidRPr="00223E3E">
        <w:t xml:space="preserve">the three central dimensions: value proposition, creation, and capture. </w:t>
      </w:r>
    </w:p>
    <w:p w14:paraId="252B1A33" w14:textId="77777777" w:rsidR="00792E20" w:rsidRPr="00223E3E" w:rsidRDefault="00792E20" w:rsidP="00ED5260">
      <w:pPr>
        <w:pStyle w:val="Heading2"/>
      </w:pPr>
      <w:bookmarkStart w:id="9" w:name="_bcevenvgsqy" w:colFirst="0" w:colLast="0"/>
      <w:bookmarkStart w:id="10" w:name="_Toc517116027"/>
      <w:bookmarkStart w:id="11" w:name="_Toc517116138"/>
      <w:bookmarkStart w:id="12" w:name="_Toc517120862"/>
      <w:bookmarkEnd w:id="9"/>
      <w:r w:rsidRPr="00223E3E">
        <w:t>Sampling</w:t>
      </w:r>
      <w:bookmarkEnd w:id="10"/>
      <w:bookmarkEnd w:id="11"/>
      <w:bookmarkEnd w:id="12"/>
    </w:p>
    <w:p w14:paraId="0198D3BF" w14:textId="22B0FB62" w:rsidR="00792E20" w:rsidRPr="00223E3E" w:rsidRDefault="00B065B5" w:rsidP="00792E20">
      <w:r w:rsidRPr="00223E3E">
        <w:t>My sampling strategy followed</w:t>
      </w:r>
      <w:r w:rsidR="00792E20" w:rsidRPr="00223E3E">
        <w:t xml:space="preserve"> </w:t>
      </w:r>
      <w:r w:rsidRPr="00223E3E">
        <w:t xml:space="preserve">a </w:t>
      </w:r>
      <w:r w:rsidR="00792E20" w:rsidRPr="00223E3E">
        <w:t xml:space="preserve">theoretical sampling </w:t>
      </w:r>
      <w:r w:rsidRPr="00223E3E">
        <w:t xml:space="preserve">approach </w:t>
      </w:r>
      <w:r w:rsidR="00792E20" w:rsidRPr="00223E3E">
        <w:fldChar w:fldCharType="begin" w:fldLock="1"/>
      </w:r>
      <w:r w:rsidR="00506D82" w:rsidRPr="00223E3E">
        <w:instrText>ADDIN CSL_CITATION {"citationItems":[{"id":"ITEM-1","itemData":{"abstract":"Death, as a social ritual, is one of the great turning points in human existence, but prior to this classic work, it had been subjected to little scientific study. American perspectives on death seem strangely paradoxical - the brutal fact of death is confronted daily in our newspapers yet Americans are unwilling to talk openly about the process of dying itself. Awareness of Dying, using a highly original theory of awareness, examines the dying patient and those about him in social interaction. It gives readers a language and tools of analysis for understanding who knows what about dying, under what circumstances, and what difference it makes.","author":[{"dropping-particle":"","family":"Glaser","given":"Barney G.","non-dropping-particle":"","parse-names":false,"suffix":""},{"dropping-particle":"","family":"Strauss","given":"Anselm L.","non-dropping-particle":"","parse-names":false,"suffix":""}],"id":"ITEM-1","issued":{"date-parts":[["1965"]]},"publisher":"Aldine","publisher-place":"Chicago","title":"Awareness of Dying.","type":"book"},"uris":["http://www.mendeley.com/documents/?uuid=410ddf84-c204-4b58-a037-37646a1e0119"]}],"mendeley":{"formattedCitation":"(B. G. Glaser &amp; Strauss, 1965)","manualFormatting":"(Glaser &amp; Strauss, 1965)","plainTextFormattedCitation":"(B. G. Glaser &amp; Strauss, 1965)","previouslyFormattedCitation":"(B. G. Glaser &amp; Strauss, 1965)"},"properties":{"noteIndex":0},"schema":"https://github.com/citation-style-language/schema/raw/master/csl-citation.json"}</w:instrText>
      </w:r>
      <w:r w:rsidR="00792E20" w:rsidRPr="00223E3E">
        <w:fldChar w:fldCharType="separate"/>
      </w:r>
      <w:r w:rsidR="00792E20" w:rsidRPr="00223E3E">
        <w:rPr>
          <w:noProof/>
        </w:rPr>
        <w:t>(Glaser &amp; Strauss, 1965)</w:t>
      </w:r>
      <w:r w:rsidR="00792E20" w:rsidRPr="00223E3E">
        <w:fldChar w:fldCharType="end"/>
      </w:r>
      <w:r w:rsidRPr="00223E3E">
        <w:t xml:space="preserve"> through which I</w:t>
      </w:r>
      <w:r w:rsidR="00792E20" w:rsidRPr="00223E3E">
        <w:t xml:space="preserve"> aim</w:t>
      </w:r>
      <w:r w:rsidRPr="00223E3E">
        <w:t>ed</w:t>
      </w:r>
      <w:r w:rsidR="00792E20" w:rsidRPr="00223E3E">
        <w:t xml:space="preserve"> for high variety within </w:t>
      </w:r>
      <w:r w:rsidRPr="00223E3E">
        <w:t>the cases</w:t>
      </w:r>
      <w:r w:rsidR="00792E20" w:rsidRPr="00223E3E">
        <w:t xml:space="preserve">, not representativeness. I initially </w:t>
      </w:r>
      <w:r w:rsidRPr="00223E3E">
        <w:t xml:space="preserve">sought for </w:t>
      </w:r>
      <w:r w:rsidR="00792E20" w:rsidRPr="00223E3E">
        <w:t xml:space="preserve">variety in terms of </w:t>
      </w:r>
      <w:r w:rsidRPr="00223E3E">
        <w:t xml:space="preserve">geographical location, </w:t>
      </w:r>
      <w:r w:rsidR="00792E20" w:rsidRPr="00223E3E">
        <w:t xml:space="preserve">industry context, and firm </w:t>
      </w:r>
      <w:r w:rsidR="00792E20" w:rsidRPr="00223E3E">
        <w:lastRenderedPageBreak/>
        <w:t>size</w:t>
      </w:r>
      <w:r w:rsidRPr="00223E3E">
        <w:t>.</w:t>
      </w:r>
      <w:r w:rsidR="00792E20" w:rsidRPr="00223E3E">
        <w:t xml:space="preserve"> </w:t>
      </w:r>
      <w:r w:rsidRPr="00223E3E">
        <w:t xml:space="preserve">This followed the </w:t>
      </w:r>
      <w:r w:rsidR="00792E20" w:rsidRPr="00223E3E">
        <w:t xml:space="preserve">idea that the business model </w:t>
      </w:r>
      <w:r w:rsidRPr="00223E3E">
        <w:t xml:space="preserve">construct </w:t>
      </w:r>
      <w:r w:rsidR="00792E20" w:rsidRPr="00223E3E">
        <w:t>is regional</w:t>
      </w:r>
      <w:r w:rsidRPr="00223E3E">
        <w:t>ly</w:t>
      </w:r>
      <w:r w:rsidR="00792E20" w:rsidRPr="00223E3E">
        <w:t xml:space="preserve">, industry- and firm size-independent. </w:t>
      </w:r>
      <w:r w:rsidRPr="00223E3E">
        <w:t>Pursuing</w:t>
      </w:r>
      <w:r w:rsidR="00792E20" w:rsidRPr="00223E3E">
        <w:t xml:space="preserve"> a circular research process as proposed by Flick </w:t>
      </w:r>
      <w:r w:rsidR="00792E20" w:rsidRPr="00223E3E">
        <w:fldChar w:fldCharType="begin" w:fldLock="1"/>
      </w:r>
      <w:r w:rsidR="00E4783A" w:rsidRPr="00223E3E">
        <w:instrText>ADDIN CSL_CITATION {"citationItems":[{"id":"ITEM-1","itemData":{"abstract":"\"'The Fourth Edition of Uwe Flick's Introduction to Qualitative Research remains the most comprehensive and thorough text in qualitative research. It is student-and user-friendly, thoroughly up-to-date in terms of the latest developments in the field, imminently practical. it is the single most important introductory book on qualitative inquiry in the social sciences today' -Norman K. Denzin, University of Illinois Urbana-ChampaignThe new edition of Uwe Flick's bestselling textbook has been fully revised, expanded and updated. An Introduction to Qualitative Research guides students step-by-step through the qualitative research process. This classic text covers all of the main theoretical approaches to qualitative research, and provides unmatched coverage of the full range of different qualitative methods and approaches now available to researchers. A range of new features have been added to the new edition including:\" New structure to better meet the needs of teaching qualitative research A new chapter on Grounded Theory plus updated coverage on the full range of other qualitative methods\" A summary section discussing the state-of-the-art in qualitative research A glossary Updated cases studies, exercises and guided questions This new edition will continue to ensure that An Introduction to Qualitative Research remains an essential introductory text for all students of qualitative research.","author":[{"dropping-particle":"","family":"Flick","given":"Uwe","non-dropping-particle":"","parse-names":false,"suffix":""}],"container-title":"Sage Publication","edition":"4th","id":"ITEM-1","issued":{"date-parts":[["2009"]]},"number-of-pages":"529","publisher-place":"Thousand Oaks, CA","title":"An introduction to qualitative research","type":"book"},"uris":["http://www.mendeley.com/documents/?uuid=e73836c9-43b3-4024-aa18-b137d2f530c4"]}],"mendeley":{"formattedCitation":"(Flick, 2009)","manualFormatting":"(2009)","plainTextFormattedCitation":"(Flick, 2009)","previouslyFormattedCitation":"(Flick, 2009)"},"properties":{"noteIndex":0},"schema":"https://github.com/citation-style-language/schema/raw/master/csl-citation.json"}</w:instrText>
      </w:r>
      <w:r w:rsidR="00792E20" w:rsidRPr="00223E3E">
        <w:fldChar w:fldCharType="separate"/>
      </w:r>
      <w:r w:rsidR="00792E20" w:rsidRPr="00223E3E">
        <w:rPr>
          <w:noProof/>
        </w:rPr>
        <w:t>(2009)</w:t>
      </w:r>
      <w:r w:rsidR="00792E20" w:rsidRPr="00223E3E">
        <w:fldChar w:fldCharType="end"/>
      </w:r>
      <w:r w:rsidR="00792E20" w:rsidRPr="00223E3E">
        <w:t xml:space="preserve">, </w:t>
      </w:r>
      <w:r w:rsidRPr="00223E3E">
        <w:t xml:space="preserve">the sampling of subsequent cases </w:t>
      </w:r>
      <w:r w:rsidR="00792E20" w:rsidRPr="00223E3E">
        <w:t>iteratively follow</w:t>
      </w:r>
      <w:r w:rsidRPr="00223E3E">
        <w:t>ed</w:t>
      </w:r>
      <w:r w:rsidR="00792E20" w:rsidRPr="00223E3E">
        <w:t xml:space="preserve"> the </w:t>
      </w:r>
      <w:r w:rsidRPr="00223E3E">
        <w:t>comparison and interpretation</w:t>
      </w:r>
      <w:r w:rsidR="00792E20" w:rsidRPr="00223E3E">
        <w:t xml:space="preserve"> of </w:t>
      </w:r>
      <w:r w:rsidRPr="00223E3E">
        <w:t xml:space="preserve">the gathered </w:t>
      </w:r>
      <w:r w:rsidR="00792E20" w:rsidRPr="00223E3E">
        <w:t xml:space="preserve">ones </w:t>
      </w:r>
      <w:r w:rsidR="00792E20" w:rsidRPr="00223E3E">
        <w:fldChar w:fldCharType="begin" w:fldLock="1"/>
      </w:r>
      <w:r w:rsidR="00792E20" w:rsidRPr="00223E3E">
        <w:instrText>ADDIN CSL_CITATION {"citationItems":[{"id":"ITEM-1","itemData":{"abstract":"The article discusses common misconceptions of what grounded theory is not, by Roy Suddaby of Alberta, Canada. Grounded theory is not: presentation of raw data, or perfect or routine application of formulaic techniques to data. Grounded theory is not easy nor an excuse for the absence of methodology. It is not theory testing, content or word counts. Grounded theory is new modes of interaction and organization using methodology that is attentive to issues of interpretation and a process not binding itself too closely to longstanding assumptions.","author":[{"dropping-particle":"","family":"Suddaby","given":"Roy","non-dropping-particle":"","parse-names":false,"suffix":""}],"container-title":"Academy of Management Journal","id":"ITEM-1","issue":"4","issued":{"date-parts":[["2006"]]},"page":"633-642","title":"What grounded theory is not","type":"article-journal","volume":"49"},"uris":["http://www.mendeley.com/documents/?uuid=92f8b6d4-570e-47a3-a994-73a77a263f5c"]}],"mendeley":{"formattedCitation":"(Suddaby, 2006)","plainTextFormattedCitation":"(Suddaby, 2006)","previouslyFormattedCitation":"(Suddaby, 2006)"},"properties":{"noteIndex":0},"schema":"https://github.com/citation-style-language/schema/raw/master/csl-citation.json"}</w:instrText>
      </w:r>
      <w:r w:rsidR="00792E20" w:rsidRPr="00223E3E">
        <w:fldChar w:fldCharType="separate"/>
      </w:r>
      <w:r w:rsidR="00792E20" w:rsidRPr="00223E3E">
        <w:rPr>
          <w:noProof/>
        </w:rPr>
        <w:t>(Suddaby, 2006)</w:t>
      </w:r>
      <w:r w:rsidR="00792E20" w:rsidRPr="00223E3E">
        <w:fldChar w:fldCharType="end"/>
      </w:r>
      <w:r w:rsidR="00792E20" w:rsidRPr="00223E3E">
        <w:t xml:space="preserve">. </w:t>
      </w:r>
      <w:r w:rsidR="00C96EF8" w:rsidRPr="00223E3E">
        <w:t xml:space="preserve">Yet, overall number of available cases is still highly limited due to the newness of the technology. </w:t>
      </w:r>
      <w:r w:rsidR="00792E20" w:rsidRPr="00223E3E">
        <w:t xml:space="preserve">Surprisingly, this process revealed distinct implementation models: The integration of IOTA enables firms to build or extend </w:t>
      </w:r>
      <w:r w:rsidR="00792E20" w:rsidRPr="00223E3E">
        <w:rPr>
          <w:i/>
        </w:rPr>
        <w:t>platforms</w:t>
      </w:r>
      <w:r w:rsidR="00792E20" w:rsidRPr="00223E3E">
        <w:t xml:space="preserve"> that differ in their </w:t>
      </w:r>
      <w:r w:rsidR="00792E20" w:rsidRPr="00223E3E">
        <w:rPr>
          <w:i/>
        </w:rPr>
        <w:t>degree of</w:t>
      </w:r>
      <w:r w:rsidR="00792E20" w:rsidRPr="00223E3E">
        <w:t xml:space="preserve"> </w:t>
      </w:r>
      <w:r w:rsidR="00792E20" w:rsidRPr="00223E3E">
        <w:rPr>
          <w:i/>
        </w:rPr>
        <w:t>openness</w:t>
      </w:r>
      <w:r w:rsidR="00792E20" w:rsidRPr="00223E3E">
        <w:t xml:space="preserve">. </w:t>
      </w:r>
    </w:p>
    <w:p w14:paraId="5F000939" w14:textId="137F0BD5" w:rsidR="00792E20" w:rsidRPr="00223E3E" w:rsidRDefault="00792E20" w:rsidP="00792E20">
      <w:r w:rsidRPr="00223E3E">
        <w:t xml:space="preserve">A platform refers to a system architecture of interchangeable, complementary and interlinked components based on which stakeholders can coordinate their activities </w:t>
      </w:r>
      <w:r w:rsidRPr="00223E3E">
        <w:fldChar w:fldCharType="begin" w:fldLock="1"/>
      </w:r>
      <w:r w:rsidRPr="00223E3E">
        <w:instrText>ADDIN CSL_CITATION {"citationItems":[{"id":"ITEM-1","itemData":{"abstract":"This paper studies two fundamentally distinct approaches to opening a technology platform and their different impacts on innovation. One approach is to grant access to a platform and thereby open up markets for complementary components around the platform. Another approach is to give up control over the platform itself. Using data on 21 handheld computing systems (1990-2004), I find that granting greater levels of access to independent hardware developer firms produces up to a fivefold acceleration in the rate of new handheld device development, depending on the precise degree of access and how this policy was implemented. Where operating system platform owners went further to give up control (beyond just granting access to their platforms) the incremental effect on new device development was still positive but an order of magnitude smaller. The evidence from the industry and theoretical arguments both suggest that distinct economic mechanisms were set in motion by these two approaches to opening.","author":[{"dropping-particle":"","family":"Boudreau","given":"Kevin","non-dropping-particle":"","parse-names":false,"suffix":""}],"container-title":"Management Science","id":"ITEM-1","issue":"10","issued":{"date-parts":[["2010"]]},"page":"1849-1872","title":"Open Platform Strategies and Innovation: Granting Access vs. Devolving Control","type":"article-journal","volume":"56"},"uris":["http://www.mendeley.com/documents/?uuid=7585673b-0c06-45f6-b0a0-d52f8b50419f"]},{"id":"ITEM-2","itemData":{"author":[{"dropping-particle":"","family":"Baldwin","given":"Carliss Y.","non-dropping-particle":"","parse-names":false,"suffix":""},{"dropping-particle":"","family":"Woodard","given":"C. Jason","non-dropping-particle":"","parse-names":false,"suffix":""}],"container-title":"Platforms, Markets and Innovation","editor":[{"dropping-particle":"","family":"Gawer","given":"Annabelle","non-dropping-particle":"","parse-names":false,"suffix":""}],"id":"ITEM-2","issued":{"date-parts":[["2009"]]},"page":"19-44","publisher":"Edward Elgar Publishing","title":"The architecture of platforms: a unified view","type":"chapter"},"uris":["http://www.mendeley.com/documents/?uuid=3e2e0eee-6fc3-4ec0-9a7a-10f03ccc0e2e"]},{"id":"ITEM-3","itemData":{"author":[{"dropping-particle":"","family":"Wheelwright","given":"Steven C.","non-dropping-particle":"","parse-names":false,"suffix":""},{"dropping-particle":"","family":"Clark","given":"Kim B.","non-dropping-particle":"","parse-names":false,"suffix":""}],"id":"ITEM-3","issued":{"date-parts":[["1992"]]},"publisher":"Simon and Schuster","title":"Revolutionizing Product Development: Quantum Leaps in Speed, Efficiency, and Quality","type":"book"},"uris":["http://www.mendeley.com/documents/?uuid=4b4f42f7-d6ff-4bb9-a695-137314b9a77b"]}],"mendeley":{"formattedCitation":"(Baldwin &amp; Woodard, 2009; Boudreau, 2010; Wheelwright &amp; Clark, 1992)","plainTextFormattedCitation":"(Baldwin &amp; Woodard, 2009; Boudreau, 2010; Wheelwright &amp; Clark, 1992)","previouslyFormattedCitation":"(Baldwin &amp; Woodard, 2009; Boudreau, 2010; Wheelwright &amp; Clark, 1992)"},"properties":{"noteIndex":0},"schema":"https://github.com/citation-style-language/schema/raw/master/csl-citation.json"}</w:instrText>
      </w:r>
      <w:r w:rsidRPr="00223E3E">
        <w:fldChar w:fldCharType="separate"/>
      </w:r>
      <w:r w:rsidRPr="00223E3E">
        <w:rPr>
          <w:noProof/>
        </w:rPr>
        <w:t>(Baldwin &amp; Woodard, 2009; Boudreau, 2010; Wheelwright &amp; Clark, 1992)</w:t>
      </w:r>
      <w:r w:rsidRPr="00223E3E">
        <w:fldChar w:fldCharType="end"/>
      </w:r>
      <w:r w:rsidRPr="00223E3E">
        <w:t>. In the digital world, platforms ca</w:t>
      </w:r>
      <w:r w:rsidR="00C96EF8" w:rsidRPr="00223E3E">
        <w:t>n be software-only and provide</w:t>
      </w:r>
      <w:r w:rsidRPr="00223E3E">
        <w:t xml:space="preserve"> a </w:t>
      </w:r>
      <w:r w:rsidRPr="00223E3E">
        <w:rPr>
          <w:i/>
        </w:rPr>
        <w:t>hub</w:t>
      </w:r>
      <w:r w:rsidRPr="00223E3E">
        <w:t xml:space="preserve"> around which firms can innovate and transact </w:t>
      </w:r>
      <w:r w:rsidRPr="00223E3E">
        <w:fldChar w:fldCharType="begin" w:fldLock="1"/>
      </w:r>
      <w:r w:rsidR="008373DB">
        <w:instrText>ADDIN CSL_CITATION {"citationItems":[{"id":"ITEM-1","itemData":{"author":[{"dropping-particle":"","family":"Evans","given":"P.C.","non-dropping-particle":"","parse-names":false,"suffix":""},{"dropping-particle":"","family":"Gawer","given":"Annabelle","non-dropping-particle":"","parse-names":false,"suffix":""}],"id":"ITEM-1","issued":{"date-parts":[["2016"]]},"title":"The Rise of the Platform Enterprise: A Global Survey","type":"report"},"uris":["http://www.mendeley.com/documents/?uuid=145be3fe-4f42-462c-a8a6-900eb66d2dc5"]},{"id":"ITEM-2","itemData":{"author":[{"dropping-particle":"","family":"Teece","given":"David J","non-dropping-particle":"","parse-names":false,"suffix":""}],"container-title":"Working paper Series No. 16","id":"ITEM-2","issue":"16","issued":{"date-parts":[["2016"]]},"number-of-pages":"1-40","title":"Profiting from Innovation in the Digital Economy : Standards , Complementary Assets , and Business Models In the Wireless World","type":"report"},"uris":["http://www.mendeley.com/documents/?uuid=3aa1a7ca-af38-496d-8c7e-1fc19935e8ec"]},{"id":"ITEM-3","itemData":{"abstract":"Computer platforms provide an integrated architecture of hardware and software standards as a basis for developing complementary assets. The most successful platforms were owned by proprietary sponsors that controlled platform evolution and appropriated associated rewards. Responding to the Internet and open source systems, three traditional vendors of proprietary platforms experimented with hybrid strategies which attempted to combine the advantages of open source software while retaining control and differentiation. Such hybrid standards strategies reflect the competing imperatives for adoption and appropriability, and suggest the conditions under which such strategies may be preferable to either the purely open or purely proprietary alternatives. © 2003 Elsevier Science B.V. All rights reserved.","author":[{"dropping-particle":"","family":"West","given":"Joel","non-dropping-particle":"","parse-names":false,"suffix":""}],"container-title":"Research Policy","id":"ITEM-3","issue":"7","issued":{"date-parts":[["2003"]]},"page":"1259-1285","title":"How open is open enough? Melding proprietary and open source platform strategies","type":"article-journal","volume":"32"},"uris":["http://www.mendeley.com/documents/?uuid=cde8e5ec-dfb7-4b67-9c17-c01b2d1312fb"]}],"mendeley":{"formattedCitation":"(Evans &amp; Gawer, 2016; Teece, 2016; West, 2003)","manualFormatting":"(Evans &amp; Gawer, 2016; Teece, 2016; West, 2003)","plainTextFormattedCitation":"(Evans &amp; Gawer, 2016; Teece, 2016; West, 2003)","previouslyFormattedCitation":"(P. C. Evans &amp; Gawer, 2016; Teece, 2016; West, 2003)"},"properties":{"noteIndex":0},"schema":"https://github.com/citation-style-language/schema/raw/master/csl-citation.json"}</w:instrText>
      </w:r>
      <w:r w:rsidRPr="00223E3E">
        <w:fldChar w:fldCharType="separate"/>
      </w:r>
      <w:r w:rsidR="00E4783A" w:rsidRPr="00223E3E">
        <w:rPr>
          <w:noProof/>
        </w:rPr>
        <w:t>(Evans &amp; Gawer, 2016; Teece, 2016; West, 2003)</w:t>
      </w:r>
      <w:r w:rsidRPr="00223E3E">
        <w:fldChar w:fldCharType="end"/>
      </w:r>
      <w:r w:rsidRPr="00223E3E">
        <w:t>. Referring the observed cases, I found this characteristic represented, for instance, by IT architectures to enable selected firms to share certain data within a group of partners along the supply chain (</w:t>
      </w:r>
      <w:r w:rsidRPr="00223E3E">
        <w:rPr>
          <w:i/>
        </w:rPr>
        <w:t>Industry 4.0</w:t>
      </w:r>
      <w:r w:rsidRPr="00223E3E">
        <w:t xml:space="preserve">) or to enable </w:t>
      </w:r>
      <w:r w:rsidR="00C14111" w:rsidRPr="00223E3E">
        <w:t>various</w:t>
      </w:r>
      <w:r w:rsidRPr="00223E3E">
        <w:t xml:space="preserve"> kinds of innovators provide services to patients or medical institutions (</w:t>
      </w:r>
      <w:r w:rsidRPr="00223E3E">
        <w:rPr>
          <w:i/>
        </w:rPr>
        <w:t>eHealth</w:t>
      </w:r>
      <w:r w:rsidRPr="00223E3E">
        <w:t>). An essential characteristic of a platform architec</w:t>
      </w:r>
      <w:r w:rsidR="00C14111" w:rsidRPr="00223E3E">
        <w:t>ture is that certain components,</w:t>
      </w:r>
      <w:r w:rsidRPr="00223E3E">
        <w:t xml:space="preserve"> such as add-ons</w:t>
      </w:r>
      <w:r w:rsidR="00C14111" w:rsidRPr="00223E3E">
        <w:t xml:space="preserve"> change while </w:t>
      </w:r>
      <w:r w:rsidRPr="00223E3E">
        <w:t xml:space="preserve">others remain fixed over time </w:t>
      </w:r>
      <w:r w:rsidRPr="00223E3E">
        <w:fldChar w:fldCharType="begin" w:fldLock="1"/>
      </w:r>
      <w:r w:rsidRPr="00223E3E">
        <w:instrText>ADDIN CSL_CITATION {"citationItems":[{"id":"ITEM-1","itemData":{"author":[{"dropping-particle":"","family":"Baldwin","given":"Carliss Y.","non-dropping-particle":"","parse-names":false,"suffix":""},{"dropping-particle":"","family":"Woodard","given":"C. Jason","non-dropping-particle":"","parse-names":false,"suffix":""}],"container-title":"Platforms, Markets and Innovation","editor":[{"dropping-particle":"","family":"Gawer","given":"Annabelle","non-dropping-particle":"","parse-names":false,"suffix":""}],"id":"ITEM-1","issued":{"date-parts":[["2009"]]},"page":"19-44","publisher":"Edward Elgar Publishing","title":"The architecture of platforms: a unified view","type":"chapter"},"uris":["http://www.mendeley.com/documents/?uuid=3e2e0eee-6fc3-4ec0-9a7a-10f03ccc0e2e"]},{"id":"ITEM-2","itemData":{"abstract":"We examine thirty years of computer industry market structure. Our analysis explains the persistence of dominant computer firms, their recent decline, and the changing success of competitive entl'Y. It emphasizes the importance of technological competition between computer 'platforms', not firms. This aspect of competition has changed little over time. Two things did change. Young platforms serving newly founded segments eventually challenged established platforms across segment boundaries through a process of indirect entry. Vertically disintegrated platforms have led to divided technical leadership in important segments. The result is an industry with far more technological competition.","author":[{"dropping-particle":"","family":"Bresnahan","given":"Timothy F.","non-dropping-particle":"","parse-names":false,"suffix":""},{"dropping-particle":"","family":"Greenstein","given":"Shane","non-dropping-particle":"","parse-names":false,"suffix":""}],"container-title":"The Journal of Industrial Economics","id":"ITEM-2","issue":"1","issued":{"date-parts":[["1999"]]},"page":"1-40","title":"Technological Competition and the Structure of the Computer Industry","type":"article-journal","volume":"47"},"uris":["http://www.mendeley.com/documents/?uuid=2a112330-3908-4cbc-a00a-4332ba56e317"]}],"mendeley":{"formattedCitation":"(Baldwin &amp; Woodard, 2009; Bresnahan &amp; Greenstein, 1999)","plainTextFormattedCitation":"(Baldwin &amp; Woodard, 2009; Bresnahan &amp; Greenstein, 1999)","previouslyFormattedCitation":"(Baldwin &amp; Woodard, 2009; Bresnahan &amp; Greenstein, 1999)"},"properties":{"noteIndex":0},"schema":"https://github.com/citation-style-language/schema/raw/master/csl-citation.json"}</w:instrText>
      </w:r>
      <w:r w:rsidRPr="00223E3E">
        <w:fldChar w:fldCharType="separate"/>
      </w:r>
      <w:r w:rsidRPr="00223E3E">
        <w:rPr>
          <w:noProof/>
        </w:rPr>
        <w:t>(Baldwin &amp; Woodard, 2009; Bresnahan &amp; Greenstein, 1999)</w:t>
      </w:r>
      <w:r w:rsidRPr="00223E3E">
        <w:fldChar w:fldCharType="end"/>
      </w:r>
      <w:r w:rsidRPr="00223E3E">
        <w:t>. Platforms differ significantly in relation to the rights to change such components. While access to data stored in an “</w:t>
      </w:r>
      <w:r w:rsidRPr="00223E3E">
        <w:rPr>
          <w:i/>
        </w:rPr>
        <w:t>Enterprise Tangle”</w:t>
      </w:r>
      <w:r w:rsidRPr="00223E3E">
        <w:t xml:space="preserve"> in the </w:t>
      </w:r>
      <w:r w:rsidRPr="00223E3E">
        <w:rPr>
          <w:i/>
        </w:rPr>
        <w:t>Industry 4.0</w:t>
      </w:r>
      <w:r w:rsidRPr="00223E3E">
        <w:t xml:space="preserve"> case is limited to selected partners, the infrastructure for the </w:t>
      </w:r>
      <w:r w:rsidRPr="00223E3E">
        <w:rPr>
          <w:i/>
        </w:rPr>
        <w:t>eHealth</w:t>
      </w:r>
      <w:r w:rsidRPr="00223E3E">
        <w:t xml:space="preserve"> case is placed in the public domain. Openness of platforms occurs at multiple levels along a continuum </w:t>
      </w:r>
      <w:r w:rsidRPr="00223E3E">
        <w:fldChar w:fldCharType="begin" w:fldLock="1"/>
      </w:r>
      <w:r w:rsidRPr="00223E3E">
        <w:instrText>ADDIN CSL_CITATION {"citationItems":[{"id":"ITEM-1","itemData":{"author":[{"dropping-particle":"","family":"Eisenmann","given":"Thomas R.","non-dropping-particle":"","parse-names":false,"suffix":""},{"dropping-particle":"","family":"Parker","given":"Geoffrey","non-dropping-particle":"","parse-names":false,"suffix":""},{"dropping-particle":"Van","family":"Alstyn","given":"Marshall","non-dropping-particle":"","parse-names":false,"suffix":""}],"container-title":"Platforms, Markets and Innovation","editor":[{"dropping-particle":"","family":"Gawer","given":"Annabelle","non-dropping-particle":"","parse-names":false,"suffix":""}],"id":"ITEM-1","issued":{"date-parts":[["2009"]]},"publisher":"Edward Elgar Publishing","title":"Opening platforms: how, when and why?","type":"chapter"},"uris":["http://www.mendeley.com/documents/?uuid=471e78f2-9b15-40bb-90b9-9ddb16757e4e"]}],"mendeley":{"formattedCitation":"(Eisenmann, Parker, &amp; Alstyn, 2009)","plainTextFormattedCitation":"(Eisenmann, Parker, &amp; Alstyn, 2009)","previouslyFormattedCitation":"(Eisenmann, Parker, &amp; Alstyn, 2009)"},"properties":{"noteIndex":0},"schema":"https://github.com/citation-style-language/schema/raw/master/csl-citation.json"}</w:instrText>
      </w:r>
      <w:r w:rsidRPr="00223E3E">
        <w:fldChar w:fldCharType="separate"/>
      </w:r>
      <w:r w:rsidRPr="00223E3E">
        <w:rPr>
          <w:noProof/>
        </w:rPr>
        <w:t>(Eisenmann, Parker, &amp; Alstyn, 2009)</w:t>
      </w:r>
      <w:r w:rsidRPr="00223E3E">
        <w:fldChar w:fldCharType="end"/>
      </w:r>
      <w:r w:rsidRPr="00223E3E">
        <w:t xml:space="preserve">, however, a main characteristic for distinguishing between closed and open platforms is the platform provider’s ability to exclude outsiders from the entire system </w:t>
      </w:r>
      <w:r w:rsidRPr="00223E3E">
        <w:fldChar w:fldCharType="begin" w:fldLock="1"/>
      </w:r>
      <w:r w:rsidRPr="00223E3E">
        <w:instrText>ADDIN CSL_CITATION {"citationItems":[{"id":"ITEM-1","itemData":{"abstract":"This paper studies two fundamentally distinct approaches to opening a technology platform and their different impacts on innovation. One approach is to grant access to a platform and thereby open up markets for complementary components around the platform. Another approach is to give up control over the platform itself. Using data on 21 handheld computing systems (1990-2004), I find that granting greater levels of access to independent hardware developer firms produces up to a fivefold acceleration in the rate of new handheld device development, depending on the precise degree of access and how this policy was implemented. Where operating system platform owners went further to give up control (beyond just granting access to their platforms) the incremental effect on new device development was still positive but an order of magnitude smaller. The evidence from the industry and theoretical arguments both suggest that distinct economic mechanisms were set in motion by these two approaches to opening.","author":[{"dropping-particle":"","family":"Boudreau","given":"Kevin","non-dropping-particle":"","parse-names":false,"suffix":""}],"container-title":"Management Science","id":"ITEM-1","issue":"10","issued":{"date-parts":[["2010"]]},"page":"1849-1872","title":"Open Platform Strategies and Innovation: Granting Access vs. Devolving Control","type":"article-journal","volume":"56"},"uris":["http://www.mendeley.com/documents/?uuid=7585673b-0c06-45f6-b0a0-d52f8b50419f"]}],"mendeley":{"formattedCitation":"(Boudreau, 2010)","manualFormatting":"(cfr. Boudreau, 2010)","plainTextFormattedCitation":"(Boudreau, 2010)","previouslyFormattedCitation":"(Boudreau, 2010)"},"properties":{"noteIndex":0},"schema":"https://github.com/citation-style-language/schema/raw/master/csl-citation.json"}</w:instrText>
      </w:r>
      <w:r w:rsidRPr="00223E3E">
        <w:fldChar w:fldCharType="separate"/>
      </w:r>
      <w:r w:rsidRPr="00223E3E">
        <w:rPr>
          <w:noProof/>
        </w:rPr>
        <w:t>(cfr. Boudreau, 2010)</w:t>
      </w:r>
      <w:r w:rsidRPr="00223E3E">
        <w:fldChar w:fldCharType="end"/>
      </w:r>
      <w:r w:rsidRPr="00223E3E">
        <w:t xml:space="preserve">. Following Silverman’s </w:t>
      </w:r>
      <w:r w:rsidRPr="00223E3E">
        <w:fldChar w:fldCharType="begin" w:fldLock="1"/>
      </w:r>
      <w:r w:rsidRPr="00223E3E">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approach.","author":[{"dropping-particle":"","family":"Silverman","given":"David","non-dropping-particle":"","parse-names":false,"suffix":""}],"container-title":"Sage","id":"ITEM-1","issued":{"date-parts":[["2013"]]},"number-of-pages":"870","title":"Doing Qualitative Research","type":"book"},"uris":["http://www.mendeley.com/documents/?uuid=0c68caa2-637f-482f-be0c-4c40162c939d"]}],"mendeley":{"formattedCitation":"(Silverman, 2013)","manualFormatting":"(2013)","plainTextFormattedCitation":"(Silverman, 2013)","previouslyFormattedCitation":"(Silverman, 2013)"},"properties":{"noteIndex":0},"schema":"https://github.com/citation-style-language/schema/raw/master/csl-citation.json"}</w:instrText>
      </w:r>
      <w:r w:rsidRPr="00223E3E">
        <w:fldChar w:fldCharType="separate"/>
      </w:r>
      <w:r w:rsidRPr="00223E3E">
        <w:rPr>
          <w:noProof/>
        </w:rPr>
        <w:t>(2013)</w:t>
      </w:r>
      <w:r w:rsidRPr="00223E3E">
        <w:fldChar w:fldCharType="end"/>
      </w:r>
      <w:r w:rsidRPr="00223E3E">
        <w:t xml:space="preserve"> suggestions to strengthen the internal validity of research through deviant case analyses I aimed to cover both closed and open platform designs in the course of my sampling process. In order to achieve this, I collected evidence through archival records </w:t>
      </w:r>
      <w:r w:rsidR="007F5CA3" w:rsidRPr="00223E3E">
        <w:t xml:space="preserve">so as </w:t>
      </w:r>
      <w:r w:rsidRPr="00223E3E">
        <w:t>to gain a basic understanding of the project context.</w:t>
      </w:r>
    </w:p>
    <w:p w14:paraId="1F6EAA73" w14:textId="1B5D82E3" w:rsidR="00792E20" w:rsidRPr="00223E3E" w:rsidRDefault="00792E20" w:rsidP="00792E20">
      <w:r w:rsidRPr="00223E3E">
        <w:t xml:space="preserve">I identified potential cases </w:t>
      </w:r>
      <w:r w:rsidR="007A64AE" w:rsidRPr="00223E3E">
        <w:t xml:space="preserve">by </w:t>
      </w:r>
      <w:r w:rsidRPr="00223E3E">
        <w:t xml:space="preserve">screening </w:t>
      </w:r>
      <w:r w:rsidR="007A64AE" w:rsidRPr="00223E3E">
        <w:t xml:space="preserve">the </w:t>
      </w:r>
      <w:r w:rsidRPr="00223E3E">
        <w:t>official announc</w:t>
      </w:r>
      <w:r w:rsidR="007A64AE" w:rsidRPr="00223E3E">
        <w:t>ements</w:t>
      </w:r>
      <w:r w:rsidRPr="00223E3E">
        <w:t xml:space="preserve"> </w:t>
      </w:r>
      <w:r w:rsidR="007A64AE" w:rsidRPr="00223E3E">
        <w:t xml:space="preserve">of </w:t>
      </w:r>
      <w:r w:rsidRPr="00223E3E">
        <w:t xml:space="preserve">projects </w:t>
      </w:r>
      <w:r w:rsidR="007A64AE" w:rsidRPr="00223E3E">
        <w:t xml:space="preserve">on the official blog of the IOTA Foundation, </w:t>
      </w:r>
      <w:r w:rsidRPr="00223E3E">
        <w:t xml:space="preserve">in the IOTA Subreddit, and Twitter. </w:t>
      </w:r>
      <w:r w:rsidR="007A64AE" w:rsidRPr="00223E3E">
        <w:t xml:space="preserve">Supported by two additional researchers, we </w:t>
      </w:r>
      <w:r w:rsidRPr="00223E3E">
        <w:t xml:space="preserve">then contacted the </w:t>
      </w:r>
      <w:r w:rsidR="007A64AE" w:rsidRPr="00223E3E">
        <w:t xml:space="preserve">parent </w:t>
      </w:r>
      <w:r w:rsidRPr="00223E3E">
        <w:t xml:space="preserve">organisations requesting interviews with the person(s) </w:t>
      </w:r>
      <w:r w:rsidR="007A64AE" w:rsidRPr="00223E3E">
        <w:t>in charge of</w:t>
      </w:r>
      <w:r w:rsidRPr="00223E3E">
        <w:t xml:space="preserve"> the project of interest. </w:t>
      </w:r>
      <w:r w:rsidR="007A64AE" w:rsidRPr="00223E3E">
        <w:t xml:space="preserve">The sampling process was </w:t>
      </w:r>
      <w:r w:rsidRPr="00223E3E">
        <w:t>ceased once new cases</w:t>
      </w:r>
      <w:r w:rsidR="007F5CA3" w:rsidRPr="00223E3E">
        <w:t xml:space="preserve"> </w:t>
      </w:r>
      <w:r w:rsidR="007A64AE" w:rsidRPr="00223E3E">
        <w:t xml:space="preserve">became increasingly difficult to identify and the latest ones began to confirm the emerging </w:t>
      </w:r>
      <w:r w:rsidR="007F5CA3" w:rsidRPr="00223E3E">
        <w:t>theory</w:t>
      </w:r>
      <w:r w:rsidRPr="00223E3E">
        <w:t xml:space="preserve"> </w:t>
      </w:r>
      <w:r w:rsidRPr="00223E3E">
        <w:fldChar w:fldCharType="begin" w:fldLock="1"/>
      </w:r>
      <w:r w:rsidRPr="00223E3E">
        <w:instrText>ADDIN CSL_CITATION {"citationItems":[{"id":"ITEM-1","itemData":{"author":[{"dropping-particle":"","family":"Eisenhardt","given":"Kathleen M","non-dropping-particle":"","parse-names":false,"suffix":""}],"container-title":"Academy of Management Review","id":"ITEM-1","issue":"4","issued":{"date-parts":[["1989"]]},"page":"532-550","title":"Building Theories from Case Study Research","type":"article-journal","volume":"14"},"uris":["http://www.mendeley.com/documents/?uuid=0b393c97-7ca8-41ab-aeb7-0e5fd1a4f93e"]}],"mendeley":{"formattedCitation":"(Eisenhardt, 1989)","plainTextFormattedCitation":"(Eisenhardt, 1989)","previouslyFormattedCitation":"(Eisenhardt, 1989)"},"properties":{"noteIndex":0},"schema":"https://github.com/citation-style-language/schema/raw/master/csl-citation.json"}</w:instrText>
      </w:r>
      <w:r w:rsidRPr="00223E3E">
        <w:fldChar w:fldCharType="separate"/>
      </w:r>
      <w:r w:rsidRPr="00223E3E">
        <w:rPr>
          <w:noProof/>
        </w:rPr>
        <w:t>(Eisenhardt, 1989)</w:t>
      </w:r>
      <w:r w:rsidRPr="00223E3E">
        <w:fldChar w:fldCharType="end"/>
      </w:r>
      <w:r w:rsidRPr="00223E3E">
        <w:t xml:space="preserve">. Overall, this process resulted </w:t>
      </w:r>
      <w:r w:rsidRPr="00223E3E">
        <w:lastRenderedPageBreak/>
        <w:t xml:space="preserve">in ten cases </w:t>
      </w:r>
      <w:r w:rsidR="007A64AE" w:rsidRPr="00223E3E">
        <w:t xml:space="preserve">that </w:t>
      </w:r>
      <w:r w:rsidRPr="00223E3E">
        <w:t xml:space="preserve">cover </w:t>
      </w:r>
      <w:r w:rsidR="007A64AE" w:rsidRPr="00223E3E">
        <w:t xml:space="preserve">a wide range of </w:t>
      </w:r>
      <w:r w:rsidRPr="00223E3E">
        <w:t>industries, including</w:t>
      </w:r>
      <w:r w:rsidRPr="00223E3E">
        <w:rPr>
          <w:i/>
        </w:rPr>
        <w:t xml:space="preserve"> automotive, education,</w:t>
      </w:r>
      <w:r w:rsidR="007A64AE" w:rsidRPr="00223E3E">
        <w:rPr>
          <w:i/>
        </w:rPr>
        <w:t xml:space="preserve"> healthcare,</w:t>
      </w:r>
      <w:r w:rsidRPr="00223E3E">
        <w:rPr>
          <w:i/>
        </w:rPr>
        <w:t xml:space="preserve"> home appliances, </w:t>
      </w:r>
      <w:r w:rsidR="007A64AE" w:rsidRPr="00223E3E">
        <w:rPr>
          <w:i/>
        </w:rPr>
        <w:t xml:space="preserve">IT, </w:t>
      </w:r>
      <w:r w:rsidRPr="00223E3E">
        <w:rPr>
          <w:i/>
        </w:rPr>
        <w:t>and energy.</w:t>
      </w:r>
      <w:r w:rsidRPr="00223E3E">
        <w:t xml:space="preserve"> </w:t>
      </w:r>
    </w:p>
    <w:p w14:paraId="738DBB71" w14:textId="0AB9884C" w:rsidR="00792E20" w:rsidRPr="00223E3E" w:rsidRDefault="00792E20" w:rsidP="00792E20">
      <w:r w:rsidRPr="00223E3E">
        <w:t xml:space="preserve">In terms of project status, </w:t>
      </w:r>
      <w:r w:rsidR="009053DE" w:rsidRPr="00223E3E">
        <w:t xml:space="preserve">none of the </w:t>
      </w:r>
      <w:r w:rsidRPr="00223E3E">
        <w:t xml:space="preserve">sampled cases </w:t>
      </w:r>
      <w:r w:rsidR="009053DE" w:rsidRPr="00223E3E">
        <w:t xml:space="preserve">had exceeded the state of a </w:t>
      </w:r>
      <w:r w:rsidRPr="00223E3E">
        <w:t xml:space="preserve">proof of concept. I am </w:t>
      </w:r>
      <w:r w:rsidR="009053DE" w:rsidRPr="00223E3E">
        <w:t xml:space="preserve">aware </w:t>
      </w:r>
      <w:r w:rsidRPr="00223E3E">
        <w:t xml:space="preserve">about the </w:t>
      </w:r>
      <w:r w:rsidR="009053DE" w:rsidRPr="00223E3E">
        <w:t xml:space="preserve">constraints </w:t>
      </w:r>
      <w:r w:rsidRPr="00223E3E">
        <w:t xml:space="preserve">of this </w:t>
      </w:r>
      <w:r w:rsidR="009053DE" w:rsidRPr="00223E3E">
        <w:t xml:space="preserve">implies for the </w:t>
      </w:r>
      <w:r w:rsidRPr="00223E3E">
        <w:t>generali</w:t>
      </w:r>
      <w:r w:rsidR="009453B0">
        <w:t>sa</w:t>
      </w:r>
      <w:r w:rsidRPr="00223E3E">
        <w:t xml:space="preserve">bility of </w:t>
      </w:r>
      <w:r w:rsidR="009053DE" w:rsidRPr="00223E3E">
        <w:t xml:space="preserve">the resulting </w:t>
      </w:r>
      <w:r w:rsidRPr="00223E3E">
        <w:t xml:space="preserve">findings. As my </w:t>
      </w:r>
      <w:r w:rsidR="009053DE" w:rsidRPr="00223E3E">
        <w:t xml:space="preserve">research </w:t>
      </w:r>
      <w:r w:rsidRPr="00223E3E">
        <w:t xml:space="preserve">intention is </w:t>
      </w:r>
      <w:r w:rsidR="009053DE" w:rsidRPr="00223E3E">
        <w:t xml:space="preserve">an inquiry into </w:t>
      </w:r>
      <w:r w:rsidRPr="00223E3E">
        <w:t xml:space="preserve">the </w:t>
      </w:r>
      <w:r w:rsidR="009053DE" w:rsidRPr="00223E3E">
        <w:t xml:space="preserve">innovation </w:t>
      </w:r>
      <w:r w:rsidRPr="00223E3E">
        <w:t>potential of the emerging IOTA protocol</w:t>
      </w:r>
      <w:r w:rsidR="009053DE" w:rsidRPr="00223E3E">
        <w:t>, however,</w:t>
      </w:r>
      <w:r w:rsidRPr="00223E3E">
        <w:t xml:space="preserve"> I consider this</w:t>
      </w:r>
      <w:r w:rsidR="009053DE" w:rsidRPr="00223E3E">
        <w:t xml:space="preserve"> </w:t>
      </w:r>
      <w:r w:rsidRPr="00223E3E">
        <w:t>to be an ideal timing. Further</w:t>
      </w:r>
      <w:r w:rsidR="009053DE" w:rsidRPr="00223E3E">
        <w:t>more</w:t>
      </w:r>
      <w:r w:rsidRPr="00223E3E">
        <w:t xml:space="preserve">, this </w:t>
      </w:r>
      <w:r w:rsidR="009053DE" w:rsidRPr="00223E3E">
        <w:t xml:space="preserve">allows </w:t>
      </w:r>
      <w:r w:rsidRPr="00223E3E">
        <w:t xml:space="preserve">to shed light into the </w:t>
      </w:r>
      <w:r w:rsidR="009053DE" w:rsidRPr="00223E3E">
        <w:t xml:space="preserve">different </w:t>
      </w:r>
      <w:r w:rsidRPr="00223E3E">
        <w:t xml:space="preserve">mechanisms firms </w:t>
      </w:r>
      <w:r w:rsidR="009053DE" w:rsidRPr="00223E3E">
        <w:t xml:space="preserve">rely on to </w:t>
      </w:r>
      <w:r w:rsidRPr="00223E3E">
        <w:t xml:space="preserve">cope with uncertainty </w:t>
      </w:r>
      <w:r w:rsidR="009053DE" w:rsidRPr="00223E3E">
        <w:t xml:space="preserve">during the innovation of their </w:t>
      </w:r>
      <w:r w:rsidRPr="00223E3E">
        <w:t xml:space="preserve">business models </w:t>
      </w:r>
      <w:r w:rsidRPr="00223E3E">
        <w:fldChar w:fldCharType="begin" w:fldLock="1"/>
      </w:r>
      <w:r w:rsidR="008373DB">
        <w:instrText>ADDIN CSL_CITATION {"citationItems":[{"id":"ITEM-1","itemData":{"abstract":"© 2015 RADMA and John Wiley &amp; Sons Ltd. The proliferation of innovation contests has fostered community-based idea evaluation as an alternative to expert juries to filter and select new product concepts at the fuzzy front end of corporate R&amp;D innovation. We refer to this phenomenon as open evaluation, as all registered participants can engage in jury activities like voting, rating, and commenting. While previous research on innovation contests and user engagement includes participant-based evaluation, the investigative focus so far has not been on this phenomenon. Access to jury activities in open evaluation practice contradicts innovation theory, which recommends careful selection procedures to establish expert juries for assessing new product concepts. Additionally, little is known about contingency factors that influence the performance and acceptance of open evaluation's results. To address these two questions on the objectives and contingency factors for open evaluation of new product concepts, this study applies exploratory multiple-case research of open evaluation in nine innovation contests. Data collection encompassed expert interviews and complementary sources of evidence. Results indicate that firms pursue six distinct objectives to support participant-based generation and selection of new concepts. In addition, eight contingency factors influence the performance of open evaluation and the acceptance of its results. Finally, results showed open evaluation output to efficiently complement jury decisions in filtering and selecting ideas for new product development.","author":[{"dropping-particle":"","family":"Velamuri","given":"Vivek K.","non-dropping-particle":"","parse-names":false,"suffix":""},{"dropping-particle":"","family":"Schneckenberg","given":"Dirk","non-dropping-particle":"","parse-names":false,"suffix":""},{"dropping-particle":"","family":"Haller","given":"Jörg B.A.","non-dropping-particle":"","parse-names":false,"suffix":""},{"dropping-particle":"","family":"Moeslein","given":"Kathrin M.","non-dropping-particle":"","parse-names":false,"suffix":""}],"container-title":"R&amp;D Management","id":"ITEM-1","issue":"4","issued":{"date-parts":[["2017"]]},"page":"501-521","title":"Open evaluation of new product concepts at the front end of innovation: objectives and contingency factors","type":"article-journal","volume":"47"},"uris":["http://www.mendeley.com/documents/?uuid=7259f32b-7dcd-4858-aa45-11bdf4be55cf"]}],"mendeley":{"formattedCitation":"(Velamuri, Schneckenberg, Haller, &amp; Moeslein, 2017)","manualFormatting":"(cfr. Velamuri, Schneckenberg, Haller, &amp; Moeslein, 2017)","plainTextFormattedCitation":"(Velamuri, Schneckenberg, Haller, &amp; Moeslein, 2017)","previouslyFormattedCitation":"(V. K. Velamuri, Schneckenberg, Haller, &amp; Moeslein, 2017)"},"properties":{"noteIndex":0},"schema":"https://github.com/citation-style-language/schema/raw/master/csl-citation.json"}</w:instrText>
      </w:r>
      <w:r w:rsidRPr="00223E3E">
        <w:fldChar w:fldCharType="separate"/>
      </w:r>
      <w:r w:rsidRPr="00223E3E">
        <w:rPr>
          <w:noProof/>
        </w:rPr>
        <w:t>(cfr. Velamuri, Schneckenberg, Haller, &amp; Moeslein, 2017)</w:t>
      </w:r>
      <w:r w:rsidRPr="00223E3E">
        <w:fldChar w:fldCharType="end"/>
      </w:r>
      <w:r w:rsidRPr="00223E3E">
        <w:t xml:space="preserve">. In </w:t>
      </w:r>
      <w:r w:rsidR="009053DE" w:rsidRPr="00223E3E">
        <w:t xml:space="preserve">this context, </w:t>
      </w:r>
      <w:r w:rsidRPr="00223E3E">
        <w:t xml:space="preserve">one of </w:t>
      </w:r>
      <w:r w:rsidR="009053DE" w:rsidRPr="00223E3E">
        <w:t xml:space="preserve">the </w:t>
      </w:r>
      <w:r w:rsidRPr="00223E3E">
        <w:t>intervie</w:t>
      </w:r>
      <w:r w:rsidR="009053DE" w:rsidRPr="00223E3E">
        <w:t>wees</w:t>
      </w:r>
      <w:r w:rsidRPr="00223E3E">
        <w:t xml:space="preserve"> touched on </w:t>
      </w:r>
      <w:r w:rsidR="009053DE" w:rsidRPr="00223E3E">
        <w:t xml:space="preserve">the issue when </w:t>
      </w:r>
      <w:r w:rsidRPr="00223E3E">
        <w:t>stating:</w:t>
      </w:r>
    </w:p>
    <w:p w14:paraId="1F5CCAB3" w14:textId="77777777" w:rsidR="00792E20" w:rsidRPr="00223E3E" w:rsidRDefault="00792E20" w:rsidP="00792E20">
      <w:pPr>
        <w:pStyle w:val="Quote"/>
      </w:pPr>
      <w:r w:rsidRPr="00223E3E">
        <w:t>“So, these are naturally some downstream thoughts and IOTA is also still in a kind of beta stage. However, I purposely engaged very early with this topic, in order to not only ideate and innovate around the potentials [of this technology], but to implement it in concrete Proof-of-concepts and apply it to selected projects.” [#1: Industry 4.0]</w:t>
      </w:r>
    </w:p>
    <w:p w14:paraId="45D8F730" w14:textId="77777777" w:rsidR="00792E20" w:rsidRPr="00223E3E" w:rsidRDefault="00792E20" w:rsidP="00ED5260">
      <w:pPr>
        <w:pStyle w:val="Heading2"/>
      </w:pPr>
      <w:bookmarkStart w:id="13" w:name="_z15i21eu595j" w:colFirst="0" w:colLast="0"/>
      <w:bookmarkStart w:id="14" w:name="_Toc517116028"/>
      <w:bookmarkStart w:id="15" w:name="_Toc517116139"/>
      <w:bookmarkStart w:id="16" w:name="_Toc517120863"/>
      <w:bookmarkStart w:id="17" w:name="_Ref531612057"/>
      <w:bookmarkEnd w:id="13"/>
      <w:r w:rsidRPr="00223E3E">
        <w:t>Data collection</w:t>
      </w:r>
      <w:bookmarkEnd w:id="14"/>
      <w:bookmarkEnd w:id="15"/>
      <w:bookmarkEnd w:id="16"/>
      <w:bookmarkEnd w:id="17"/>
    </w:p>
    <w:p w14:paraId="2F8FD530" w14:textId="049BF46C" w:rsidR="00792E20" w:rsidRPr="00223E3E" w:rsidRDefault="00792E20" w:rsidP="00792E20">
      <w:r w:rsidRPr="00223E3E">
        <w:t xml:space="preserve">In order to understand the </w:t>
      </w:r>
      <w:r w:rsidR="00BF0C96" w:rsidRPr="00223E3E">
        <w:t xml:space="preserve">key choices concerning the </w:t>
      </w:r>
      <w:r w:rsidRPr="00223E3E">
        <w:t xml:space="preserve">business model design, </w:t>
      </w:r>
      <w:r w:rsidR="00BF0C96" w:rsidRPr="00223E3E">
        <w:t>the group of researchers</w:t>
      </w:r>
      <w:r w:rsidRPr="00223E3E">
        <w:t xml:space="preserve"> relied on semi-structured interviews as </w:t>
      </w:r>
      <w:r w:rsidR="00BF0C96" w:rsidRPr="00223E3E">
        <w:t xml:space="preserve">the </w:t>
      </w:r>
      <w:r w:rsidRPr="00223E3E">
        <w:t xml:space="preserve">primary data source. This </w:t>
      </w:r>
      <w:r w:rsidR="00BF0C96" w:rsidRPr="00223E3E">
        <w:t xml:space="preserve">allowed </w:t>
      </w:r>
      <w:r w:rsidRPr="00223E3E">
        <w:t xml:space="preserve">to gain sufficient understanding of the </w:t>
      </w:r>
      <w:r w:rsidR="00BF0C96" w:rsidRPr="00223E3E">
        <w:t xml:space="preserve">project </w:t>
      </w:r>
      <w:r w:rsidRPr="00223E3E">
        <w:t xml:space="preserve">context and the </w:t>
      </w:r>
      <w:r w:rsidR="00BF0C96" w:rsidRPr="00223E3E">
        <w:t xml:space="preserve">innovation intentions </w:t>
      </w:r>
      <w:r w:rsidRPr="00223E3E">
        <w:t xml:space="preserve">of the project owners. </w:t>
      </w:r>
      <w:r w:rsidR="00BF0C96" w:rsidRPr="00223E3E">
        <w:t xml:space="preserve">All </w:t>
      </w:r>
      <w:r w:rsidRPr="00223E3E">
        <w:t>interview partner</w:t>
      </w:r>
      <w:r w:rsidR="00BF0C96" w:rsidRPr="00223E3E">
        <w:t>s</w:t>
      </w:r>
      <w:r w:rsidRPr="00223E3E">
        <w:t xml:space="preserve"> re</w:t>
      </w:r>
      <w:r w:rsidR="007F5CA3" w:rsidRPr="00223E3E">
        <w:t xml:space="preserve">ceived a short </w:t>
      </w:r>
      <w:r w:rsidR="00BF0C96" w:rsidRPr="00223E3E">
        <w:t xml:space="preserve">interview </w:t>
      </w:r>
      <w:r w:rsidR="007F5CA3" w:rsidRPr="00223E3E">
        <w:t>guide in advance</w:t>
      </w:r>
      <w:r w:rsidRPr="00223E3E">
        <w:t xml:space="preserve"> outlining the </w:t>
      </w:r>
      <w:r w:rsidR="00BF0C96" w:rsidRPr="00223E3E">
        <w:t xml:space="preserve">overall </w:t>
      </w:r>
      <w:r w:rsidRPr="00223E3E">
        <w:t>structure and topics</w:t>
      </w:r>
      <w:r w:rsidR="00BF0C96" w:rsidRPr="00223E3E">
        <w:t xml:space="preserve"> of interest</w:t>
      </w:r>
      <w:r w:rsidRPr="00223E3E">
        <w:t>.</w:t>
      </w:r>
    </w:p>
    <w:p w14:paraId="3BF269BB" w14:textId="10692EC6" w:rsidR="00792E20" w:rsidRPr="00223E3E" w:rsidRDefault="00792E20" w:rsidP="00792E20">
      <w:r w:rsidRPr="00223E3E">
        <w:t xml:space="preserve">Following a </w:t>
      </w:r>
      <w:r w:rsidR="00B17F49" w:rsidRPr="00223E3E">
        <w:t>short</w:t>
      </w:r>
      <w:r w:rsidRPr="00223E3E">
        <w:t xml:space="preserve"> introduction both of </w:t>
      </w:r>
      <w:r w:rsidR="00B17F49" w:rsidRPr="00223E3E">
        <w:t>the</w:t>
      </w:r>
      <w:r w:rsidRPr="00223E3E">
        <w:t xml:space="preserve"> research topic and project setting at the case firm, </w:t>
      </w:r>
      <w:r w:rsidR="00B17F49" w:rsidRPr="00223E3E">
        <w:t>the</w:t>
      </w:r>
      <w:r w:rsidRPr="00223E3E">
        <w:t xml:space="preserve"> focus</w:t>
      </w:r>
      <w:r w:rsidR="00B17F49" w:rsidRPr="00223E3E">
        <w:t xml:space="preserve"> lied </w:t>
      </w:r>
      <w:r w:rsidRPr="00223E3E">
        <w:t xml:space="preserve">on understanding </w:t>
      </w:r>
      <w:r w:rsidR="00B17F49" w:rsidRPr="00223E3E">
        <w:t xml:space="preserve">the main aspects along </w:t>
      </w:r>
      <w:r w:rsidR="001F0275" w:rsidRPr="00223E3E">
        <w:t xml:space="preserve">all </w:t>
      </w:r>
      <w:r w:rsidRPr="00223E3E">
        <w:t xml:space="preserve">three business model dimensions. </w:t>
      </w:r>
      <w:r w:rsidR="001F0275" w:rsidRPr="00223E3E">
        <w:t>A</w:t>
      </w:r>
      <w:r w:rsidRPr="00223E3E">
        <w:t xml:space="preserve"> third part </w:t>
      </w:r>
      <w:r w:rsidR="001F0275" w:rsidRPr="00223E3E">
        <w:t xml:space="preserve">addressed </w:t>
      </w:r>
      <w:r w:rsidRPr="00223E3E">
        <w:t xml:space="preserve">topics adjacent to the business model. Here, </w:t>
      </w:r>
      <w:r w:rsidR="001F0275" w:rsidRPr="00223E3E">
        <w:t>the researchers</w:t>
      </w:r>
      <w:r w:rsidRPr="00223E3E">
        <w:t xml:space="preserve"> probed for </w:t>
      </w:r>
      <w:r w:rsidR="001F0275" w:rsidRPr="00223E3E">
        <w:t>(</w:t>
      </w:r>
      <w:proofErr w:type="spellStart"/>
      <w:r w:rsidR="001F0275" w:rsidRPr="00223E3E">
        <w:t>i</w:t>
      </w:r>
      <w:proofErr w:type="spellEnd"/>
      <w:r w:rsidR="001F0275" w:rsidRPr="00223E3E">
        <w:t xml:space="preserve">) motives </w:t>
      </w:r>
      <w:r w:rsidRPr="00223E3E">
        <w:t xml:space="preserve">to </w:t>
      </w:r>
      <w:r w:rsidR="001F0275" w:rsidRPr="00223E3E">
        <w:t xml:space="preserve">use </w:t>
      </w:r>
      <w:r w:rsidRPr="00223E3E">
        <w:t>a DLT</w:t>
      </w:r>
      <w:r w:rsidR="001F0275" w:rsidRPr="00223E3E">
        <w:t xml:space="preserve">-based </w:t>
      </w:r>
      <w:r w:rsidRPr="00223E3E">
        <w:t xml:space="preserve">solution opposed to a centralised database, </w:t>
      </w:r>
      <w:r w:rsidR="001F0275" w:rsidRPr="00223E3E">
        <w:t xml:space="preserve">(ii) the </w:t>
      </w:r>
      <w:r w:rsidRPr="00223E3E">
        <w:t>IOTA</w:t>
      </w:r>
      <w:r w:rsidR="001F0275" w:rsidRPr="00223E3E">
        <w:t xml:space="preserve"> Tangle</w:t>
      </w:r>
      <w:r w:rsidRPr="00223E3E">
        <w:t xml:space="preserve"> opposed to a blockchain, such as </w:t>
      </w:r>
      <w:r w:rsidR="001F0275" w:rsidRPr="00223E3E">
        <w:t xml:space="preserve">Bitcoin or </w:t>
      </w:r>
      <w:r w:rsidRPr="00223E3E">
        <w:t xml:space="preserve">Ethereum, </w:t>
      </w:r>
      <w:r w:rsidR="001F0275" w:rsidRPr="00223E3E">
        <w:t xml:space="preserve">and (iii) any </w:t>
      </w:r>
      <w:r w:rsidRPr="00223E3E">
        <w:t xml:space="preserve">perceived risks </w:t>
      </w:r>
      <w:r w:rsidR="001F0275" w:rsidRPr="00223E3E">
        <w:t xml:space="preserve">and opportunities </w:t>
      </w:r>
      <w:r w:rsidRPr="00223E3E">
        <w:t xml:space="preserve">for </w:t>
      </w:r>
      <w:r w:rsidR="001F0275" w:rsidRPr="00223E3E">
        <w:t>related to the use of the Tangle</w:t>
      </w:r>
      <w:r w:rsidRPr="00223E3E">
        <w:t>. Secondary data</w:t>
      </w:r>
      <w:r w:rsidR="003C4E2F" w:rsidRPr="00223E3E">
        <w:t>, i.e.</w:t>
      </w:r>
      <w:r w:rsidRPr="00223E3E">
        <w:t xml:space="preserve"> archival records from </w:t>
      </w:r>
      <w:r w:rsidR="003C4E2F" w:rsidRPr="00223E3E">
        <w:t xml:space="preserve">third party </w:t>
      </w:r>
      <w:r w:rsidRPr="00223E3E">
        <w:t xml:space="preserve">interviews, </w:t>
      </w:r>
      <w:r w:rsidR="003C4E2F" w:rsidRPr="00223E3E">
        <w:t xml:space="preserve">public blog posts, </w:t>
      </w:r>
      <w:r w:rsidRPr="00223E3E">
        <w:t xml:space="preserve">or news articles served </w:t>
      </w:r>
      <w:r w:rsidR="003C4E2F" w:rsidRPr="00223E3E">
        <w:t xml:space="preserve">as complementary sources </w:t>
      </w:r>
      <w:r w:rsidRPr="00223E3E">
        <w:t xml:space="preserve">to ensure construct validity </w:t>
      </w:r>
      <w:r w:rsidRPr="00223E3E">
        <w:fldChar w:fldCharType="begin" w:fldLock="1"/>
      </w:r>
      <w:r w:rsidR="00BC21B5" w:rsidRPr="00223E3E">
        <w:instrText>ADDIN CSL_CITATION {"citationItems":[{"id":"ITEM-1","itemData":{"author":[{"dropping-particle":"","family":"Denzin","given":"Norman K.","non-dropping-particle":"","parse-names":false,"suffix":""},{"dropping-particle":"","family":"Lincoln","given":"Yvonna S.","non-dropping-particle":"","parse-names":false,"suffix":""}],"id":"ITEM-1","issued":{"date-parts":[["1994"]]},"publisher":"Sage Publications","publisher-place":"Thousand Oaks, CA, US","title":"Handbook of Qualitative Research","type":"book"},"uris":["http://www.mendeley.com/documents/?uuid=09546b14-6cf0-4292-b239-80bb17708bf5"]}],"mendeley":{"formattedCitation":"(Denzin &amp; Lincoln, 1994)","plainTextFormattedCitation":"(Denzin &amp; Lincoln, 1994)","previouslyFormattedCitation":"(Denzin &amp; Lincoln, 1994)"},"properties":{"noteIndex":0},"schema":"https://github.com/citation-style-language/schema/raw/master/csl-citation.json"}</w:instrText>
      </w:r>
      <w:r w:rsidRPr="00223E3E">
        <w:fldChar w:fldCharType="separate"/>
      </w:r>
      <w:r w:rsidRPr="00223E3E">
        <w:rPr>
          <w:noProof/>
        </w:rPr>
        <w:t>(Denzin &amp; Lincoln, 1994)</w:t>
      </w:r>
      <w:r w:rsidRPr="00223E3E">
        <w:fldChar w:fldCharType="end"/>
      </w:r>
      <w:r w:rsidRPr="00223E3E">
        <w:t xml:space="preserve"> and </w:t>
      </w:r>
      <w:r w:rsidR="003C4E2F" w:rsidRPr="00223E3E">
        <w:t>support</w:t>
      </w:r>
      <w:r w:rsidRPr="00223E3E">
        <w:t xml:space="preserve"> </w:t>
      </w:r>
      <w:r w:rsidR="003C4E2F" w:rsidRPr="00223E3E">
        <w:t xml:space="preserve">for the </w:t>
      </w:r>
      <w:r w:rsidRPr="00223E3E">
        <w:t>probing for case</w:t>
      </w:r>
      <w:r w:rsidR="003C4E2F" w:rsidRPr="00223E3E">
        <w:t>-</w:t>
      </w:r>
      <w:r w:rsidRPr="00223E3E">
        <w:t xml:space="preserve">specific details </w:t>
      </w:r>
      <w:r w:rsidR="007F5CA3" w:rsidRPr="00223E3E">
        <w:t xml:space="preserve">(cfr. </w:t>
      </w:r>
      <w:r w:rsidR="007F5CA3" w:rsidRPr="00223E3E">
        <w:rPr>
          <w:i/>
        </w:rPr>
        <w:t xml:space="preserve">Section </w:t>
      </w:r>
      <w:r w:rsidR="007F5CA3" w:rsidRPr="00223E3E">
        <w:rPr>
          <w:i/>
        </w:rPr>
        <w:fldChar w:fldCharType="begin"/>
      </w:r>
      <w:r w:rsidR="007F5CA3" w:rsidRPr="00223E3E">
        <w:rPr>
          <w:i/>
        </w:rPr>
        <w:instrText xml:space="preserve"> REF _Ref532064551 \r \h  \* MERGEFORMAT </w:instrText>
      </w:r>
      <w:r w:rsidR="007F5CA3" w:rsidRPr="00223E3E">
        <w:rPr>
          <w:i/>
        </w:rPr>
      </w:r>
      <w:r w:rsidR="007F5CA3" w:rsidRPr="00223E3E">
        <w:rPr>
          <w:i/>
        </w:rPr>
        <w:fldChar w:fldCharType="separate"/>
      </w:r>
      <w:r w:rsidR="0055529B">
        <w:rPr>
          <w:i/>
        </w:rPr>
        <w:t>9.1.1</w:t>
      </w:r>
      <w:r w:rsidR="007F5CA3" w:rsidRPr="00223E3E">
        <w:rPr>
          <w:i/>
        </w:rPr>
        <w:fldChar w:fldCharType="end"/>
      </w:r>
      <w:r w:rsidR="00821916" w:rsidRPr="00223E3E">
        <w:rPr>
          <w:i/>
        </w:rPr>
        <w:t xml:space="preserve">, </w:t>
      </w:r>
      <w:r w:rsidR="00821916" w:rsidRPr="00223E3E">
        <w:rPr>
          <w:i/>
        </w:rPr>
        <w:fldChar w:fldCharType="begin"/>
      </w:r>
      <w:r w:rsidR="00821916" w:rsidRPr="00223E3E">
        <w:rPr>
          <w:i/>
        </w:rPr>
        <w:instrText xml:space="preserve"> REF _Ref532065006 \h  \* MERGEFORMAT </w:instrText>
      </w:r>
      <w:r w:rsidR="00821916" w:rsidRPr="00223E3E">
        <w:rPr>
          <w:i/>
        </w:rPr>
      </w:r>
      <w:r w:rsidR="00821916" w:rsidRPr="00223E3E">
        <w:rPr>
          <w:i/>
        </w:rPr>
        <w:fldChar w:fldCharType="separate"/>
      </w:r>
      <w:r w:rsidR="0055529B" w:rsidRPr="0055529B">
        <w:rPr>
          <w:i/>
        </w:rPr>
        <w:t>Table 9</w:t>
      </w:r>
      <w:r w:rsidR="0055529B" w:rsidRPr="0055529B">
        <w:rPr>
          <w:i/>
        </w:rPr>
        <w:noBreakHyphen/>
        <w:t>1</w:t>
      </w:r>
      <w:r w:rsidR="00821916" w:rsidRPr="00223E3E">
        <w:rPr>
          <w:i/>
        </w:rPr>
        <w:fldChar w:fldCharType="end"/>
      </w:r>
      <w:r w:rsidR="00821916" w:rsidRPr="00223E3E">
        <w:rPr>
          <w:i/>
        </w:rPr>
        <w:t>,2</w:t>
      </w:r>
      <w:r w:rsidR="007F5CA3" w:rsidRPr="00223E3E">
        <w:t>)</w:t>
      </w:r>
    </w:p>
    <w:p w14:paraId="5DCEF5DC" w14:textId="70DD00DD" w:rsidR="00792E20" w:rsidRPr="00223E3E" w:rsidRDefault="003C4E2F" w:rsidP="00792E20">
      <w:r w:rsidRPr="00223E3E">
        <w:t>The primary</w:t>
      </w:r>
      <w:r w:rsidR="00792E20" w:rsidRPr="00223E3E">
        <w:t xml:space="preserve"> data body </w:t>
      </w:r>
      <w:r w:rsidRPr="00223E3E">
        <w:t xml:space="preserve">comprises </w:t>
      </w:r>
      <w:r w:rsidR="00792E20" w:rsidRPr="00223E3E">
        <w:t xml:space="preserve">interviews with </w:t>
      </w:r>
      <w:r w:rsidR="006202A4">
        <w:t xml:space="preserve">nine informants and </w:t>
      </w:r>
      <w:r w:rsidR="00792E20" w:rsidRPr="00223E3E">
        <w:t>a</w:t>
      </w:r>
      <w:r w:rsidRPr="00223E3E">
        <w:t xml:space="preserve"> </w:t>
      </w:r>
      <w:r w:rsidR="00792E20" w:rsidRPr="00223E3E">
        <w:t>duration of 60 minutes</w:t>
      </w:r>
      <w:r w:rsidRPr="00223E3E">
        <w:t xml:space="preserve"> on average. These were </w:t>
      </w:r>
      <w:r w:rsidR="00792E20" w:rsidRPr="00223E3E">
        <w:t xml:space="preserve">conducted between March and May 2018 </w:t>
      </w:r>
      <w:r w:rsidR="00792E20" w:rsidRPr="00223E3E">
        <w:rPr>
          <w:i/>
        </w:rPr>
        <w:t>(</w:t>
      </w:r>
      <w:r w:rsidR="00792E20" w:rsidRPr="00223E3E">
        <w:rPr>
          <w:i/>
        </w:rPr>
        <w:fldChar w:fldCharType="begin"/>
      </w:r>
      <w:r w:rsidR="00792E20" w:rsidRPr="00223E3E">
        <w:rPr>
          <w:i/>
        </w:rPr>
        <w:instrText xml:space="preserve"> REF _Ref525140234 \h  \* MERGEFORMAT </w:instrText>
      </w:r>
      <w:r w:rsidR="00792E20" w:rsidRPr="00223E3E">
        <w:rPr>
          <w:i/>
        </w:rPr>
      </w:r>
      <w:r w:rsidR="00792E20" w:rsidRPr="00223E3E">
        <w:rPr>
          <w:i/>
        </w:rPr>
        <w:fldChar w:fldCharType="separate"/>
      </w:r>
      <w:r w:rsidR="0055529B" w:rsidRPr="0055529B">
        <w:rPr>
          <w:i/>
        </w:rPr>
        <w:t>Figure 3</w:t>
      </w:r>
      <w:r w:rsidR="0055529B" w:rsidRPr="0055529B">
        <w:rPr>
          <w:i/>
        </w:rPr>
        <w:noBreakHyphen/>
        <w:t>1</w:t>
      </w:r>
      <w:r w:rsidR="00792E20" w:rsidRPr="00223E3E">
        <w:rPr>
          <w:i/>
        </w:rPr>
        <w:fldChar w:fldCharType="end"/>
      </w:r>
      <w:r w:rsidR="00792E20" w:rsidRPr="00223E3E">
        <w:rPr>
          <w:i/>
        </w:rPr>
        <w:t>).</w:t>
      </w:r>
      <w:r w:rsidR="00821916" w:rsidRPr="00223E3E">
        <w:t xml:space="preserve"> When possible</w:t>
      </w:r>
      <w:r w:rsidRPr="00223E3E">
        <w:t>,</w:t>
      </w:r>
      <w:r w:rsidR="00792E20" w:rsidRPr="00223E3E">
        <w:t xml:space="preserve"> </w:t>
      </w:r>
      <w:r w:rsidRPr="00223E3E">
        <w:t xml:space="preserve">e.g. </w:t>
      </w:r>
      <w:r w:rsidR="00792E20" w:rsidRPr="00223E3E">
        <w:t xml:space="preserve">in the case of </w:t>
      </w:r>
      <w:r w:rsidRPr="00223E3E">
        <w:t xml:space="preserve">WeWash and </w:t>
      </w:r>
      <w:r w:rsidR="00792E20" w:rsidRPr="00223E3E">
        <w:t>Volkswagen (VW)</w:t>
      </w:r>
      <w:r w:rsidRPr="00223E3E">
        <w:t xml:space="preserve">, the researchers met </w:t>
      </w:r>
      <w:r w:rsidRPr="00223E3E">
        <w:lastRenderedPageBreak/>
        <w:t>with the interviewees in person</w:t>
      </w:r>
      <w:r w:rsidR="00792E20" w:rsidRPr="00223E3E">
        <w:t xml:space="preserve">. However, </w:t>
      </w:r>
      <w:r w:rsidRPr="00223E3E">
        <w:t>because of</w:t>
      </w:r>
      <w:r w:rsidR="00792E20" w:rsidRPr="00223E3E">
        <w:t xml:space="preserve"> the global geographical </w:t>
      </w:r>
      <w:r w:rsidR="000C450D" w:rsidRPr="00223E3E">
        <w:t>distribution</w:t>
      </w:r>
      <w:r w:rsidR="00792E20" w:rsidRPr="00223E3E">
        <w:t xml:space="preserve"> of the </w:t>
      </w:r>
      <w:r w:rsidRPr="00223E3E">
        <w:t>cases</w:t>
      </w:r>
      <w:r w:rsidR="000C450D" w:rsidRPr="00223E3E">
        <w:t>,</w:t>
      </w:r>
      <w:r w:rsidRPr="00223E3E">
        <w:t xml:space="preserve"> </w:t>
      </w:r>
      <w:r w:rsidR="000C450D" w:rsidRPr="00223E3E">
        <w:t xml:space="preserve">we conducted </w:t>
      </w:r>
      <w:r w:rsidR="00792E20" w:rsidRPr="00223E3E">
        <w:t xml:space="preserve">seven of the interviews as video conferences. All interviews were recorded. </w:t>
      </w:r>
      <w:r w:rsidR="000C450D" w:rsidRPr="00223E3E">
        <w:t xml:space="preserve">Overall, </w:t>
      </w:r>
      <w:r w:rsidR="00792E20" w:rsidRPr="00223E3E">
        <w:t xml:space="preserve">two or three researchers </w:t>
      </w:r>
      <w:r w:rsidR="000C450D" w:rsidRPr="00223E3E">
        <w:t xml:space="preserve">participated in each interview to </w:t>
      </w:r>
      <w:r w:rsidR="00792E20" w:rsidRPr="00223E3E">
        <w:t xml:space="preserve">further increase construct validity and </w:t>
      </w:r>
      <w:r w:rsidR="000C450D" w:rsidRPr="00223E3E">
        <w:t xml:space="preserve">to </w:t>
      </w:r>
      <w:r w:rsidR="00792E20" w:rsidRPr="00223E3E">
        <w:t xml:space="preserve">facilitate ‘objective’ knowledge </w:t>
      </w:r>
      <w:r w:rsidR="00792E20" w:rsidRPr="00223E3E">
        <w:fldChar w:fldCharType="begin" w:fldLock="1"/>
      </w:r>
      <w:r w:rsidR="00792E20" w:rsidRPr="00223E3E">
        <w:instrText>ADDIN CSL_CITATION {"citationItems":[{"id":"ITEM-1","itemData":{"abstract":"Abstract: To provide evidence-based strategies for ensuring rigor of case studies, we examine what rigor types authors report and how they report them by content-analyzing all case studies published 1995-2000 in ten management journals. Comparing practices in articles addressing rigor extensively and less extensively, we reveal three strategies for insuring rigor. First, very few case-study authors explicitly label the rigor criteria in terms of the concepts commonly used in the positivist tradition (construct, internal, and external validity, as well as reliability). Despite this, papers addressing rigor extensively do report concrete research actions taken to ensure methodological rigor. Second, papers addressing rigor extensively prioritized rigor types: more, and more detailed, strategies were reported for ensuring internal and construct validity than for external validity. Third, emergent strategies used in the field were reported, such as set-backs and serendipities that necessitated changes to the originally planned research procedures. Authors focus squarely on the concrete research actions taken, carefully relaying them to the reader so that the reader may appreciate the logic and purpose of trade-off decisions in the context of the specific case study.","author":[{"dropping-particle":"","family":"Gibbert","given":"Michael","non-dropping-particle":"","parse-names":false,"suffix":""},{"dropping-particle":"","family":"Ruigrok","given":"Winfried","non-dropping-particle":"","parse-names":false,"suffix":""}],"container-title":"Organizational Research Methods","id":"ITEM-1","issue":"4","issued":{"date-parts":[["2010"]]},"page":"710-737","title":"The \"What\" and \"How\" of Case Study Rigor: Three Strategies Based on Published Work","type":"article-journal","volume":"13"},"uris":["http://www.mendeley.com/documents/?uuid=a5d3a24f-97ad-4c97-9d58-ba6040566d26"]}],"mendeley":{"formattedCitation":"(Gibbert &amp; Ruigrok, 2010)","plainTextFormattedCitation":"(Gibbert &amp; Ruigrok, 2010)","previouslyFormattedCitation":"(Gibbert &amp; Ruigrok, 2010)"},"properties":{"noteIndex":0},"schema":"https://github.com/citation-style-language/schema/raw/master/csl-citation.json"}</w:instrText>
      </w:r>
      <w:r w:rsidR="00792E20" w:rsidRPr="00223E3E">
        <w:fldChar w:fldCharType="separate"/>
      </w:r>
      <w:r w:rsidR="00792E20" w:rsidRPr="00223E3E">
        <w:rPr>
          <w:noProof/>
        </w:rPr>
        <w:t>(Gibbert &amp; Ruigrok, 2010)</w:t>
      </w:r>
      <w:r w:rsidR="00792E20" w:rsidRPr="00223E3E">
        <w:fldChar w:fldCharType="end"/>
      </w:r>
      <w:r w:rsidR="00792E20" w:rsidRPr="00223E3E">
        <w:t xml:space="preserve">. </w:t>
      </w:r>
    </w:p>
    <w:p w14:paraId="6777F385" w14:textId="6BD02BE5" w:rsidR="00792E20" w:rsidRPr="00223E3E" w:rsidRDefault="00792E20">
      <w:pPr>
        <w:spacing w:before="0" w:line="240" w:lineRule="auto"/>
        <w:jc w:val="left"/>
      </w:pPr>
    </w:p>
    <w:p w14:paraId="7307430D" w14:textId="77777777" w:rsidR="00792E20" w:rsidRPr="00223E3E" w:rsidRDefault="00792E20" w:rsidP="00792E20">
      <w:pPr>
        <w:sectPr w:rsidR="00792E20" w:rsidRPr="00223E3E" w:rsidSect="00304BF1">
          <w:headerReference w:type="default" r:id="rId8"/>
          <w:footerReference w:type="even" r:id="rId9"/>
          <w:footerReference w:type="default" r:id="rId10"/>
          <w:pgSz w:w="11906" w:h="16838"/>
          <w:pgMar w:top="1417" w:right="1417" w:bottom="1291" w:left="1417" w:header="708" w:footer="764" w:gutter="0"/>
          <w:cols w:space="708"/>
          <w:titlePg/>
          <w:docGrid w:linePitch="360"/>
        </w:sectPr>
      </w:pPr>
    </w:p>
    <w:p w14:paraId="78A451CA" w14:textId="2109FAB6" w:rsidR="00792E20" w:rsidRPr="00223E3E" w:rsidRDefault="00E26DE5" w:rsidP="00792E20">
      <w:pPr>
        <w:spacing w:before="0" w:after="160" w:line="259" w:lineRule="auto"/>
        <w:ind w:right="-172"/>
        <w:jc w:val="left"/>
      </w:pPr>
      <w:r w:rsidRPr="00223E3E">
        <w:rPr>
          <w:noProof/>
        </w:rPr>
        <w:lastRenderedPageBreak/>
        <w:drawing>
          <wp:inline distT="0" distB="0" distL="0" distR="0" wp14:anchorId="16E3ED50" wp14:editId="1B618AF2">
            <wp:extent cx="9420371" cy="540650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1_cases_revised.pdf"/>
                    <pic:cNvPicPr/>
                  </pic:nvPicPr>
                  <pic:blipFill rotWithShape="1">
                    <a:blip r:embed="rId11"/>
                    <a:srcRect t="9401" b="9383"/>
                    <a:stretch/>
                  </pic:blipFill>
                  <pic:spPr bwMode="auto">
                    <a:xfrm>
                      <a:off x="0" y="0"/>
                      <a:ext cx="9457233" cy="5427656"/>
                    </a:xfrm>
                    <a:prstGeom prst="rect">
                      <a:avLst/>
                    </a:prstGeom>
                    <a:ln>
                      <a:noFill/>
                    </a:ln>
                    <a:extLst>
                      <a:ext uri="{53640926-AAD7-44D8-BBD7-CCE9431645EC}">
                        <a14:shadowObscured xmlns:a14="http://schemas.microsoft.com/office/drawing/2010/main"/>
                      </a:ext>
                    </a:extLst>
                  </pic:spPr>
                </pic:pic>
              </a:graphicData>
            </a:graphic>
          </wp:inline>
        </w:drawing>
      </w:r>
    </w:p>
    <w:p w14:paraId="52E2AD31" w14:textId="004122BE" w:rsidR="00792E20" w:rsidRPr="00223E3E" w:rsidRDefault="00792E20" w:rsidP="00792E20">
      <w:pPr>
        <w:pStyle w:val="Caption"/>
      </w:pPr>
      <w:bookmarkStart w:id="18" w:name="_Ref525140234"/>
      <w:bookmarkStart w:id="19" w:name="_Ref517112205"/>
      <w:bookmarkStart w:id="20" w:name="_Toc517116267"/>
      <w:bookmarkStart w:id="21" w:name="_Toc1564382"/>
      <w:r w:rsidRPr="00223E3E">
        <w:rPr>
          <w:b/>
        </w:rPr>
        <w:t xml:space="preserve">Figure </w:t>
      </w:r>
      <w:r w:rsidR="00293E1D" w:rsidRPr="00223E3E">
        <w:rPr>
          <w:b/>
        </w:rPr>
        <w:fldChar w:fldCharType="begin"/>
      </w:r>
      <w:r w:rsidR="00293E1D" w:rsidRPr="00223E3E">
        <w:rPr>
          <w:b/>
        </w:rPr>
        <w:instrText xml:space="preserve"> STYLEREF 1 \s </w:instrText>
      </w:r>
      <w:r w:rsidR="00293E1D" w:rsidRPr="00223E3E">
        <w:rPr>
          <w:b/>
        </w:rPr>
        <w:fldChar w:fldCharType="separate"/>
      </w:r>
      <w:r w:rsidR="0055529B">
        <w:rPr>
          <w:b/>
          <w:noProof/>
        </w:rPr>
        <w:t>3</w:t>
      </w:r>
      <w:r w:rsidR="00293E1D" w:rsidRPr="00223E3E">
        <w:rPr>
          <w:b/>
        </w:rPr>
        <w:fldChar w:fldCharType="end"/>
      </w:r>
      <w:r w:rsidR="00293E1D" w:rsidRPr="00223E3E">
        <w:rPr>
          <w:b/>
        </w:rPr>
        <w:noBreakHyphen/>
      </w:r>
      <w:r w:rsidR="00293E1D" w:rsidRPr="00223E3E">
        <w:rPr>
          <w:b/>
        </w:rPr>
        <w:fldChar w:fldCharType="begin"/>
      </w:r>
      <w:r w:rsidR="00293E1D" w:rsidRPr="00223E3E">
        <w:rPr>
          <w:b/>
        </w:rPr>
        <w:instrText xml:space="preserve"> SEQ Figure \* ARABIC \s 1 </w:instrText>
      </w:r>
      <w:r w:rsidR="00293E1D" w:rsidRPr="00223E3E">
        <w:rPr>
          <w:b/>
        </w:rPr>
        <w:fldChar w:fldCharType="separate"/>
      </w:r>
      <w:r w:rsidR="0055529B">
        <w:rPr>
          <w:b/>
          <w:noProof/>
        </w:rPr>
        <w:t>1</w:t>
      </w:r>
      <w:r w:rsidR="00293E1D" w:rsidRPr="00223E3E">
        <w:rPr>
          <w:b/>
        </w:rPr>
        <w:fldChar w:fldCharType="end"/>
      </w:r>
      <w:bookmarkEnd w:id="18"/>
      <w:r w:rsidRPr="00223E3E">
        <w:rPr>
          <w:b/>
        </w:rPr>
        <w:t>:</w:t>
      </w:r>
      <w:r w:rsidRPr="00223E3E">
        <w:t xml:space="preserve"> Case overview</w:t>
      </w:r>
      <w:bookmarkEnd w:id="19"/>
      <w:bookmarkEnd w:id="20"/>
      <w:bookmarkEnd w:id="21"/>
    </w:p>
    <w:p w14:paraId="5D1AFF8D" w14:textId="77777777" w:rsidR="00792E20" w:rsidRPr="00223E3E" w:rsidRDefault="00792E20" w:rsidP="00792E20">
      <w:pPr>
        <w:sectPr w:rsidR="00792E20" w:rsidRPr="00223E3E" w:rsidSect="001C562B">
          <w:headerReference w:type="first" r:id="rId12"/>
          <w:footerReference w:type="first" r:id="rId13"/>
          <w:pgSz w:w="16838" w:h="11906" w:orient="landscape"/>
          <w:pgMar w:top="1417" w:right="1417" w:bottom="1417" w:left="1134" w:header="708" w:footer="708" w:gutter="0"/>
          <w:cols w:space="708"/>
          <w:titlePg/>
          <w:docGrid w:linePitch="360"/>
        </w:sectPr>
      </w:pPr>
    </w:p>
    <w:p w14:paraId="67BAEB56" w14:textId="77777777" w:rsidR="00792E20" w:rsidRPr="00223E3E" w:rsidRDefault="00792E20" w:rsidP="00ED5260">
      <w:pPr>
        <w:pStyle w:val="Heading2"/>
      </w:pPr>
      <w:bookmarkStart w:id="22" w:name="_o087gyh4d029" w:colFirst="0" w:colLast="0"/>
      <w:bookmarkStart w:id="23" w:name="_Toc517116029"/>
      <w:bookmarkStart w:id="24" w:name="_Toc517116140"/>
      <w:bookmarkStart w:id="25" w:name="_Toc517120864"/>
      <w:bookmarkEnd w:id="22"/>
      <w:r w:rsidRPr="00223E3E">
        <w:lastRenderedPageBreak/>
        <w:t>Data analysis</w:t>
      </w:r>
      <w:bookmarkEnd w:id="23"/>
      <w:bookmarkEnd w:id="24"/>
      <w:bookmarkEnd w:id="25"/>
    </w:p>
    <w:p w14:paraId="08E32A19" w14:textId="22B5F93C" w:rsidR="00792E20" w:rsidRPr="00223E3E" w:rsidRDefault="006A05E7" w:rsidP="00792E20">
      <w:r w:rsidRPr="00223E3E">
        <w:t>In total, three researchers were involved in the data analysis. The</w:t>
      </w:r>
      <w:r w:rsidR="00792E20" w:rsidRPr="00223E3E">
        <w:t xml:space="preserve"> </w:t>
      </w:r>
      <w:r w:rsidRPr="00223E3E">
        <w:t xml:space="preserve">process followed </w:t>
      </w:r>
      <w:r w:rsidR="00792E20" w:rsidRPr="00223E3E">
        <w:t xml:space="preserve">the recommendations </w:t>
      </w:r>
      <w:r w:rsidRPr="00223E3E">
        <w:t>on</w:t>
      </w:r>
      <w:r w:rsidR="00792E20" w:rsidRPr="00223E3E">
        <w:t xml:space="preserve"> multiple case study research for theory building </w:t>
      </w:r>
      <w:r w:rsidR="00792E20" w:rsidRPr="00223E3E">
        <w:fldChar w:fldCharType="begin" w:fldLock="1"/>
      </w:r>
      <w:r w:rsidR="00792E20" w:rsidRPr="00223E3E">
        <w:instrText>ADDIN CSL_CITATION {"citationItems":[{"id":"ITEM-1","itemData":{"abstract":"This article discusses the research strategy of theory building from cases, particularly multiple cases. Such a strategy involves using one or more cases to create theoretical constructs, propositions, and/or midrange theory from case-based, empirical evidence. Replication logic means that each case serves as a distinct experiment that stands on its own merits as an analytic unit. The frequent use of case studies as a research strategy has given rise to some challenges that can be mitigated by the use of very precise wording and thoughtful research design.","author":[{"dropping-particle":"","family":"Eisenhardt","given":"Kathleen M.","non-dropping-particle":"","parse-names":false,"suffix":""},{"dropping-particle":"","family":"Graebner","given":"Melissa E.","non-dropping-particle":"","parse-names":false,"suffix":""}],"container-title":"Academy of Management Journal","id":"ITEM-1","issued":{"date-parts":[["2007"]]},"title":"Theory building from cases: Opportunities and challenges","type":"article-journal"},"uris":["http://www.mendeley.com/documents/?uuid=fbaad3f4-e519-3d60-8e27-98450e9c86eb"]},{"id":"ITEM-2","itemData":{"author":[{"dropping-particle":"","family":"Eisenhardt","given":"Kathleen M","non-dropping-particle":"","parse-names":false,"suffix":""}],"container-title":"Academy of Management Review","id":"ITEM-2","issue":"4","issued":{"date-parts":[["1989"]]},"page":"532-550","title":"Building Theories from Case Study Research","type":"article-journal","volume":"14"},"uris":["http://www.mendeley.com/documents/?uuid=0b393c97-7ca8-41ab-aeb7-0e5fd1a4f93e"]}],"mendeley":{"formattedCitation":"(Eisenhardt, 1989; Eisenhardt &amp; Graebner, 2007)","manualFormatting":"(Eisenhardt, 1989; Eisenhardt &amp; Graebner, 2007)","plainTextFormattedCitation":"(Eisenhardt, 1989; Eisenhardt &amp; Graebner, 2007)","previouslyFormattedCitation":"(Eisenhardt, 1989; Eisenhardt &amp; Graebner, 2007)"},"properties":{"noteIndex":0},"schema":"https://github.com/citation-style-language/schema/raw/master/csl-citation.json"}</w:instrText>
      </w:r>
      <w:r w:rsidR="00792E20" w:rsidRPr="00223E3E">
        <w:fldChar w:fldCharType="separate"/>
      </w:r>
      <w:r w:rsidR="00792E20" w:rsidRPr="00223E3E">
        <w:rPr>
          <w:noProof/>
        </w:rPr>
        <w:t>(Eisenhardt, 1989; Eisenhardt &amp; Graebner, 2007)</w:t>
      </w:r>
      <w:r w:rsidR="00792E20" w:rsidRPr="00223E3E">
        <w:fldChar w:fldCharType="end"/>
      </w:r>
      <w:r w:rsidR="00792E20" w:rsidRPr="00223E3E">
        <w:t xml:space="preserve">. Through iterative </w:t>
      </w:r>
      <w:r w:rsidRPr="00223E3E">
        <w:t xml:space="preserve">comparison of </w:t>
      </w:r>
      <w:r w:rsidR="00792E20" w:rsidRPr="00223E3E">
        <w:t>data and literature</w:t>
      </w:r>
      <w:r w:rsidRPr="00223E3E">
        <w:t>,</w:t>
      </w:r>
      <w:r w:rsidR="00792E20" w:rsidRPr="00223E3E">
        <w:t xml:space="preserve"> </w:t>
      </w:r>
      <w:r w:rsidRPr="00223E3E">
        <w:t xml:space="preserve">the </w:t>
      </w:r>
      <w:r w:rsidR="00792E20" w:rsidRPr="00223E3E">
        <w:t xml:space="preserve">theory </w:t>
      </w:r>
      <w:r w:rsidRPr="00223E3E">
        <w:t xml:space="preserve">development started </w:t>
      </w:r>
      <w:r w:rsidR="00792E20" w:rsidRPr="00223E3E">
        <w:t xml:space="preserve">with no a priori hypothesis. </w:t>
      </w:r>
    </w:p>
    <w:p w14:paraId="0DD2AB1F" w14:textId="42C23E84" w:rsidR="00792E20" w:rsidRPr="00223E3E" w:rsidRDefault="006A05E7" w:rsidP="00792E20">
      <w:r w:rsidRPr="00223E3E">
        <w:t>We transcribed</w:t>
      </w:r>
      <w:r w:rsidR="00792E20" w:rsidRPr="00223E3E">
        <w:t xml:space="preserve"> each interview and buil</w:t>
      </w:r>
      <w:r w:rsidRPr="00223E3E">
        <w:t>t</w:t>
      </w:r>
      <w:r w:rsidR="00792E20" w:rsidRPr="00223E3E">
        <w:t xml:space="preserve"> individual case write</w:t>
      </w:r>
      <w:r w:rsidRPr="00223E3E">
        <w:t>-</w:t>
      </w:r>
      <w:r w:rsidR="00792E20" w:rsidRPr="00223E3E">
        <w:t xml:space="preserve">ups, </w:t>
      </w:r>
      <w:r w:rsidRPr="00223E3E">
        <w:t xml:space="preserve">that we </w:t>
      </w:r>
      <w:r w:rsidR="00792E20" w:rsidRPr="00223E3E">
        <w:t xml:space="preserve">discussed among </w:t>
      </w:r>
      <w:r w:rsidRPr="00223E3E">
        <w:t xml:space="preserve">the group </w:t>
      </w:r>
      <w:r w:rsidR="00792E20" w:rsidRPr="00223E3E">
        <w:t xml:space="preserve">of researchers. </w:t>
      </w:r>
      <w:r w:rsidRPr="00223E3E">
        <w:t>T</w:t>
      </w:r>
      <w:r w:rsidR="00792E20" w:rsidRPr="00223E3E">
        <w:t xml:space="preserve">he actual analysis started </w:t>
      </w:r>
      <w:r w:rsidRPr="00223E3E">
        <w:t xml:space="preserve">through an </w:t>
      </w:r>
      <w:r w:rsidR="00792E20" w:rsidRPr="00223E3E">
        <w:t xml:space="preserve">within-case analyses </w:t>
      </w:r>
      <w:r w:rsidRPr="00223E3E">
        <w:t xml:space="preserve">following an </w:t>
      </w:r>
      <w:r w:rsidR="00792E20" w:rsidRPr="00223E3E">
        <w:t>open</w:t>
      </w:r>
      <w:r w:rsidRPr="00223E3E">
        <w:t xml:space="preserve"> </w:t>
      </w:r>
      <w:r w:rsidR="00792E20" w:rsidRPr="00223E3E">
        <w:t xml:space="preserve">coding </w:t>
      </w:r>
      <w:r w:rsidRPr="00223E3E">
        <w:t xml:space="preserve">procedure of </w:t>
      </w:r>
      <w:r w:rsidR="00792E20" w:rsidRPr="00223E3E">
        <w:t xml:space="preserve">the interviews from which </w:t>
      </w:r>
      <w:r w:rsidRPr="00223E3E">
        <w:t xml:space="preserve">a set of distinct </w:t>
      </w:r>
      <w:r w:rsidR="00792E20" w:rsidRPr="00223E3E">
        <w:t xml:space="preserve">themes emerged </w:t>
      </w:r>
      <w:r w:rsidR="00792E20" w:rsidRPr="00223E3E">
        <w:fldChar w:fldCharType="begin" w:fldLock="1"/>
      </w:r>
      <w:r w:rsidR="00E4783A" w:rsidRPr="00223E3E">
        <w:instrText>ADDIN CSL_CITATION {"citationItems":[{"id":"ITEM-1","itemData":{"abstract":"The Third Edition of the bestselling Basics of Qualitative Research:Techniques and Procedures for Developing Grounded Theory continues to offer immensely practical advice and technical expertise to aid researchers in making sense of their collected data. Authors Juliet Corbin and the late Anselm Strauss (co-creator of Grounded Theory) present methods that enable researchers to analyze and interpret their data, and ultimately build theory from it. Highly accessible in their approach, Corbin and Strauss provide a step-by-step guide to the research act-from the formation of the research question through several approaches to coding and analysis, to reporting on the research. Full of definitions and illustrative examples, this book concludes with chapters that present criteria for evaluating a study, as well as responses to common questions posed by students of qualitative research. Significantly revised, Basics of Qualitative Research remains a landmark volume in the study of qualitative methods. Key Features of the Third Edition: Allows for students to develop their critical thinking skills in the \"Critical Issues\" section at the end of each chapter. Shows the actual steps involved in data analysis (from description to grounded theory) and data gathering by means of theoretical sampling. Provides exercises for thinking, writing and group discussion that reinforces material presented in the text. Consists of a student companion Web site at that includes real data and practice with qualitative software such as MAXQDA, as well as student practice exercises.","author":[{"dropping-particle":"","family":"Strauss","given":"Anselm","non-dropping-particle":"","parse-names":false,"suffix":""},{"dropping-particle":"","family":"Corbin","given":"Juliet","non-dropping-particle":"","parse-names":false,"suffix":""}],"container-title":"Basics of Qualitative Research Grounded Theory Procedures and Techniques","edition":"3rd","id":"ITEM-1","issued":{"date-parts":[["2008"]]},"publisher":"Sage Publications","publisher-place":"Thousand Oaks, CA","title":"Basics of Qualitative Research: Techniques and Procedures for Developing Grounded Theory","type":"book"},"uris":["http://www.mendeley.com/documents/?uuid=0e9bf114-d1e3-44a0-91f7-26b47dbf4c13"]}],"mendeley":{"formattedCitation":"(Strauss &amp; Corbin, 2008)","plainTextFormattedCitation":"(Strauss &amp; Corbin, 2008)","previouslyFormattedCitation":"(Strauss &amp; Corbin, 2008)"},"properties":{"noteIndex":0},"schema":"https://github.com/citation-style-language/schema/raw/master/csl-citation.json"}</w:instrText>
      </w:r>
      <w:r w:rsidR="00792E20" w:rsidRPr="00223E3E">
        <w:fldChar w:fldCharType="separate"/>
      </w:r>
      <w:r w:rsidR="00792E20" w:rsidRPr="00223E3E">
        <w:rPr>
          <w:noProof/>
        </w:rPr>
        <w:t>(Strauss &amp; Corbin, 2008)</w:t>
      </w:r>
      <w:r w:rsidR="00792E20" w:rsidRPr="00223E3E">
        <w:fldChar w:fldCharType="end"/>
      </w:r>
      <w:r w:rsidR="00792E20" w:rsidRPr="00223E3E">
        <w:t xml:space="preserve">. Each interview was coded individually by at least two researchers and </w:t>
      </w:r>
      <w:r w:rsidRPr="00223E3E">
        <w:t xml:space="preserve">following </w:t>
      </w:r>
      <w:r w:rsidR="00792E20" w:rsidRPr="00223E3E">
        <w:t>discuss</w:t>
      </w:r>
      <w:r w:rsidRPr="00223E3E">
        <w:t>ions of</w:t>
      </w:r>
      <w:r w:rsidR="00792E20" w:rsidRPr="00223E3E">
        <w:t xml:space="preserve"> these codes among </w:t>
      </w:r>
      <w:r w:rsidRPr="00223E3E">
        <w:t xml:space="preserve">the group of </w:t>
      </w:r>
      <w:r w:rsidR="00792E20" w:rsidRPr="00223E3E">
        <w:t xml:space="preserve">researchers. Some of the themes that emerged during this process are </w:t>
      </w:r>
      <w:r w:rsidR="00792E20" w:rsidRPr="00223E3E">
        <w:rPr>
          <w:i/>
        </w:rPr>
        <w:t>trust and transparency</w:t>
      </w:r>
      <w:r w:rsidR="00792E20" w:rsidRPr="00223E3E">
        <w:t xml:space="preserve">, </w:t>
      </w:r>
      <w:r w:rsidR="00792E20" w:rsidRPr="00223E3E">
        <w:rPr>
          <w:i/>
        </w:rPr>
        <w:t>comfort</w:t>
      </w:r>
      <w:r w:rsidR="00792E20" w:rsidRPr="00223E3E">
        <w:t xml:space="preserve">, or </w:t>
      </w:r>
      <w:r w:rsidR="00792E20" w:rsidRPr="00223E3E">
        <w:rPr>
          <w:i/>
        </w:rPr>
        <w:t>collaboration with regulatory institutions</w:t>
      </w:r>
      <w:r w:rsidR="00821916" w:rsidRPr="00223E3E">
        <w:t xml:space="preserve"> (cfr. </w:t>
      </w:r>
      <w:r w:rsidR="00821916" w:rsidRPr="00223E3E">
        <w:rPr>
          <w:i/>
        </w:rPr>
        <w:t xml:space="preserve">Section </w:t>
      </w:r>
      <w:r w:rsidR="00821916" w:rsidRPr="00223E3E">
        <w:rPr>
          <w:i/>
        </w:rPr>
        <w:fldChar w:fldCharType="begin"/>
      </w:r>
      <w:r w:rsidR="00821916" w:rsidRPr="00223E3E">
        <w:rPr>
          <w:i/>
        </w:rPr>
        <w:instrText xml:space="preserve"> REF _Ref532064551 \r \h  \* MERGEFORMAT </w:instrText>
      </w:r>
      <w:r w:rsidR="00821916" w:rsidRPr="00223E3E">
        <w:rPr>
          <w:i/>
        </w:rPr>
      </w:r>
      <w:r w:rsidR="00821916" w:rsidRPr="00223E3E">
        <w:rPr>
          <w:i/>
        </w:rPr>
        <w:fldChar w:fldCharType="separate"/>
      </w:r>
      <w:r w:rsidR="0055529B">
        <w:rPr>
          <w:i/>
        </w:rPr>
        <w:t>9.1.1</w:t>
      </w:r>
      <w:r w:rsidR="00821916" w:rsidRPr="00223E3E">
        <w:rPr>
          <w:i/>
        </w:rPr>
        <w:fldChar w:fldCharType="end"/>
      </w:r>
      <w:r w:rsidR="00821916" w:rsidRPr="00223E3E">
        <w:rPr>
          <w:i/>
        </w:rPr>
        <w:t>,</w:t>
      </w:r>
      <w:r w:rsidR="00821916" w:rsidRPr="00223E3E">
        <w:rPr>
          <w:i/>
        </w:rPr>
        <w:fldChar w:fldCharType="begin"/>
      </w:r>
      <w:r w:rsidR="00821916" w:rsidRPr="00223E3E">
        <w:rPr>
          <w:i/>
        </w:rPr>
        <w:instrText xml:space="preserve"> REF _Ref532064673 \h  \* MERGEFORMAT </w:instrText>
      </w:r>
      <w:r w:rsidR="00821916" w:rsidRPr="00223E3E">
        <w:rPr>
          <w:i/>
        </w:rPr>
      </w:r>
      <w:r w:rsidR="00821916" w:rsidRPr="00223E3E">
        <w:rPr>
          <w:i/>
        </w:rPr>
        <w:fldChar w:fldCharType="separate"/>
      </w:r>
      <w:r w:rsidR="0055529B" w:rsidRPr="0055529B">
        <w:rPr>
          <w:i/>
        </w:rPr>
        <w:t>Table 9</w:t>
      </w:r>
      <w:r w:rsidR="0055529B" w:rsidRPr="0055529B">
        <w:rPr>
          <w:i/>
        </w:rPr>
        <w:noBreakHyphen/>
        <w:t>3</w:t>
      </w:r>
      <w:r w:rsidR="00821916" w:rsidRPr="00223E3E">
        <w:rPr>
          <w:i/>
        </w:rPr>
        <w:fldChar w:fldCharType="end"/>
      </w:r>
      <w:r w:rsidR="00821916" w:rsidRPr="00223E3E">
        <w:rPr>
          <w:i/>
        </w:rPr>
        <w:t>,4,5</w:t>
      </w:r>
      <w:r w:rsidR="00792E20" w:rsidRPr="00223E3E">
        <w:rPr>
          <w:i/>
        </w:rPr>
        <w:t>).</w:t>
      </w:r>
      <w:r w:rsidR="00792E20" w:rsidRPr="00223E3E">
        <w:t xml:space="preserve"> </w:t>
      </w:r>
      <w:r w:rsidRPr="00223E3E">
        <w:t>The</w:t>
      </w:r>
      <w:r w:rsidR="00792E20" w:rsidRPr="00223E3E">
        <w:t xml:space="preserve"> subsequent cross-case analysis was </w:t>
      </w:r>
      <w:r w:rsidRPr="00223E3E">
        <w:t xml:space="preserve">separated </w:t>
      </w:r>
      <w:r w:rsidR="00792E20" w:rsidRPr="00223E3E">
        <w:t xml:space="preserve">into two steps. Following the pattern-search tactics </w:t>
      </w:r>
      <w:r w:rsidRPr="00223E3E">
        <w:t>as proposed</w:t>
      </w:r>
      <w:r w:rsidR="00792E20" w:rsidRPr="00223E3E">
        <w:t xml:space="preserve"> by Eisenhardt </w:t>
      </w:r>
      <w:r w:rsidR="00792E20" w:rsidRPr="00223E3E">
        <w:fldChar w:fldCharType="begin" w:fldLock="1"/>
      </w:r>
      <w:r w:rsidR="00792E20" w:rsidRPr="00223E3E">
        <w:instrText>ADDIN CSL_CITATION {"citationItems":[{"id":"ITEM-1","itemData":{"author":[{"dropping-particle":"","family":"Eisenhardt","given":"Kathleen M","non-dropping-particle":"","parse-names":false,"suffix":""}],"container-title":"Academy of Management Review","id":"ITEM-1","issue":"4","issued":{"date-parts":[["1989"]]},"page":"532-550","title":"Building Theories from Case Study Research","type":"article-journal","volume":"14"},"uris":["http://www.mendeley.com/documents/?uuid=0b393c97-7ca8-41ab-aeb7-0e5fd1a4f93e"]}],"mendeley":{"formattedCitation":"(Eisenhardt, 1989)","manualFormatting":"(1989)","plainTextFormattedCitation":"(Eisenhardt, 1989)","previouslyFormattedCitation":"(Eisenhardt, 1989)"},"properties":{"noteIndex":0},"schema":"https://github.com/citation-style-language/schema/raw/master/csl-citation.json"}</w:instrText>
      </w:r>
      <w:r w:rsidR="00792E20" w:rsidRPr="00223E3E">
        <w:fldChar w:fldCharType="separate"/>
      </w:r>
      <w:r w:rsidR="00792E20" w:rsidRPr="00223E3E">
        <w:rPr>
          <w:noProof/>
        </w:rPr>
        <w:t>(1989)</w:t>
      </w:r>
      <w:r w:rsidR="00792E20" w:rsidRPr="00223E3E">
        <w:fldChar w:fldCharType="end"/>
      </w:r>
      <w:r w:rsidRPr="00223E3E">
        <w:t xml:space="preserve">, </w:t>
      </w:r>
      <w:r w:rsidR="00792E20" w:rsidRPr="00223E3E">
        <w:t xml:space="preserve">pairs of cases </w:t>
      </w:r>
      <w:r w:rsidRPr="00223E3E">
        <w:t xml:space="preserve">and compared against each other to identify </w:t>
      </w:r>
      <w:r w:rsidR="00792E20" w:rsidRPr="00223E3E">
        <w:t xml:space="preserve">similarities and differences between them. </w:t>
      </w:r>
      <w:r w:rsidRPr="00223E3E">
        <w:t xml:space="preserve">Additionally, </w:t>
      </w:r>
      <w:r w:rsidR="00792E20" w:rsidRPr="00223E3E">
        <w:t>process visuali</w:t>
      </w:r>
      <w:r w:rsidR="009453B0">
        <w:t>sati</w:t>
      </w:r>
      <w:r w:rsidR="00792E20" w:rsidRPr="00223E3E">
        <w:t>ons enhance</w:t>
      </w:r>
      <w:r w:rsidRPr="00223E3E">
        <w:t>d</w:t>
      </w:r>
      <w:r w:rsidR="00792E20" w:rsidRPr="00223E3E">
        <w:t xml:space="preserve"> subsequent discussions </w:t>
      </w:r>
      <w:r w:rsidRPr="00223E3E">
        <w:t xml:space="preserve">among </w:t>
      </w:r>
      <w:r w:rsidR="00792E20" w:rsidRPr="00223E3E">
        <w:t xml:space="preserve">the </w:t>
      </w:r>
      <w:r w:rsidRPr="00223E3E">
        <w:t xml:space="preserve">group of </w:t>
      </w:r>
      <w:r w:rsidR="00792E20" w:rsidRPr="00223E3E">
        <w:t xml:space="preserve">researchers. I then used the themes </w:t>
      </w:r>
      <w:r w:rsidR="00A03636" w:rsidRPr="00223E3E">
        <w:t xml:space="preserve">that had emerged </w:t>
      </w:r>
      <w:r w:rsidR="00792E20" w:rsidRPr="00223E3E">
        <w:t xml:space="preserve">from the open coding </w:t>
      </w:r>
      <w:r w:rsidR="00A03636" w:rsidRPr="00223E3E">
        <w:t xml:space="preserve">procedure </w:t>
      </w:r>
      <w:r w:rsidR="00792E20" w:rsidRPr="00223E3E">
        <w:t xml:space="preserve">to elaborate on the differences </w:t>
      </w:r>
      <w:r w:rsidR="00A03636" w:rsidRPr="00223E3E">
        <w:t xml:space="preserve">the </w:t>
      </w:r>
      <w:r w:rsidR="00792E20" w:rsidRPr="00223E3E">
        <w:t>case</w:t>
      </w:r>
      <w:r w:rsidR="00A03636" w:rsidRPr="00223E3E">
        <w:t>s</w:t>
      </w:r>
      <w:r w:rsidR="00792E20" w:rsidRPr="00223E3E">
        <w:t xml:space="preserve"> groups</w:t>
      </w:r>
      <w:r w:rsidR="00A03636" w:rsidRPr="00223E3E">
        <w:t>. This allowed me</w:t>
      </w:r>
      <w:r w:rsidR="00792E20" w:rsidRPr="00223E3E">
        <w:t xml:space="preserve"> to identify </w:t>
      </w:r>
      <w:r w:rsidR="00A03636" w:rsidRPr="00223E3E">
        <w:t xml:space="preserve">both obvious and more </w:t>
      </w:r>
      <w:r w:rsidR="00792E20" w:rsidRPr="00223E3E">
        <w:t xml:space="preserve">subtle differences </w:t>
      </w:r>
      <w:r w:rsidR="00A03636" w:rsidRPr="00223E3E">
        <w:t xml:space="preserve">among them </w:t>
      </w:r>
      <w:r w:rsidR="00792E20" w:rsidRPr="00223E3E">
        <w:t xml:space="preserve">and </w:t>
      </w:r>
      <w:r w:rsidR="00A03636" w:rsidRPr="00223E3E">
        <w:t xml:space="preserve">subsequently </w:t>
      </w:r>
      <w:r w:rsidR="00792E20" w:rsidRPr="00223E3E">
        <w:t xml:space="preserve">build my theory. </w:t>
      </w:r>
    </w:p>
    <w:p w14:paraId="30631C2C" w14:textId="653C9B20" w:rsidR="00792E20" w:rsidRPr="00223E3E" w:rsidRDefault="00792E20" w:rsidP="00ED5260">
      <w:pPr>
        <w:pStyle w:val="Heading1"/>
      </w:pPr>
      <w:bookmarkStart w:id="26" w:name="_Toc1632040"/>
      <w:r w:rsidRPr="00223E3E">
        <w:t>Findings</w:t>
      </w:r>
      <w:bookmarkEnd w:id="26"/>
    </w:p>
    <w:p w14:paraId="2FAA3505" w14:textId="09B3E59C" w:rsidR="00792E20" w:rsidRPr="00223E3E" w:rsidRDefault="00792E20" w:rsidP="00792E20">
      <w:r w:rsidRPr="00223E3E">
        <w:t xml:space="preserve">My analysis of the sampled cases reveals distinct patterns </w:t>
      </w:r>
      <w:r w:rsidR="00821916" w:rsidRPr="00223E3E">
        <w:t xml:space="preserve">that </w:t>
      </w:r>
      <w:r w:rsidR="006035CB" w:rsidRPr="00223E3E">
        <w:t>organisation</w:t>
      </w:r>
      <w:r w:rsidRPr="00223E3E">
        <w:t>s apply when aiming to leverage the IOTA Tangle for the design of their value proposition, value creation and capture mechanisms. Overall, I observed that firms make purposeful decisions for or against a specific D</w:t>
      </w:r>
      <w:r w:rsidR="00821916" w:rsidRPr="00223E3E">
        <w:t xml:space="preserve">LT-protocol (also see </w:t>
      </w:r>
      <w:r w:rsidR="00821916" w:rsidRPr="00223E3E">
        <w:rPr>
          <w:i/>
        </w:rPr>
        <w:t xml:space="preserve">Section </w:t>
      </w:r>
      <w:r w:rsidR="00821916" w:rsidRPr="00223E3E">
        <w:rPr>
          <w:i/>
        </w:rPr>
        <w:fldChar w:fldCharType="begin"/>
      </w:r>
      <w:r w:rsidR="00821916" w:rsidRPr="00223E3E">
        <w:rPr>
          <w:i/>
        </w:rPr>
        <w:instrText xml:space="preserve"> REF _Ref532064551 \r \h  \* MERGEFORMAT </w:instrText>
      </w:r>
      <w:r w:rsidR="00821916" w:rsidRPr="00223E3E">
        <w:rPr>
          <w:i/>
        </w:rPr>
      </w:r>
      <w:r w:rsidR="00821916" w:rsidRPr="00223E3E">
        <w:rPr>
          <w:i/>
        </w:rPr>
        <w:fldChar w:fldCharType="separate"/>
      </w:r>
      <w:r w:rsidR="0055529B">
        <w:rPr>
          <w:i/>
        </w:rPr>
        <w:t>9.1.1</w:t>
      </w:r>
      <w:r w:rsidR="00821916" w:rsidRPr="00223E3E">
        <w:rPr>
          <w:i/>
        </w:rPr>
        <w:fldChar w:fldCharType="end"/>
      </w:r>
      <w:r w:rsidR="00821916" w:rsidRPr="00223E3E">
        <w:rPr>
          <w:i/>
        </w:rPr>
        <w:t xml:space="preserve">, </w:t>
      </w:r>
      <w:r w:rsidR="00821916" w:rsidRPr="00223E3E">
        <w:rPr>
          <w:i/>
        </w:rPr>
        <w:fldChar w:fldCharType="begin"/>
      </w:r>
      <w:r w:rsidR="00821916" w:rsidRPr="00223E3E">
        <w:rPr>
          <w:i/>
        </w:rPr>
        <w:instrText xml:space="preserve"> REF _Ref532064763 \h  \* MERGEFORMAT </w:instrText>
      </w:r>
      <w:r w:rsidR="00821916" w:rsidRPr="00223E3E">
        <w:rPr>
          <w:i/>
        </w:rPr>
      </w:r>
      <w:r w:rsidR="00821916" w:rsidRPr="00223E3E">
        <w:rPr>
          <w:i/>
        </w:rPr>
        <w:fldChar w:fldCharType="separate"/>
      </w:r>
      <w:r w:rsidR="0055529B" w:rsidRPr="0055529B">
        <w:rPr>
          <w:i/>
        </w:rPr>
        <w:t>Table 9</w:t>
      </w:r>
      <w:r w:rsidR="0055529B" w:rsidRPr="0055529B">
        <w:rPr>
          <w:i/>
        </w:rPr>
        <w:noBreakHyphen/>
        <w:t>6</w:t>
      </w:r>
      <w:r w:rsidR="00821916" w:rsidRPr="00223E3E">
        <w:rPr>
          <w:i/>
        </w:rPr>
        <w:fldChar w:fldCharType="end"/>
      </w:r>
      <w:r w:rsidRPr="00223E3E">
        <w:t xml:space="preserve">). In this regard, my informants frequently highlighted a set of distinct features of the IOTA protocol that enabled them to develop specific business model designs and consequently guided their protocol choice, i.e. </w:t>
      </w:r>
    </w:p>
    <w:p w14:paraId="2FC0D3B0" w14:textId="24C22F08" w:rsidR="00792E20" w:rsidRPr="00223E3E" w:rsidRDefault="00792E20" w:rsidP="00345DC1">
      <w:pPr>
        <w:pStyle w:val="ListParagraph"/>
        <w:numPr>
          <w:ilvl w:val="0"/>
          <w:numId w:val="21"/>
        </w:numPr>
        <w:spacing w:after="280" w:line="360" w:lineRule="auto"/>
        <w:rPr>
          <w:lang w:val="en-GB"/>
        </w:rPr>
      </w:pPr>
      <w:r w:rsidRPr="00223E3E">
        <w:rPr>
          <w:lang w:val="en-GB"/>
        </w:rPr>
        <w:t xml:space="preserve">the </w:t>
      </w:r>
      <w:r w:rsidR="001F5682" w:rsidRPr="00223E3E">
        <w:rPr>
          <w:i/>
          <w:lang w:val="en-GB"/>
        </w:rPr>
        <w:t>Masked Authentication Messaging</w:t>
      </w:r>
      <w:r w:rsidRPr="00223E3E">
        <w:rPr>
          <w:lang w:val="en-GB"/>
        </w:rPr>
        <w:t xml:space="preserve"> module for private communication between designated parties e.g., in the </w:t>
      </w:r>
      <w:r w:rsidRPr="00223E3E">
        <w:rPr>
          <w:i/>
          <w:lang w:val="en-GB"/>
        </w:rPr>
        <w:t>eHealth</w:t>
      </w:r>
      <w:r w:rsidRPr="00223E3E">
        <w:rPr>
          <w:lang w:val="en-GB"/>
        </w:rPr>
        <w:t xml:space="preserve"> case between the medical device and the doctor, </w:t>
      </w:r>
    </w:p>
    <w:p w14:paraId="1385DCBC" w14:textId="77777777" w:rsidR="00792E20" w:rsidRPr="00223E3E" w:rsidRDefault="00792E20" w:rsidP="00345DC1">
      <w:pPr>
        <w:pStyle w:val="ListParagraph"/>
        <w:numPr>
          <w:ilvl w:val="0"/>
          <w:numId w:val="21"/>
        </w:numPr>
        <w:spacing w:after="280" w:line="360" w:lineRule="auto"/>
        <w:rPr>
          <w:lang w:val="en-GB"/>
        </w:rPr>
      </w:pPr>
      <w:r w:rsidRPr="00223E3E">
        <w:rPr>
          <w:lang w:val="en-GB"/>
        </w:rPr>
        <w:t xml:space="preserve">the Tangle’s </w:t>
      </w:r>
      <w:r w:rsidRPr="00223E3E">
        <w:rPr>
          <w:i/>
          <w:lang w:val="en-GB"/>
        </w:rPr>
        <w:t>feeless architecture</w:t>
      </w:r>
      <w:r w:rsidRPr="00223E3E">
        <w:rPr>
          <w:lang w:val="en-GB"/>
        </w:rPr>
        <w:t xml:space="preserve"> that enables exchange of tamperproof data streams and microtransactions, e.g., for </w:t>
      </w:r>
      <w:r w:rsidRPr="00223E3E">
        <w:rPr>
          <w:i/>
          <w:lang w:val="en-GB"/>
        </w:rPr>
        <w:t>functions on demand</w:t>
      </w:r>
      <w:r w:rsidRPr="00223E3E">
        <w:rPr>
          <w:lang w:val="en-GB"/>
        </w:rPr>
        <w:t xml:space="preserve"> as tested by VW,</w:t>
      </w:r>
    </w:p>
    <w:p w14:paraId="1171CAF4" w14:textId="77777777" w:rsidR="00792E20" w:rsidRPr="00223E3E" w:rsidRDefault="00792E20" w:rsidP="00345DC1">
      <w:pPr>
        <w:pStyle w:val="ListParagraph"/>
        <w:numPr>
          <w:ilvl w:val="0"/>
          <w:numId w:val="21"/>
        </w:numPr>
        <w:spacing w:after="280" w:line="360" w:lineRule="auto"/>
        <w:rPr>
          <w:lang w:val="en-GB"/>
        </w:rPr>
      </w:pPr>
      <w:r w:rsidRPr="00223E3E">
        <w:rPr>
          <w:lang w:val="en-GB"/>
        </w:rPr>
        <w:lastRenderedPageBreak/>
        <w:t xml:space="preserve">the possibility of </w:t>
      </w:r>
      <w:r w:rsidRPr="00223E3E">
        <w:rPr>
          <w:i/>
          <w:lang w:val="en-GB"/>
        </w:rPr>
        <w:t>offline-transactions</w:t>
      </w:r>
      <w:r w:rsidRPr="00223E3E">
        <w:rPr>
          <w:lang w:val="en-GB"/>
        </w:rPr>
        <w:t xml:space="preserve">, such as in the </w:t>
      </w:r>
      <w:r w:rsidRPr="00223E3E">
        <w:rPr>
          <w:i/>
          <w:lang w:val="en-GB"/>
        </w:rPr>
        <w:t>Smart Charging</w:t>
      </w:r>
      <w:r w:rsidRPr="00223E3E">
        <w:rPr>
          <w:lang w:val="en-GB"/>
        </w:rPr>
        <w:t xml:space="preserve"> case for transactions between the car and the charging station,</w:t>
      </w:r>
    </w:p>
    <w:p w14:paraId="55839E06" w14:textId="77777777" w:rsidR="00792E20" w:rsidRPr="00223E3E" w:rsidRDefault="00792E20" w:rsidP="00345DC1">
      <w:pPr>
        <w:pStyle w:val="ListParagraph"/>
        <w:numPr>
          <w:ilvl w:val="0"/>
          <w:numId w:val="21"/>
        </w:numPr>
        <w:spacing w:after="280" w:line="360" w:lineRule="auto"/>
        <w:rPr>
          <w:lang w:val="en-GB"/>
        </w:rPr>
      </w:pPr>
      <w:r w:rsidRPr="00223E3E">
        <w:rPr>
          <w:i/>
          <w:lang w:val="en-GB"/>
        </w:rPr>
        <w:t>Scalability</w:t>
      </w:r>
      <w:r w:rsidRPr="00223E3E">
        <w:rPr>
          <w:lang w:val="en-GB"/>
        </w:rPr>
        <w:t xml:space="preserve">, enabling continuous data streams between various kinds of devices, e.g., in the </w:t>
      </w:r>
      <w:r w:rsidRPr="00223E3E">
        <w:rPr>
          <w:i/>
          <w:lang w:val="en-GB"/>
        </w:rPr>
        <w:t>Industry 4.0</w:t>
      </w:r>
      <w:r w:rsidRPr="00223E3E">
        <w:rPr>
          <w:lang w:val="en-GB"/>
        </w:rPr>
        <w:t xml:space="preserve"> case,</w:t>
      </w:r>
    </w:p>
    <w:p w14:paraId="35522C8A" w14:textId="77777777" w:rsidR="00792E20" w:rsidRPr="00223E3E" w:rsidRDefault="00792E20" w:rsidP="00345DC1">
      <w:pPr>
        <w:pStyle w:val="ListParagraph"/>
        <w:numPr>
          <w:ilvl w:val="0"/>
          <w:numId w:val="21"/>
        </w:numPr>
        <w:spacing w:after="280" w:line="360" w:lineRule="auto"/>
        <w:rPr>
          <w:lang w:val="en-GB"/>
        </w:rPr>
      </w:pPr>
      <w:r w:rsidRPr="00223E3E">
        <w:rPr>
          <w:lang w:val="en-GB"/>
        </w:rPr>
        <w:t xml:space="preserve">the </w:t>
      </w:r>
      <w:r w:rsidRPr="00223E3E">
        <w:rPr>
          <w:i/>
          <w:lang w:val="en-GB"/>
        </w:rPr>
        <w:t>Open Source</w:t>
      </w:r>
      <w:r w:rsidRPr="00223E3E">
        <w:rPr>
          <w:lang w:val="en-GB"/>
        </w:rPr>
        <w:t xml:space="preserve"> nature enabling innovators to easily contribute to the newly developed ecosystem, such as in the </w:t>
      </w:r>
      <w:r w:rsidRPr="00223E3E">
        <w:rPr>
          <w:i/>
          <w:lang w:val="en-GB"/>
        </w:rPr>
        <w:t>New Internet</w:t>
      </w:r>
      <w:r w:rsidRPr="00223E3E">
        <w:rPr>
          <w:lang w:val="en-GB"/>
        </w:rPr>
        <w:t xml:space="preserve"> case.</w:t>
      </w:r>
    </w:p>
    <w:p w14:paraId="2C83743D" w14:textId="2748D0EF" w:rsidR="00792E20" w:rsidRPr="00223E3E" w:rsidRDefault="00792E20" w:rsidP="00792E20">
      <w:r w:rsidRPr="00223E3E">
        <w:t xml:space="preserve">I noticed that the more the sampled </w:t>
      </w:r>
      <w:r w:rsidR="006035CB" w:rsidRPr="00223E3E">
        <w:t>organisation</w:t>
      </w:r>
      <w:r w:rsidRPr="00223E3E">
        <w:t>s integrate the Tangle as an essential part of their business model the closer they collaborate with the IOTA Foundation. One of my informants highlights:</w:t>
      </w:r>
    </w:p>
    <w:p w14:paraId="4A0F1449" w14:textId="77777777" w:rsidR="00792E20" w:rsidRPr="00223E3E" w:rsidRDefault="00792E20" w:rsidP="00792E20">
      <w:pPr>
        <w:pStyle w:val="Quote"/>
        <w:rPr>
          <w:shd w:val="clear" w:color="auto" w:fill="FFFFFF"/>
        </w:rPr>
      </w:pPr>
      <w:r w:rsidRPr="00223E3E">
        <w:rPr>
          <w:shd w:val="clear" w:color="auto" w:fill="FFFFFF"/>
        </w:rPr>
        <w:t>Of course, we conducted different tests ourselves and the theoretical description and general implementation appear suitable. However, somewhere there may still be aspects, that one cannot observe initially, and that need to be improved in subsequent versions. […] this is indeed the fact why we joined the IOTA Foundation: to push these issues forward. [#1: Industry 4.0]</w:t>
      </w:r>
    </w:p>
    <w:p w14:paraId="3F8A2357" w14:textId="095AA0A3" w:rsidR="00792E20" w:rsidRPr="00223E3E" w:rsidRDefault="00792E20" w:rsidP="00792E20">
      <w:r w:rsidRPr="00223E3E">
        <w:t xml:space="preserve">Furthermore, following Gassmann and colleagues’ </w:t>
      </w:r>
      <w:r w:rsidRPr="00223E3E">
        <w:rPr>
          <w:i/>
        </w:rPr>
        <w:t>‘Recombination School’</w:t>
      </w:r>
      <w:r w:rsidRPr="00223E3E">
        <w:t xml:space="preserve"> of thought </w:t>
      </w:r>
      <w:r w:rsidRPr="00223E3E">
        <w:fldChar w:fldCharType="begin" w:fldLock="1"/>
      </w:r>
      <w:r w:rsidRPr="00223E3E">
        <w:instrText>ADDIN CSL_CITATION {"citationItems":[{"id":"ITEM-1","itemData":{"author":[{"dropping-particle":"","family":"Gassmann","given":"Oliver","non-dropping-particle":"","parse-names":false,"suffix":""},{"dropping-particle":"","family":"Frankenberger","given":"Karolin","non-dropping-particle":"","parse-names":false,"suffix":""},{"dropping-particle":"","family":"Sauer","given":"Roman","non-dropping-particle":"","parse-names":false,"suffix":""}],"id":"ITEM-1","issued":{"date-parts":[["2016"]]},"publisher":"Palgrave Macmillan","title":"Exploring the field of Business Model Innovation: New Theoretical Perspectives","type":"book"},"uris":["http://www.mendeley.com/documents/?uuid=541f9f4e-872b-49e0-90de-a0142c143fa2"]}],"mendeley":{"formattedCitation":"(Gassmann, Frankenberger, &amp; Sauer, 2016)","plainTextFormattedCitation":"(Gassmann, Frankenberger, &amp; Sauer, 2016)","previouslyFormattedCitation":"(Gassmann, Frankenberger, &amp; Sauer, 2016)"},"properties":{"noteIndex":0},"schema":"https://github.com/citation-style-language/schema/raw/master/csl-citation.json"}</w:instrText>
      </w:r>
      <w:r w:rsidRPr="00223E3E">
        <w:fldChar w:fldCharType="separate"/>
      </w:r>
      <w:r w:rsidRPr="00223E3E">
        <w:rPr>
          <w:noProof/>
        </w:rPr>
        <w:t>(Gassmann, Frankenberger, &amp; Sauer, 2016)</w:t>
      </w:r>
      <w:r w:rsidRPr="00223E3E">
        <w:fldChar w:fldCharType="end"/>
      </w:r>
      <w:r w:rsidRPr="00223E3E">
        <w:t xml:space="preserve"> I observed two distinct potential patterns by which the sampled </w:t>
      </w:r>
      <w:r w:rsidR="006035CB" w:rsidRPr="00223E3E">
        <w:t>organisation</w:t>
      </w:r>
      <w:r w:rsidRPr="00223E3E">
        <w:t xml:space="preserve">s intend to create and capture value when leveraging the IOTA Tangle: For one, opposed to upfront- or time-boxed payments, e.g., when paying for parking tickets, I commonly observed value that is created and captured </w:t>
      </w:r>
      <w:r w:rsidRPr="00223E3E">
        <w:rPr>
          <w:i/>
        </w:rPr>
        <w:t>by-demand</w:t>
      </w:r>
      <w:r w:rsidRPr="00223E3E">
        <w:t xml:space="preserve">, i.e. value that is provided to the customer when and for the exact time it is needed. The interviewees referred to these mechanisms for instance using terms such as </w:t>
      </w:r>
      <w:r w:rsidRPr="00223E3E">
        <w:rPr>
          <w:i/>
        </w:rPr>
        <w:t>pay-by-data</w:t>
      </w:r>
      <w:r w:rsidRPr="00223E3E">
        <w:t xml:space="preserve"> (</w:t>
      </w:r>
      <w:proofErr w:type="spellStart"/>
      <w:r w:rsidRPr="00223E3E">
        <w:t>Fognet</w:t>
      </w:r>
      <w:proofErr w:type="spellEnd"/>
      <w:r w:rsidRPr="00223E3E">
        <w:t xml:space="preserve">), </w:t>
      </w:r>
      <w:r w:rsidRPr="00223E3E">
        <w:rPr>
          <w:i/>
        </w:rPr>
        <w:t>functions-on-demand</w:t>
      </w:r>
      <w:r w:rsidRPr="00223E3E">
        <w:t xml:space="preserve"> (VW), or </w:t>
      </w:r>
      <w:r w:rsidRPr="00223E3E">
        <w:rPr>
          <w:i/>
        </w:rPr>
        <w:t>pay-per-time (washing)</w:t>
      </w:r>
      <w:r w:rsidRPr="00223E3E">
        <w:t xml:space="preserve"> (WeWash). For another, opposed to the purchase of large data sets as a whole, I observed the monetari</w:t>
      </w:r>
      <w:r w:rsidR="009453B0">
        <w:t>sati</w:t>
      </w:r>
      <w:r w:rsidRPr="00223E3E">
        <w:t xml:space="preserve">on of data streams through microtransactions. Theoretically, this allows users to purchase a single data point stemming from a medical device in the </w:t>
      </w:r>
      <w:r w:rsidRPr="00223E3E">
        <w:rPr>
          <w:i/>
        </w:rPr>
        <w:t>eHealth</w:t>
      </w:r>
      <w:r w:rsidRPr="00223E3E">
        <w:t xml:space="preserve"> case or the supply chain in the </w:t>
      </w:r>
      <w:r w:rsidRPr="00223E3E">
        <w:rPr>
          <w:i/>
        </w:rPr>
        <w:t>Industry 4.0</w:t>
      </w:r>
      <w:r w:rsidR="00821916" w:rsidRPr="00223E3E">
        <w:t xml:space="preserve"> case. At their core</w:t>
      </w:r>
      <w:r w:rsidRPr="00223E3E">
        <w:t xml:space="preserve"> both patterns benefit from IOTA’s </w:t>
      </w:r>
      <w:r w:rsidRPr="00223E3E">
        <w:rPr>
          <w:i/>
        </w:rPr>
        <w:t>scalability</w:t>
      </w:r>
      <w:r w:rsidRPr="00223E3E">
        <w:t xml:space="preserve">, </w:t>
      </w:r>
      <w:r w:rsidRPr="00223E3E">
        <w:rPr>
          <w:i/>
        </w:rPr>
        <w:t>feeless architecture,</w:t>
      </w:r>
      <w:r w:rsidRPr="00223E3E">
        <w:t xml:space="preserve"> and the integration of a </w:t>
      </w:r>
      <w:r w:rsidRPr="00223E3E">
        <w:rPr>
          <w:i/>
        </w:rPr>
        <w:t>token</w:t>
      </w:r>
      <w:r w:rsidRPr="00223E3E">
        <w:t>, which enables direct monetari</w:t>
      </w:r>
      <w:r w:rsidR="009453B0">
        <w:t>sati</w:t>
      </w:r>
      <w:r w:rsidRPr="00223E3E">
        <w:t>on in return for data exchange.</w:t>
      </w:r>
    </w:p>
    <w:p w14:paraId="317A8CE2" w14:textId="565D690B" w:rsidR="00792E20" w:rsidRPr="00223E3E" w:rsidRDefault="00792E20" w:rsidP="00792E20">
      <w:r w:rsidRPr="00223E3E">
        <w:t xml:space="preserve">Finally, the holistic analysis of the value proposition, value creation and capture mechanisms in the course of my coding process unexpectedly revealed two approaches in the context of which companies develop their business models: a </w:t>
      </w:r>
      <w:r w:rsidRPr="00223E3E">
        <w:rPr>
          <w:i/>
        </w:rPr>
        <w:t>closed</w:t>
      </w:r>
      <w:r w:rsidRPr="00223E3E">
        <w:t xml:space="preserve"> and an </w:t>
      </w:r>
      <w:r w:rsidRPr="00223E3E">
        <w:rPr>
          <w:i/>
        </w:rPr>
        <w:t>open</w:t>
      </w:r>
      <w:r w:rsidRPr="00223E3E">
        <w:t xml:space="preserve"> </w:t>
      </w:r>
      <w:r w:rsidRPr="00223E3E">
        <w:rPr>
          <w:i/>
        </w:rPr>
        <w:t>plat</w:t>
      </w:r>
      <w:r w:rsidRPr="00223E3E">
        <w:rPr>
          <w:i/>
        </w:rPr>
        <w:lastRenderedPageBreak/>
        <w:t>form</w:t>
      </w:r>
      <w:r w:rsidRPr="00223E3E">
        <w:t xml:space="preserve"> approach </w:t>
      </w:r>
      <w:r w:rsidR="00401E4B" w:rsidRPr="00223E3E">
        <w:rPr>
          <w:i/>
        </w:rPr>
        <w:t>(</w:t>
      </w:r>
      <w:r w:rsidR="00401E4B" w:rsidRPr="00223E3E">
        <w:rPr>
          <w:i/>
        </w:rPr>
        <w:fldChar w:fldCharType="begin"/>
      </w:r>
      <w:r w:rsidR="00401E4B" w:rsidRPr="00223E3E">
        <w:rPr>
          <w:i/>
        </w:rPr>
        <w:instrText xml:space="preserve"> REF _Ref531606511 \h  \* MERGEFORMAT </w:instrText>
      </w:r>
      <w:r w:rsidR="00401E4B" w:rsidRPr="00223E3E">
        <w:rPr>
          <w:i/>
        </w:rPr>
      </w:r>
      <w:r w:rsidR="00401E4B" w:rsidRPr="00223E3E">
        <w:rPr>
          <w:i/>
        </w:rPr>
        <w:fldChar w:fldCharType="separate"/>
      </w:r>
      <w:r w:rsidR="0055529B" w:rsidRPr="0055529B">
        <w:rPr>
          <w:i/>
        </w:rPr>
        <w:t>Figure 3</w:t>
      </w:r>
      <w:r w:rsidR="0055529B" w:rsidRPr="0055529B">
        <w:rPr>
          <w:i/>
        </w:rPr>
        <w:noBreakHyphen/>
        <w:t>2</w:t>
      </w:r>
      <w:r w:rsidR="00401E4B" w:rsidRPr="00223E3E">
        <w:rPr>
          <w:i/>
        </w:rPr>
        <w:fldChar w:fldCharType="end"/>
      </w:r>
      <w:r w:rsidR="00401E4B" w:rsidRPr="00223E3E">
        <w:rPr>
          <w:i/>
        </w:rPr>
        <w:t>).</w:t>
      </w:r>
      <w:r w:rsidR="00401E4B" w:rsidRPr="00223E3E">
        <w:t xml:space="preserve"> </w:t>
      </w:r>
      <w:r w:rsidRPr="00223E3E">
        <w:t xml:space="preserve">Firms pursuing a closed approach leverage IOTA to facilitate innovative value capture mechanisms in the course of which the focal firm creates a platform business model or extends an existing one. The ownership of the infrastructure allows the firm to remain control </w:t>
      </w:r>
      <w:r w:rsidR="00821916" w:rsidRPr="00223E3E">
        <w:t>over</w:t>
      </w:r>
      <w:r w:rsidRPr="00223E3E">
        <w:t xml:space="preserve"> the participating entities and the type of transactions processed through the Tangle. I found three subtle differences for instantiations of centrali</w:t>
      </w:r>
      <w:r w:rsidR="00595818">
        <w:t>s</w:t>
      </w:r>
      <w:r w:rsidRPr="00223E3E">
        <w:t xml:space="preserve">ed systems: the </w:t>
      </w:r>
      <w:r w:rsidRPr="00223E3E">
        <w:rPr>
          <w:i/>
        </w:rPr>
        <w:t xml:space="preserve">Plug-In, </w:t>
      </w:r>
      <w:r w:rsidRPr="00223E3E">
        <w:t>the</w:t>
      </w:r>
      <w:r w:rsidRPr="00223E3E">
        <w:rPr>
          <w:i/>
        </w:rPr>
        <w:t xml:space="preserve"> Deep Integration</w:t>
      </w:r>
      <w:r w:rsidRPr="00223E3E">
        <w:t>, and the</w:t>
      </w:r>
      <w:r w:rsidRPr="00223E3E">
        <w:rPr>
          <w:i/>
        </w:rPr>
        <w:t xml:space="preserve"> Collaborative Exploration</w:t>
      </w:r>
      <w:r w:rsidRPr="00223E3E">
        <w:t xml:space="preserve"> model. In contrast, </w:t>
      </w:r>
      <w:r w:rsidRPr="00223E3E">
        <w:rPr>
          <w:color w:val="000000"/>
        </w:rPr>
        <w:t xml:space="preserve">an </w:t>
      </w:r>
      <w:r w:rsidRPr="00223E3E">
        <w:rPr>
          <w:i/>
          <w:color w:val="000000"/>
        </w:rPr>
        <w:t xml:space="preserve">open platform </w:t>
      </w:r>
      <w:r w:rsidRPr="00223E3E">
        <w:rPr>
          <w:color w:val="000000"/>
        </w:rPr>
        <w:t xml:space="preserve">approach features no focal </w:t>
      </w:r>
      <w:r w:rsidR="006035CB" w:rsidRPr="00223E3E">
        <w:rPr>
          <w:color w:val="000000"/>
        </w:rPr>
        <w:t>organisation</w:t>
      </w:r>
      <w:r w:rsidRPr="00223E3E">
        <w:rPr>
          <w:color w:val="000000"/>
        </w:rPr>
        <w:t xml:space="preserve"> and is less hierarchically directed</w:t>
      </w:r>
      <w:r w:rsidRPr="00223E3E">
        <w:t xml:space="preserve">. </w:t>
      </w:r>
      <w:r w:rsidR="006035CB" w:rsidRPr="00223E3E">
        <w:t>Organisation</w:t>
      </w:r>
      <w:r w:rsidRPr="00223E3E">
        <w:t>s pursuing a decentrali</w:t>
      </w:r>
      <w:r w:rsidR="00595818">
        <w:t>s</w:t>
      </w:r>
      <w:r w:rsidRPr="00223E3E">
        <w:t>ed approach develop or utili</w:t>
      </w:r>
      <w:r w:rsidR="00595818">
        <w:t>s</w:t>
      </w:r>
      <w:r w:rsidRPr="00223E3E">
        <w:t>e an open-source, IOTA-based infrastructure to facili</w:t>
      </w:r>
      <w:r w:rsidR="00821916" w:rsidRPr="00223E3E">
        <w:t>tate adoption and permission-free</w:t>
      </w:r>
      <w:r w:rsidRPr="00223E3E">
        <w:t xml:space="preserve"> innovation of self-assigning entities. Importantly, these firms do not integrate value capture mechanisms originating from the use of their infrastructure, but their creation and maintenance is typically financed by private or public funds. In order to moneti</w:t>
      </w:r>
      <w:r w:rsidR="00595818">
        <w:t>s</w:t>
      </w:r>
      <w:r w:rsidRPr="00223E3E">
        <w:t>e the infrastructure firms would need to develop complementary value propositions for users of the infrastructure – equally to all ot</w:t>
      </w:r>
      <w:r w:rsidR="00821916" w:rsidRPr="00223E3E">
        <w:t>her self-</w:t>
      </w:r>
      <w:r w:rsidRPr="00223E3E">
        <w:t xml:space="preserve">assigning entities. I identify the </w:t>
      </w:r>
      <w:r w:rsidRPr="00223E3E">
        <w:rPr>
          <w:i/>
        </w:rPr>
        <w:t>Initiation</w:t>
      </w:r>
      <w:r w:rsidRPr="00223E3E">
        <w:t xml:space="preserve"> and the </w:t>
      </w:r>
      <w:r w:rsidRPr="00223E3E">
        <w:rPr>
          <w:i/>
        </w:rPr>
        <w:t>Utili</w:t>
      </w:r>
      <w:r w:rsidR="009453B0">
        <w:rPr>
          <w:i/>
        </w:rPr>
        <w:t>sati</w:t>
      </w:r>
      <w:r w:rsidRPr="00223E3E">
        <w:rPr>
          <w:i/>
        </w:rPr>
        <w:t>on</w:t>
      </w:r>
      <w:r w:rsidRPr="00223E3E">
        <w:t xml:space="preserve"> type as the two main models</w:t>
      </w:r>
      <w:r w:rsidR="00821916" w:rsidRPr="00223E3E">
        <w:t xml:space="preserve"> within the open platform approach</w:t>
      </w:r>
      <w:r w:rsidRPr="00223E3E">
        <w:t>.</w:t>
      </w:r>
    </w:p>
    <w:p w14:paraId="457B907E" w14:textId="77777777" w:rsidR="00792E20" w:rsidRPr="00223E3E" w:rsidRDefault="00792E20" w:rsidP="00792E20">
      <w:r w:rsidRPr="00223E3E">
        <w:t>In the following the value proposition, value creation and capture mechanisms of both platform approaches are discussed. While the cases within one approach share a wide range of characteristics, each archetypical subtypes features some idiosyncrasies, which I discuss in the respective section.</w:t>
      </w:r>
    </w:p>
    <w:p w14:paraId="304013A8" w14:textId="77777777" w:rsidR="00792E20" w:rsidRPr="00223E3E" w:rsidRDefault="00792E20" w:rsidP="00792E20"/>
    <w:p w14:paraId="253EEB8D" w14:textId="77777777" w:rsidR="00792E20" w:rsidRPr="00223E3E" w:rsidRDefault="00792E20" w:rsidP="00792E20"/>
    <w:p w14:paraId="0BCF58C9" w14:textId="77777777" w:rsidR="00912E37" w:rsidRPr="00223E3E" w:rsidRDefault="00912E37">
      <w:pPr>
        <w:spacing w:before="0" w:line="240" w:lineRule="auto"/>
        <w:jc w:val="left"/>
        <w:rPr>
          <w:color w:val="000000" w:themeColor="text1"/>
          <w:lang w:eastAsia="de-AT"/>
        </w:rPr>
        <w:sectPr w:rsidR="00912E37" w:rsidRPr="00223E3E" w:rsidSect="001C562B">
          <w:headerReference w:type="default" r:id="rId14"/>
          <w:footerReference w:type="even" r:id="rId15"/>
          <w:footerReference w:type="default" r:id="rId16"/>
          <w:pgSz w:w="11906" w:h="16838" w:code="9"/>
          <w:pgMar w:top="1440" w:right="1440" w:bottom="1440" w:left="1440" w:header="709" w:footer="709" w:gutter="0"/>
          <w:cols w:space="708"/>
          <w:docGrid w:linePitch="360"/>
          <w15:footnoteColumns w:val="1"/>
        </w:sectPr>
      </w:pPr>
    </w:p>
    <w:p w14:paraId="2F7F1577" w14:textId="4A1D6D1F" w:rsidR="00912E37" w:rsidRPr="00223E3E" w:rsidRDefault="00912E37">
      <w:pPr>
        <w:spacing w:before="0" w:line="240" w:lineRule="auto"/>
        <w:jc w:val="left"/>
        <w:rPr>
          <w:color w:val="000000" w:themeColor="text1"/>
          <w:lang w:eastAsia="de-AT"/>
        </w:rPr>
      </w:pPr>
      <w:r w:rsidRPr="00223E3E">
        <w:rPr>
          <w:noProof/>
          <w:color w:val="000000" w:themeColor="text1"/>
        </w:rPr>
        <w:lastRenderedPageBreak/>
        <w:drawing>
          <wp:inline distT="0" distB="0" distL="0" distR="0" wp14:anchorId="490AB025" wp14:editId="331DC441">
            <wp:extent cx="7628262" cy="5387497"/>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0IOTA%20BMs/Publishing%20Process/_Working%20Paper/Graphics/GRAPHIC%20PRACTICES%20NEW.png"/>
                    <pic:cNvPicPr>
                      <a:picLocks noChangeAspect="1" noChangeArrowheads="1"/>
                    </pic:cNvPicPr>
                  </pic:nvPicPr>
                  <pic:blipFill>
                    <a:blip r:embed="rId17"/>
                    <a:stretch>
                      <a:fillRect/>
                    </a:stretch>
                  </pic:blipFill>
                  <pic:spPr bwMode="auto">
                    <a:xfrm>
                      <a:off x="0" y="0"/>
                      <a:ext cx="7628262" cy="5387497"/>
                    </a:xfrm>
                    <a:prstGeom prst="rect">
                      <a:avLst/>
                    </a:prstGeom>
                    <a:noFill/>
                    <a:ln>
                      <a:noFill/>
                    </a:ln>
                  </pic:spPr>
                </pic:pic>
              </a:graphicData>
            </a:graphic>
          </wp:inline>
        </w:drawing>
      </w:r>
    </w:p>
    <w:p w14:paraId="60BAA541" w14:textId="2C4DB7EA" w:rsidR="00401E4B" w:rsidRPr="00223E3E" w:rsidRDefault="00401E4B" w:rsidP="00401E4B">
      <w:pPr>
        <w:pStyle w:val="Caption"/>
        <w:rPr>
          <w:lang w:eastAsia="de-AT"/>
        </w:rPr>
        <w:sectPr w:rsidR="00401E4B" w:rsidRPr="00223E3E" w:rsidSect="00401E4B">
          <w:headerReference w:type="default" r:id="rId18"/>
          <w:headerReference w:type="first" r:id="rId19"/>
          <w:pgSz w:w="16838" w:h="11906" w:orient="landscape" w:code="9"/>
          <w:pgMar w:top="1440" w:right="1440" w:bottom="1440" w:left="1440" w:header="709" w:footer="709" w:gutter="0"/>
          <w:cols w:space="708"/>
          <w:titlePg/>
          <w:docGrid w:linePitch="360"/>
          <w15:footnoteColumns w:val="1"/>
        </w:sectPr>
      </w:pPr>
      <w:bookmarkStart w:id="27" w:name="_Ref531606511"/>
      <w:bookmarkStart w:id="28" w:name="_Toc1564383"/>
      <w:r w:rsidRPr="00223E3E">
        <w:rPr>
          <w:b/>
        </w:rPr>
        <w:t xml:space="preserve">Figure </w:t>
      </w:r>
      <w:r w:rsidR="00293E1D" w:rsidRPr="00223E3E">
        <w:rPr>
          <w:b/>
        </w:rPr>
        <w:fldChar w:fldCharType="begin"/>
      </w:r>
      <w:r w:rsidR="00293E1D" w:rsidRPr="00223E3E">
        <w:rPr>
          <w:b/>
        </w:rPr>
        <w:instrText xml:space="preserve"> STYLEREF 1 \s </w:instrText>
      </w:r>
      <w:r w:rsidR="00293E1D" w:rsidRPr="00223E3E">
        <w:rPr>
          <w:b/>
        </w:rPr>
        <w:fldChar w:fldCharType="separate"/>
      </w:r>
      <w:r w:rsidR="0055529B">
        <w:rPr>
          <w:b/>
          <w:noProof/>
        </w:rPr>
        <w:t>3</w:t>
      </w:r>
      <w:r w:rsidR="00293E1D" w:rsidRPr="00223E3E">
        <w:rPr>
          <w:b/>
        </w:rPr>
        <w:fldChar w:fldCharType="end"/>
      </w:r>
      <w:r w:rsidR="00293E1D" w:rsidRPr="00223E3E">
        <w:rPr>
          <w:b/>
        </w:rPr>
        <w:noBreakHyphen/>
      </w:r>
      <w:r w:rsidR="00293E1D" w:rsidRPr="00223E3E">
        <w:rPr>
          <w:b/>
        </w:rPr>
        <w:fldChar w:fldCharType="begin"/>
      </w:r>
      <w:r w:rsidR="00293E1D" w:rsidRPr="00223E3E">
        <w:rPr>
          <w:b/>
        </w:rPr>
        <w:instrText xml:space="preserve"> SEQ Figure \* ARABIC \s 1 </w:instrText>
      </w:r>
      <w:r w:rsidR="00293E1D" w:rsidRPr="00223E3E">
        <w:rPr>
          <w:b/>
        </w:rPr>
        <w:fldChar w:fldCharType="separate"/>
      </w:r>
      <w:r w:rsidR="0055529B">
        <w:rPr>
          <w:b/>
          <w:noProof/>
        </w:rPr>
        <w:t>2</w:t>
      </w:r>
      <w:r w:rsidR="00293E1D" w:rsidRPr="00223E3E">
        <w:rPr>
          <w:b/>
        </w:rPr>
        <w:fldChar w:fldCharType="end"/>
      </w:r>
      <w:bookmarkEnd w:id="27"/>
      <w:r w:rsidRPr="00223E3E">
        <w:rPr>
          <w:b/>
        </w:rPr>
        <w:t>:</w:t>
      </w:r>
      <w:r w:rsidRPr="00223E3E">
        <w:t xml:space="preserve"> Overview of </w:t>
      </w:r>
      <w:r w:rsidR="007E4F92" w:rsidRPr="00223E3E">
        <w:t xml:space="preserve">archetypical </w:t>
      </w:r>
      <w:r w:rsidRPr="00223E3E">
        <w:t xml:space="preserve">IOTA-based </w:t>
      </w:r>
      <w:r w:rsidR="007E4F92" w:rsidRPr="00223E3E">
        <w:t>BMI</w:t>
      </w:r>
      <w:bookmarkEnd w:id="28"/>
      <w:r w:rsidRPr="00223E3E">
        <w:t xml:space="preserve"> </w:t>
      </w:r>
    </w:p>
    <w:p w14:paraId="77273A76" w14:textId="77777777" w:rsidR="00912E37" w:rsidRPr="00223E3E" w:rsidRDefault="00912E37" w:rsidP="00ED5260">
      <w:pPr>
        <w:pStyle w:val="Heading2"/>
      </w:pPr>
      <w:bookmarkStart w:id="29" w:name="_Toc517116033"/>
      <w:bookmarkStart w:id="30" w:name="_Toc517116148"/>
      <w:bookmarkStart w:id="31" w:name="_Toc517120868"/>
      <w:r w:rsidRPr="00223E3E">
        <w:lastRenderedPageBreak/>
        <w:t>Closed Platform</w:t>
      </w:r>
    </w:p>
    <w:p w14:paraId="36FABD8C" w14:textId="77777777" w:rsidR="00912E37" w:rsidRPr="00223E3E" w:rsidRDefault="00912E37" w:rsidP="00912E37">
      <w:pPr>
        <w:rPr>
          <w:bCs/>
          <w:i/>
          <w:sz w:val="27"/>
          <w:szCs w:val="27"/>
        </w:rPr>
      </w:pPr>
      <w:r w:rsidRPr="00223E3E">
        <w:rPr>
          <w:i/>
        </w:rPr>
        <w:t>Value Proposition</w:t>
      </w:r>
    </w:p>
    <w:p w14:paraId="4C46874A" w14:textId="29078658" w:rsidR="00912E37" w:rsidRPr="00223E3E" w:rsidRDefault="00912E37" w:rsidP="00912E37">
      <w:r w:rsidRPr="00223E3E">
        <w:rPr>
          <w:color w:val="000000"/>
        </w:rPr>
        <w:t>For the closed platform approach, I observed three central themes around which the focal firm build</w:t>
      </w:r>
      <w:r w:rsidR="00405210">
        <w:rPr>
          <w:color w:val="000000"/>
        </w:rPr>
        <w:t>s</w:t>
      </w:r>
      <w:r w:rsidRPr="00223E3E">
        <w:rPr>
          <w:color w:val="000000"/>
        </w:rPr>
        <w:t xml:space="preserve"> its value propositions that relate to an </w:t>
      </w:r>
      <w:r w:rsidRPr="00223E3E">
        <w:rPr>
          <w:i/>
          <w:color w:val="000000"/>
        </w:rPr>
        <w:t>increase in trust and transparency</w:t>
      </w:r>
      <w:r w:rsidRPr="00223E3E">
        <w:rPr>
          <w:color w:val="000000"/>
        </w:rPr>
        <w:t xml:space="preserve">, </w:t>
      </w:r>
      <w:r w:rsidRPr="00223E3E">
        <w:rPr>
          <w:i/>
          <w:color w:val="000000"/>
        </w:rPr>
        <w:t>increased comfort</w:t>
      </w:r>
      <w:r w:rsidRPr="00223E3E">
        <w:rPr>
          <w:color w:val="000000"/>
        </w:rPr>
        <w:t xml:space="preserve">, and </w:t>
      </w:r>
      <w:r w:rsidRPr="00223E3E">
        <w:rPr>
          <w:i/>
          <w:color w:val="000000"/>
        </w:rPr>
        <w:t>superior data-based insights</w:t>
      </w:r>
      <w:r w:rsidRPr="00223E3E">
        <w:rPr>
          <w:color w:val="000000"/>
        </w:rPr>
        <w:t>.</w:t>
      </w:r>
    </w:p>
    <w:p w14:paraId="48C0FD25" w14:textId="5E3A3539" w:rsidR="00912E37" w:rsidRPr="00223E3E" w:rsidRDefault="00912E37" w:rsidP="00912E37">
      <w:r w:rsidRPr="00223E3E">
        <w:rPr>
          <w:color w:val="000000"/>
        </w:rPr>
        <w:t xml:space="preserve">A DLT-specific feature, which is leveraged across all cases is the use of IOTA’s public Tangle as a vehicle for </w:t>
      </w:r>
      <w:r w:rsidRPr="00223E3E">
        <w:rPr>
          <w:i/>
          <w:iCs/>
          <w:color w:val="000000"/>
        </w:rPr>
        <w:t>trust and transparency</w:t>
      </w:r>
      <w:r w:rsidRPr="00223E3E">
        <w:rPr>
          <w:color w:val="000000"/>
        </w:rPr>
        <w:t xml:space="preserve">. The protocol’s data immutability and transaction transparency create trust among stakeholders </w:t>
      </w:r>
      <w:r w:rsidR="00440EA5">
        <w:rPr>
          <w:color w:val="000000"/>
        </w:rPr>
        <w:t>concerning</w:t>
      </w:r>
      <w:r w:rsidRPr="00223E3E">
        <w:rPr>
          <w:color w:val="000000"/>
        </w:rPr>
        <w:t xml:space="preserve"> the validity of data records. This trust is </w:t>
      </w:r>
      <w:r w:rsidR="00440EA5">
        <w:rPr>
          <w:color w:val="000000"/>
        </w:rPr>
        <w:t>fostered for</w:t>
      </w:r>
      <w:r w:rsidRPr="00223E3E">
        <w:rPr>
          <w:color w:val="000000"/>
        </w:rPr>
        <w:t xml:space="preserve"> different </w:t>
      </w:r>
      <w:r w:rsidR="00440EA5">
        <w:rPr>
          <w:color w:val="000000"/>
        </w:rPr>
        <w:t>motives</w:t>
      </w:r>
      <w:r w:rsidRPr="00223E3E">
        <w:rPr>
          <w:color w:val="000000"/>
        </w:rPr>
        <w:t xml:space="preserve">, either </w:t>
      </w:r>
      <w:r w:rsidRPr="00223E3E">
        <w:rPr>
          <w:i/>
          <w:iCs/>
          <w:color w:val="000000"/>
        </w:rPr>
        <w:t>internally</w:t>
      </w:r>
      <w:r w:rsidRPr="00223E3E">
        <w:rPr>
          <w:color w:val="000000"/>
        </w:rPr>
        <w:t xml:space="preserve">, i.e. directed at the focal firm, or </w:t>
      </w:r>
      <w:r w:rsidRPr="00223E3E">
        <w:rPr>
          <w:i/>
          <w:iCs/>
          <w:color w:val="000000"/>
        </w:rPr>
        <w:t>externally</w:t>
      </w:r>
      <w:r w:rsidRPr="00223E3E">
        <w:rPr>
          <w:color w:val="000000"/>
        </w:rPr>
        <w:t>, i.e. directed at the customer.</w:t>
      </w:r>
      <w:r w:rsidRPr="00223E3E">
        <w:t xml:space="preserve"> </w:t>
      </w:r>
      <w:r w:rsidRPr="00223E3E">
        <w:rPr>
          <w:color w:val="000000"/>
        </w:rPr>
        <w:t xml:space="preserve">For example, at VW, the trust in the verification of a transaction is used primarily </w:t>
      </w:r>
      <w:r w:rsidRPr="00223E3E">
        <w:rPr>
          <w:i/>
          <w:iCs/>
          <w:color w:val="000000"/>
        </w:rPr>
        <w:t xml:space="preserve">internally </w:t>
      </w:r>
      <w:r w:rsidRPr="00223E3E">
        <w:rPr>
          <w:color w:val="000000"/>
        </w:rPr>
        <w:t xml:space="preserve">to </w:t>
      </w:r>
      <w:r w:rsidRPr="00223E3E">
        <w:rPr>
          <w:color w:val="000000"/>
          <w:shd w:val="clear" w:color="auto" w:fill="FFFFFF"/>
        </w:rPr>
        <w:t xml:space="preserve">enable trust in VW’s actions by the public, customers, and regulatory authorities (e.g., the </w:t>
      </w:r>
      <w:r w:rsidRPr="00223E3E">
        <w:rPr>
          <w:color w:val="000000"/>
        </w:rPr>
        <w:t>Federal Motor Transport Authority</w:t>
      </w:r>
      <w:r w:rsidRPr="00223E3E">
        <w:rPr>
          <w:color w:val="000000"/>
          <w:shd w:val="clear" w:color="auto" w:fill="FFFFFF"/>
        </w:rPr>
        <w:t xml:space="preserve">), but also as a protection mechanisms against suppliers and customers. For instance, in the case of a malicious manipulation of the vehicle software by the owner, VW can show the regulatory authority through transparent </w:t>
      </w:r>
      <w:r w:rsidR="00384549" w:rsidRPr="00223E3E">
        <w:rPr>
          <w:color w:val="000000"/>
          <w:shd w:val="clear" w:color="auto" w:fill="FFFFFF"/>
        </w:rPr>
        <w:t>over-the-air</w:t>
      </w:r>
      <w:r w:rsidRPr="00223E3E">
        <w:rPr>
          <w:color w:val="000000"/>
          <w:shd w:val="clear" w:color="auto" w:fill="FFFFFF"/>
        </w:rPr>
        <w:t xml:space="preserve"> updates that the manipulation was not caused by VW.</w:t>
      </w:r>
      <w:r w:rsidRPr="00223E3E">
        <w:t xml:space="preserve"> </w:t>
      </w:r>
      <w:r w:rsidRPr="00223E3E">
        <w:rPr>
          <w:color w:val="000000"/>
        </w:rPr>
        <w:t>In contrast, others utili</w:t>
      </w:r>
      <w:r w:rsidR="00595818">
        <w:rPr>
          <w:color w:val="000000"/>
        </w:rPr>
        <w:t>s</w:t>
      </w:r>
      <w:r w:rsidRPr="00223E3E">
        <w:rPr>
          <w:color w:val="000000"/>
        </w:rPr>
        <w:t xml:space="preserve">e trust </w:t>
      </w:r>
      <w:r w:rsidRPr="00223E3E">
        <w:rPr>
          <w:i/>
          <w:iCs/>
          <w:color w:val="000000"/>
        </w:rPr>
        <w:t xml:space="preserve">externally </w:t>
      </w:r>
      <w:r w:rsidRPr="00223E3E">
        <w:rPr>
          <w:color w:val="000000"/>
        </w:rPr>
        <w:t>to enhance customer’s capabilities. Thereby, the trust and transparency becomes an integral part of the value provided. One interviewee from NetObjex elaborates on this topic exemplifying the ability to conveniently transfer ownership and warranty of an asset peer-to-peer between customers.</w:t>
      </w:r>
    </w:p>
    <w:p w14:paraId="2EBC576C" w14:textId="36A17818" w:rsidR="00912E37" w:rsidRPr="00223E3E" w:rsidRDefault="00912E37" w:rsidP="00912E37">
      <w:pPr>
        <w:pStyle w:val="Quote"/>
        <w:rPr>
          <w:sz w:val="28"/>
        </w:rPr>
      </w:pPr>
      <w:r w:rsidRPr="00223E3E">
        <w:rPr>
          <w:shd w:val="clear" w:color="auto" w:fill="FFFFFF"/>
        </w:rPr>
        <w:t>“today what happens</w:t>
      </w:r>
      <w:r w:rsidR="005F5EE6">
        <w:rPr>
          <w:shd w:val="clear" w:color="auto" w:fill="FFFFFF"/>
        </w:rPr>
        <w:t>:</w:t>
      </w:r>
      <w:r w:rsidRPr="00223E3E">
        <w:rPr>
          <w:shd w:val="clear" w:color="auto" w:fill="FFFFFF"/>
        </w:rPr>
        <w:t xml:space="preserve"> every manufacture sends you a registration card and warranty […] let’s say that you buy a TV, it got a 5-years warranty and after 2 years, you sell it to someone else. So, there is an ownership change. There is no real ledger to record ownership change and the second owner is supposed to get the remaining 3 years of warranty [...] So, with the token that we are building around IoT, is to put our token on every device and then every device manufacturer will have a centralized place or it makes it really easy for consumers [… to call up] ownership, warranty, software drivers, [etc.]. So […] you can transfer ownership to someone at a very easy level.” [#4: Device Identity]</w:t>
      </w:r>
    </w:p>
    <w:p w14:paraId="0A72A20E" w14:textId="7412C4DB" w:rsidR="00912E37" w:rsidRPr="00223E3E" w:rsidRDefault="00912E37" w:rsidP="00912E37">
      <w:pPr>
        <w:rPr>
          <w:i/>
          <w:iCs/>
          <w:color w:val="000000"/>
        </w:rPr>
      </w:pPr>
      <w:r w:rsidRPr="00223E3E">
        <w:rPr>
          <w:color w:val="000000"/>
        </w:rPr>
        <w:t xml:space="preserve">This statement touches upon a related aspect I labelled as </w:t>
      </w:r>
      <w:r w:rsidRPr="00223E3E">
        <w:rPr>
          <w:i/>
          <w:iCs/>
          <w:color w:val="000000"/>
        </w:rPr>
        <w:t xml:space="preserve">comfort </w:t>
      </w:r>
      <w:r w:rsidR="00821916" w:rsidRPr="00223E3E">
        <w:rPr>
          <w:color w:val="000000"/>
        </w:rPr>
        <w:t>in the course of</w:t>
      </w:r>
      <w:r w:rsidRPr="00223E3E">
        <w:rPr>
          <w:color w:val="000000"/>
        </w:rPr>
        <w:t xml:space="preserve"> my coding process. In the</w:t>
      </w:r>
      <w:r w:rsidR="00821916" w:rsidRPr="00223E3E">
        <w:rPr>
          <w:color w:val="000000"/>
        </w:rPr>
        <w:t>se</w:t>
      </w:r>
      <w:r w:rsidRPr="00223E3E">
        <w:rPr>
          <w:color w:val="000000"/>
        </w:rPr>
        <w:t xml:space="preserve"> cases</w:t>
      </w:r>
      <w:r w:rsidR="00821916" w:rsidRPr="00223E3E">
        <w:rPr>
          <w:color w:val="000000"/>
        </w:rPr>
        <w:t>,</w:t>
      </w:r>
      <w:r w:rsidRPr="00223E3E">
        <w:rPr>
          <w:color w:val="000000"/>
        </w:rPr>
        <w:t xml:space="preserve"> comfort provided to customers and end users was achieved through </w:t>
      </w:r>
      <w:r w:rsidRPr="00223E3E">
        <w:rPr>
          <w:i/>
          <w:iCs/>
          <w:color w:val="000000"/>
        </w:rPr>
        <w:t xml:space="preserve">data sovereignty, </w:t>
      </w:r>
      <w:r w:rsidRPr="00223E3E">
        <w:rPr>
          <w:iCs/>
          <w:color w:val="000000"/>
        </w:rPr>
        <w:t>more</w:t>
      </w:r>
      <w:r w:rsidRPr="00223E3E">
        <w:rPr>
          <w:i/>
          <w:iCs/>
          <w:color w:val="000000"/>
        </w:rPr>
        <w:t xml:space="preserve"> flexible personali</w:t>
      </w:r>
      <w:r w:rsidR="009453B0">
        <w:rPr>
          <w:i/>
          <w:iCs/>
          <w:color w:val="000000"/>
        </w:rPr>
        <w:t>sati</w:t>
      </w:r>
      <w:r w:rsidRPr="00223E3E">
        <w:rPr>
          <w:i/>
          <w:iCs/>
          <w:color w:val="000000"/>
        </w:rPr>
        <w:t xml:space="preserve">on, </w:t>
      </w:r>
      <w:r w:rsidRPr="00223E3E">
        <w:rPr>
          <w:iCs/>
          <w:color w:val="000000"/>
        </w:rPr>
        <w:t xml:space="preserve">or increased </w:t>
      </w:r>
      <w:r w:rsidRPr="00223E3E">
        <w:rPr>
          <w:i/>
          <w:iCs/>
          <w:color w:val="000000"/>
        </w:rPr>
        <w:t>accessibility.</w:t>
      </w:r>
    </w:p>
    <w:p w14:paraId="6ABFA210" w14:textId="77777777" w:rsidR="00912E37" w:rsidRPr="00223E3E" w:rsidRDefault="00912E37" w:rsidP="00912E37">
      <w:pPr>
        <w:rPr>
          <w:color w:val="000000"/>
        </w:rPr>
      </w:pPr>
      <w:r w:rsidRPr="00223E3E">
        <w:rPr>
          <w:color w:val="000000"/>
        </w:rPr>
        <w:lastRenderedPageBreak/>
        <w:t xml:space="preserve">Despite being distributed, IOTA’s Tangle serves as a central access point for previously spread data, which provides customers with </w:t>
      </w:r>
      <w:r w:rsidRPr="00223E3E">
        <w:rPr>
          <w:i/>
          <w:color w:val="000000"/>
        </w:rPr>
        <w:t>sovereignty</w:t>
      </w:r>
      <w:r w:rsidRPr="00223E3E">
        <w:rPr>
          <w:color w:val="000000"/>
        </w:rPr>
        <w:t xml:space="preserve"> of their personal data. This may correspond to the need to gather different pieces of information for their purposes, like student’s educational record. Here, Lingk provides students with the possibility to freely access their university transcript contrary to current systems, in which they commonly face bureaucratic hurdles and eventual fees. </w:t>
      </w:r>
    </w:p>
    <w:p w14:paraId="54B93BBE" w14:textId="44D640B6" w:rsidR="00912E37" w:rsidRPr="00223E3E" w:rsidRDefault="00912E37" w:rsidP="00912E37">
      <w:pPr>
        <w:rPr>
          <w:color w:val="000000"/>
        </w:rPr>
      </w:pPr>
      <w:r w:rsidRPr="00223E3E">
        <w:rPr>
          <w:rFonts w:eastAsia="Calibri"/>
          <w:color w:val="000000"/>
        </w:rPr>
        <w:t>In</w:t>
      </w:r>
      <w:r w:rsidRPr="00223E3E">
        <w:rPr>
          <w:color w:val="000000"/>
        </w:rPr>
        <w:t xml:space="preserve"> </w:t>
      </w:r>
      <w:proofErr w:type="spellStart"/>
      <w:r w:rsidRPr="00223E3E">
        <w:rPr>
          <w:rFonts w:eastAsia="Calibri"/>
          <w:color w:val="000000"/>
        </w:rPr>
        <w:t>Lingk</w:t>
      </w:r>
      <w:r w:rsidRPr="00223E3E">
        <w:rPr>
          <w:color w:val="000000"/>
        </w:rPr>
        <w:t>’</w:t>
      </w:r>
      <w:r w:rsidRPr="00223E3E">
        <w:rPr>
          <w:rFonts w:eastAsia="Calibri"/>
          <w:color w:val="000000"/>
        </w:rPr>
        <w:t>s</w:t>
      </w:r>
      <w:proofErr w:type="spellEnd"/>
      <w:r w:rsidRPr="00223E3E">
        <w:rPr>
          <w:color w:val="000000"/>
        </w:rPr>
        <w:t xml:space="preserve"> </w:t>
      </w:r>
      <w:r w:rsidRPr="00223E3E">
        <w:rPr>
          <w:rFonts w:eastAsia="Calibri"/>
          <w:i/>
          <w:color w:val="000000"/>
        </w:rPr>
        <w:t>Distributed Education</w:t>
      </w:r>
      <w:r w:rsidRPr="00223E3E">
        <w:rPr>
          <w:color w:val="000000"/>
        </w:rPr>
        <w:t xml:space="preserve"> </w:t>
      </w:r>
      <w:r w:rsidRPr="00223E3E">
        <w:rPr>
          <w:rFonts w:eastAsia="Calibri"/>
          <w:color w:val="000000"/>
        </w:rPr>
        <w:t>use</w:t>
      </w:r>
      <w:r w:rsidRPr="00223E3E">
        <w:rPr>
          <w:color w:val="000000"/>
        </w:rPr>
        <w:t xml:space="preserve"> </w:t>
      </w:r>
      <w:r w:rsidRPr="00223E3E">
        <w:rPr>
          <w:rFonts w:eastAsia="Calibri"/>
          <w:color w:val="000000"/>
        </w:rPr>
        <w:t>case</w:t>
      </w:r>
      <w:r w:rsidRPr="00223E3E">
        <w:rPr>
          <w:color w:val="000000"/>
        </w:rPr>
        <w:t xml:space="preserve">, </w:t>
      </w:r>
      <w:r w:rsidRPr="00223E3E">
        <w:rPr>
          <w:rFonts w:eastAsia="Calibri"/>
          <w:color w:val="000000"/>
        </w:rPr>
        <w:t>students</w:t>
      </w:r>
      <w:r w:rsidRPr="00223E3E">
        <w:rPr>
          <w:color w:val="000000"/>
        </w:rPr>
        <w:t xml:space="preserve"> not only </w:t>
      </w:r>
      <w:r w:rsidRPr="00223E3E">
        <w:rPr>
          <w:rFonts w:eastAsia="Calibri"/>
          <w:color w:val="000000"/>
        </w:rPr>
        <w:t>obtain</w:t>
      </w:r>
      <w:r w:rsidRPr="00223E3E">
        <w:rPr>
          <w:color w:val="000000"/>
        </w:rPr>
        <w:t xml:space="preserve"> data </w:t>
      </w:r>
      <w:r w:rsidRPr="00223E3E">
        <w:rPr>
          <w:rFonts w:eastAsia="Calibri"/>
          <w:color w:val="000000"/>
        </w:rPr>
        <w:t>sovereignty,</w:t>
      </w:r>
      <w:r w:rsidRPr="00223E3E">
        <w:rPr>
          <w:color w:val="000000"/>
        </w:rPr>
        <w:t xml:space="preserve"> but can also </w:t>
      </w:r>
      <w:r w:rsidRPr="00223E3E">
        <w:rPr>
          <w:rFonts w:eastAsia="Calibri"/>
          <w:i/>
          <w:iCs/>
          <w:color w:val="000000"/>
        </w:rPr>
        <w:t>personalise</w:t>
      </w:r>
      <w:r w:rsidRPr="00223E3E">
        <w:rPr>
          <w:color w:val="000000"/>
        </w:rPr>
        <w:t xml:space="preserve"> </w:t>
      </w:r>
      <w:r w:rsidRPr="00223E3E">
        <w:rPr>
          <w:rFonts w:eastAsia="Calibri"/>
          <w:color w:val="000000"/>
        </w:rPr>
        <w:t>their</w:t>
      </w:r>
      <w:r w:rsidRPr="00223E3E">
        <w:rPr>
          <w:color w:val="000000"/>
        </w:rPr>
        <w:t xml:space="preserve"> </w:t>
      </w:r>
      <w:r w:rsidRPr="00223E3E">
        <w:rPr>
          <w:rFonts w:eastAsia="Calibri"/>
          <w:color w:val="000000"/>
        </w:rPr>
        <w:t>educational</w:t>
      </w:r>
      <w:r w:rsidRPr="00223E3E">
        <w:rPr>
          <w:color w:val="000000"/>
        </w:rPr>
        <w:t xml:space="preserve"> </w:t>
      </w:r>
      <w:r w:rsidRPr="00223E3E">
        <w:rPr>
          <w:rFonts w:eastAsia="Calibri"/>
          <w:color w:val="000000"/>
        </w:rPr>
        <w:t>path</w:t>
      </w:r>
      <w:r w:rsidR="00821916" w:rsidRPr="00223E3E">
        <w:rPr>
          <w:rFonts w:eastAsia="Calibri"/>
          <w:color w:val="000000"/>
        </w:rPr>
        <w:t xml:space="preserve"> </w:t>
      </w:r>
      <w:r w:rsidR="00821916" w:rsidRPr="00223E3E">
        <w:rPr>
          <w:i/>
          <w:color w:val="000000"/>
        </w:rPr>
        <w:t>flexibly</w:t>
      </w:r>
      <w:r w:rsidRPr="00223E3E">
        <w:rPr>
          <w:rFonts w:eastAsia="Calibri"/>
          <w:color w:val="000000"/>
        </w:rPr>
        <w:t xml:space="preserve">. </w:t>
      </w:r>
      <w:r w:rsidRPr="00223E3E">
        <w:rPr>
          <w:color w:val="000000"/>
        </w:rPr>
        <w:t>The storage of records on the decentrali</w:t>
      </w:r>
      <w:r w:rsidR="00595818">
        <w:rPr>
          <w:color w:val="000000"/>
        </w:rPr>
        <w:t>s</w:t>
      </w:r>
      <w:r w:rsidRPr="00223E3E">
        <w:rPr>
          <w:color w:val="000000"/>
        </w:rPr>
        <w:t xml:space="preserve">ed and immutable ledger allows third parties to verify their educational certificates. </w:t>
      </w:r>
      <w:r w:rsidRPr="00223E3E">
        <w:rPr>
          <w:rFonts w:eastAsia="Calibri"/>
          <w:color w:val="000000"/>
        </w:rPr>
        <w:t>This allows Lingk to develop their service in collaboration with a broad network of universities providing students with the opportunity to select</w:t>
      </w:r>
      <w:r w:rsidRPr="00223E3E">
        <w:rPr>
          <w:color w:val="000000"/>
        </w:rPr>
        <w:t xml:space="preserve"> their </w:t>
      </w:r>
      <w:r w:rsidRPr="00223E3E">
        <w:rPr>
          <w:rFonts w:eastAsia="Calibri"/>
          <w:color w:val="000000"/>
        </w:rPr>
        <w:t>classes not limited to a certain institution</w:t>
      </w:r>
      <w:r w:rsidRPr="00223E3E">
        <w:rPr>
          <w:color w:val="000000"/>
        </w:rPr>
        <w:t xml:space="preserve">. </w:t>
      </w:r>
      <w:r w:rsidRPr="00223E3E">
        <w:rPr>
          <w:rFonts w:eastAsia="Calibri"/>
          <w:color w:val="000000"/>
        </w:rPr>
        <w:t>VW</w:t>
      </w:r>
      <w:r w:rsidRPr="00223E3E">
        <w:rPr>
          <w:color w:val="000000"/>
        </w:rPr>
        <w:t>’</w:t>
      </w:r>
      <w:r w:rsidRPr="00223E3E">
        <w:rPr>
          <w:rFonts w:eastAsia="Calibri"/>
          <w:color w:val="000000"/>
        </w:rPr>
        <w:t>s</w:t>
      </w:r>
      <w:r w:rsidRPr="00223E3E">
        <w:rPr>
          <w:color w:val="000000"/>
        </w:rPr>
        <w:t xml:space="preserve"> </w:t>
      </w:r>
      <w:r w:rsidRPr="00223E3E">
        <w:rPr>
          <w:rFonts w:eastAsia="Calibri"/>
          <w:color w:val="000000"/>
        </w:rPr>
        <w:t>customer</w:t>
      </w:r>
      <w:r w:rsidRPr="00223E3E">
        <w:rPr>
          <w:color w:val="000000"/>
        </w:rPr>
        <w:t xml:space="preserve"> </w:t>
      </w:r>
      <w:r w:rsidRPr="00223E3E">
        <w:rPr>
          <w:rFonts w:eastAsia="Calibri"/>
          <w:color w:val="000000"/>
        </w:rPr>
        <w:t>may</w:t>
      </w:r>
      <w:r w:rsidRPr="00223E3E">
        <w:rPr>
          <w:color w:val="000000"/>
        </w:rPr>
        <w:t xml:space="preserve"> </w:t>
      </w:r>
      <w:r w:rsidRPr="00223E3E">
        <w:rPr>
          <w:rFonts w:eastAsia="Calibri"/>
          <w:color w:val="000000"/>
        </w:rPr>
        <w:t>benefit</w:t>
      </w:r>
      <w:r w:rsidRPr="00223E3E">
        <w:rPr>
          <w:color w:val="000000"/>
        </w:rPr>
        <w:t xml:space="preserve"> </w:t>
      </w:r>
      <w:r w:rsidRPr="00223E3E">
        <w:rPr>
          <w:rFonts w:eastAsia="Calibri"/>
          <w:color w:val="000000"/>
        </w:rPr>
        <w:t>from</w:t>
      </w:r>
      <w:r w:rsidRPr="00223E3E">
        <w:rPr>
          <w:color w:val="000000"/>
        </w:rPr>
        <w:t xml:space="preserve"> </w:t>
      </w:r>
      <w:r w:rsidRPr="00223E3E">
        <w:rPr>
          <w:rFonts w:eastAsia="Calibri"/>
          <w:color w:val="000000"/>
        </w:rPr>
        <w:t>a</w:t>
      </w:r>
      <w:r w:rsidRPr="00223E3E">
        <w:rPr>
          <w:color w:val="000000"/>
        </w:rPr>
        <w:t xml:space="preserve"> </w:t>
      </w:r>
      <w:r w:rsidRPr="00223E3E">
        <w:rPr>
          <w:rFonts w:eastAsia="Calibri"/>
          <w:color w:val="000000"/>
        </w:rPr>
        <w:t>similar</w:t>
      </w:r>
      <w:r w:rsidRPr="00223E3E">
        <w:rPr>
          <w:color w:val="000000"/>
        </w:rPr>
        <w:t xml:space="preserve"> </w:t>
      </w:r>
      <w:r w:rsidRPr="00223E3E">
        <w:rPr>
          <w:rFonts w:eastAsia="Calibri"/>
          <w:color w:val="000000"/>
        </w:rPr>
        <w:t>kind</w:t>
      </w:r>
      <w:r w:rsidRPr="00223E3E">
        <w:rPr>
          <w:color w:val="000000"/>
        </w:rPr>
        <w:t xml:space="preserve"> </w:t>
      </w:r>
      <w:r w:rsidRPr="00223E3E">
        <w:rPr>
          <w:rFonts w:eastAsia="Calibri"/>
          <w:color w:val="000000"/>
        </w:rPr>
        <w:t>of</w:t>
      </w:r>
      <w:r w:rsidRPr="00223E3E">
        <w:rPr>
          <w:color w:val="000000"/>
        </w:rPr>
        <w:t xml:space="preserve"> </w:t>
      </w:r>
      <w:r w:rsidRPr="00223E3E">
        <w:rPr>
          <w:rFonts w:eastAsia="Calibri"/>
          <w:color w:val="000000"/>
        </w:rPr>
        <w:t>flexible</w:t>
      </w:r>
      <w:r w:rsidRPr="00223E3E">
        <w:rPr>
          <w:color w:val="000000"/>
        </w:rPr>
        <w:t xml:space="preserve"> </w:t>
      </w:r>
      <w:r w:rsidRPr="00223E3E">
        <w:rPr>
          <w:rFonts w:eastAsia="Calibri"/>
          <w:color w:val="000000"/>
        </w:rPr>
        <w:t>personalisation</w:t>
      </w:r>
      <w:r w:rsidRPr="00223E3E">
        <w:rPr>
          <w:color w:val="000000"/>
        </w:rPr>
        <w:t xml:space="preserve"> </w:t>
      </w:r>
      <w:r w:rsidRPr="00223E3E">
        <w:rPr>
          <w:rFonts w:eastAsia="Calibri"/>
          <w:color w:val="000000"/>
        </w:rPr>
        <w:t>of</w:t>
      </w:r>
      <w:r w:rsidRPr="00223E3E">
        <w:rPr>
          <w:color w:val="000000"/>
        </w:rPr>
        <w:t xml:space="preserve"> </w:t>
      </w:r>
      <w:r w:rsidRPr="00223E3E">
        <w:rPr>
          <w:rFonts w:eastAsia="Calibri"/>
          <w:color w:val="000000"/>
        </w:rPr>
        <w:t>services</w:t>
      </w:r>
      <w:r w:rsidRPr="00223E3E">
        <w:rPr>
          <w:color w:val="000000"/>
        </w:rPr>
        <w:t xml:space="preserve">. </w:t>
      </w:r>
      <w:r w:rsidRPr="00223E3E">
        <w:rPr>
          <w:rFonts w:eastAsia="Calibri"/>
          <w:color w:val="000000"/>
        </w:rPr>
        <w:t>In</w:t>
      </w:r>
      <w:r w:rsidRPr="00223E3E">
        <w:rPr>
          <w:color w:val="000000"/>
        </w:rPr>
        <w:t xml:space="preserve"> </w:t>
      </w:r>
      <w:r w:rsidRPr="00223E3E">
        <w:rPr>
          <w:rFonts w:eastAsia="Calibri"/>
          <w:color w:val="000000"/>
        </w:rPr>
        <w:t>the</w:t>
      </w:r>
      <w:r w:rsidRPr="00223E3E">
        <w:rPr>
          <w:color w:val="000000"/>
        </w:rPr>
        <w:t xml:space="preserve"> </w:t>
      </w:r>
      <w:r w:rsidRPr="00223E3E">
        <w:rPr>
          <w:rFonts w:eastAsia="Calibri"/>
          <w:color w:val="000000"/>
        </w:rPr>
        <w:t>conventional</w:t>
      </w:r>
      <w:r w:rsidRPr="00223E3E">
        <w:rPr>
          <w:color w:val="000000"/>
        </w:rPr>
        <w:t xml:space="preserve"> </w:t>
      </w:r>
      <w:r w:rsidRPr="00223E3E">
        <w:rPr>
          <w:rFonts w:eastAsia="Calibri"/>
          <w:color w:val="000000"/>
        </w:rPr>
        <w:t>system</w:t>
      </w:r>
      <w:r w:rsidRPr="00223E3E">
        <w:rPr>
          <w:color w:val="000000"/>
        </w:rPr>
        <w:t xml:space="preserve">, </w:t>
      </w:r>
      <w:r w:rsidRPr="00223E3E">
        <w:rPr>
          <w:rFonts w:eastAsia="Calibri"/>
          <w:color w:val="000000"/>
        </w:rPr>
        <w:t>people</w:t>
      </w:r>
      <w:r w:rsidRPr="00223E3E">
        <w:rPr>
          <w:color w:val="000000"/>
        </w:rPr>
        <w:t xml:space="preserve"> </w:t>
      </w:r>
      <w:r w:rsidRPr="00223E3E">
        <w:rPr>
          <w:rFonts w:eastAsia="Calibri"/>
          <w:color w:val="000000"/>
        </w:rPr>
        <w:t>who</w:t>
      </w:r>
      <w:r w:rsidRPr="00223E3E">
        <w:rPr>
          <w:color w:val="000000"/>
        </w:rPr>
        <w:t xml:space="preserve"> </w:t>
      </w:r>
      <w:r w:rsidR="00821916" w:rsidRPr="00223E3E">
        <w:rPr>
          <w:rFonts w:eastAsia="Calibri"/>
          <w:color w:val="000000"/>
        </w:rPr>
        <w:t xml:space="preserve">buy </w:t>
      </w:r>
      <w:r w:rsidRPr="00223E3E">
        <w:rPr>
          <w:rFonts w:eastAsia="Calibri"/>
          <w:color w:val="000000"/>
        </w:rPr>
        <w:t>a</w:t>
      </w:r>
      <w:r w:rsidRPr="00223E3E">
        <w:rPr>
          <w:color w:val="000000"/>
        </w:rPr>
        <w:t xml:space="preserve"> </w:t>
      </w:r>
      <w:r w:rsidRPr="00223E3E">
        <w:rPr>
          <w:rFonts w:eastAsia="Calibri"/>
          <w:color w:val="000000"/>
        </w:rPr>
        <w:t>vehicle</w:t>
      </w:r>
      <w:r w:rsidRPr="00223E3E">
        <w:rPr>
          <w:color w:val="000000"/>
        </w:rPr>
        <w:t xml:space="preserve"> </w:t>
      </w:r>
      <w:r w:rsidRPr="00223E3E">
        <w:rPr>
          <w:rFonts w:eastAsia="Calibri"/>
          <w:color w:val="000000"/>
        </w:rPr>
        <w:t>cho</w:t>
      </w:r>
      <w:r w:rsidR="00821916" w:rsidRPr="00223E3E">
        <w:rPr>
          <w:rFonts w:eastAsia="Calibri"/>
          <w:color w:val="000000"/>
        </w:rPr>
        <w:t>o</w:t>
      </w:r>
      <w:r w:rsidRPr="00223E3E">
        <w:rPr>
          <w:rFonts w:eastAsia="Calibri"/>
          <w:color w:val="000000"/>
        </w:rPr>
        <w:t>se</w:t>
      </w:r>
      <w:r w:rsidRPr="00223E3E">
        <w:rPr>
          <w:color w:val="000000"/>
        </w:rPr>
        <w:t xml:space="preserve"> </w:t>
      </w:r>
      <w:r w:rsidRPr="00223E3E">
        <w:rPr>
          <w:rFonts w:eastAsia="Calibri"/>
          <w:color w:val="000000"/>
        </w:rPr>
        <w:t>the</w:t>
      </w:r>
      <w:r w:rsidRPr="00223E3E">
        <w:rPr>
          <w:color w:val="000000"/>
        </w:rPr>
        <w:t xml:space="preserve"> </w:t>
      </w:r>
      <w:r w:rsidRPr="00223E3E">
        <w:rPr>
          <w:rFonts w:eastAsia="Calibri"/>
          <w:color w:val="000000"/>
        </w:rPr>
        <w:t>definite</w:t>
      </w:r>
      <w:r w:rsidRPr="00223E3E">
        <w:rPr>
          <w:color w:val="000000"/>
        </w:rPr>
        <w:t xml:space="preserve"> </w:t>
      </w:r>
      <w:r w:rsidRPr="00223E3E">
        <w:rPr>
          <w:rFonts w:eastAsia="Calibri"/>
          <w:color w:val="000000"/>
        </w:rPr>
        <w:t>set</w:t>
      </w:r>
      <w:r w:rsidRPr="00223E3E">
        <w:rPr>
          <w:color w:val="000000"/>
        </w:rPr>
        <w:t xml:space="preserve"> </w:t>
      </w:r>
      <w:r w:rsidRPr="00223E3E">
        <w:rPr>
          <w:rFonts w:eastAsia="Calibri"/>
          <w:color w:val="000000"/>
        </w:rPr>
        <w:t>of</w:t>
      </w:r>
      <w:r w:rsidRPr="00223E3E">
        <w:rPr>
          <w:color w:val="000000"/>
        </w:rPr>
        <w:t xml:space="preserve"> </w:t>
      </w:r>
      <w:r w:rsidRPr="00223E3E">
        <w:rPr>
          <w:rFonts w:eastAsia="Calibri"/>
          <w:color w:val="000000"/>
        </w:rPr>
        <w:t>car</w:t>
      </w:r>
      <w:r w:rsidRPr="00223E3E">
        <w:rPr>
          <w:color w:val="000000"/>
        </w:rPr>
        <w:t xml:space="preserve"> </w:t>
      </w:r>
      <w:r w:rsidRPr="00223E3E">
        <w:rPr>
          <w:rFonts w:eastAsia="Calibri"/>
          <w:color w:val="000000"/>
        </w:rPr>
        <w:t>functions</w:t>
      </w:r>
      <w:r w:rsidRPr="00223E3E">
        <w:rPr>
          <w:color w:val="000000"/>
        </w:rPr>
        <w:t xml:space="preserve"> </w:t>
      </w:r>
      <w:r w:rsidRPr="00223E3E">
        <w:rPr>
          <w:rFonts w:eastAsia="Calibri"/>
          <w:color w:val="000000"/>
        </w:rPr>
        <w:t>in</w:t>
      </w:r>
      <w:r w:rsidRPr="00223E3E">
        <w:rPr>
          <w:color w:val="000000"/>
        </w:rPr>
        <w:t xml:space="preserve"> </w:t>
      </w:r>
      <w:r w:rsidRPr="00223E3E">
        <w:rPr>
          <w:rFonts w:eastAsia="Calibri"/>
          <w:color w:val="000000"/>
        </w:rPr>
        <w:t>advance</w:t>
      </w:r>
      <w:r w:rsidRPr="00223E3E">
        <w:rPr>
          <w:color w:val="000000"/>
        </w:rPr>
        <w:t xml:space="preserve">. </w:t>
      </w:r>
      <w:r w:rsidRPr="00223E3E">
        <w:rPr>
          <w:rFonts w:eastAsia="Calibri"/>
          <w:i/>
          <w:color w:val="000000"/>
        </w:rPr>
        <w:t>FoD</w:t>
      </w:r>
      <w:r w:rsidRPr="00223E3E">
        <w:rPr>
          <w:color w:val="000000"/>
        </w:rPr>
        <w:t xml:space="preserve"> </w:t>
      </w:r>
      <w:r w:rsidRPr="00223E3E">
        <w:rPr>
          <w:rFonts w:eastAsia="Calibri"/>
          <w:color w:val="000000"/>
        </w:rPr>
        <w:t>allows</w:t>
      </w:r>
      <w:r w:rsidRPr="00223E3E">
        <w:rPr>
          <w:color w:val="000000"/>
        </w:rPr>
        <w:t xml:space="preserve"> </w:t>
      </w:r>
      <w:r w:rsidRPr="00223E3E">
        <w:rPr>
          <w:rFonts w:eastAsia="Calibri"/>
          <w:color w:val="000000"/>
        </w:rPr>
        <w:t>drivers</w:t>
      </w:r>
      <w:r w:rsidRPr="00223E3E">
        <w:rPr>
          <w:color w:val="000000"/>
        </w:rPr>
        <w:t xml:space="preserve"> to opt-in to certain features context-dependent, as various sensors can record their actual use and publish it on the ledger.</w:t>
      </w:r>
    </w:p>
    <w:p w14:paraId="6135D27F" w14:textId="77777777" w:rsidR="00912E37" w:rsidRPr="00223E3E" w:rsidRDefault="00912E37" w:rsidP="00912E37">
      <w:pPr>
        <w:rPr>
          <w:color w:val="000000"/>
        </w:rPr>
      </w:pPr>
      <w:r w:rsidRPr="00223E3E">
        <w:rPr>
          <w:color w:val="000000"/>
        </w:rPr>
        <w:t xml:space="preserve">Comfort in the Plug-In model is predominantly provided through mechanisms that I coded as increased </w:t>
      </w:r>
      <w:r w:rsidRPr="00223E3E">
        <w:rPr>
          <w:i/>
          <w:color w:val="000000"/>
        </w:rPr>
        <w:t>accessibility</w:t>
      </w:r>
      <w:r w:rsidRPr="00223E3E">
        <w:rPr>
          <w:color w:val="000000"/>
        </w:rPr>
        <w:t xml:space="preserve">. In the </w:t>
      </w:r>
      <w:r w:rsidRPr="00223E3E">
        <w:rPr>
          <w:i/>
          <w:color w:val="000000"/>
        </w:rPr>
        <w:t>Communal Washing</w:t>
      </w:r>
      <w:r w:rsidRPr="00223E3E">
        <w:rPr>
          <w:color w:val="000000"/>
        </w:rPr>
        <w:t xml:space="preserve"> case, the integration of IOTA as a payment option extended the range of alternatives for the end consumer. One of my informants elaborated on this issue: </w:t>
      </w:r>
    </w:p>
    <w:p w14:paraId="68D9303F" w14:textId="77777777" w:rsidR="00912E37" w:rsidRPr="00223E3E" w:rsidRDefault="00912E37" w:rsidP="00912E37">
      <w:pPr>
        <w:pStyle w:val="Quote"/>
      </w:pPr>
      <w:r w:rsidRPr="00223E3E">
        <w:t>“One of the key aspects of our mission is to make communal washing as seamless as possible for the end consumer. In this regard, the integration of IOTA […] provides a comfortable option that eliminates some common constraints of digital payments, such as manual post processing and transaction fees for both parties.” [#3: Communal Washing]</w:t>
      </w:r>
    </w:p>
    <w:p w14:paraId="6F1CC01E" w14:textId="307D3E62" w:rsidR="00912E37" w:rsidRPr="00223E3E" w:rsidRDefault="00821916" w:rsidP="00912E37">
      <w:pPr>
        <w:rPr>
          <w:color w:val="000000"/>
        </w:rPr>
      </w:pPr>
      <w:r w:rsidRPr="00223E3E">
        <w:rPr>
          <w:color w:val="000000"/>
        </w:rPr>
        <w:t xml:space="preserve">In a similar way allows </w:t>
      </w:r>
      <w:r w:rsidR="00912E37" w:rsidRPr="00223E3E">
        <w:rPr>
          <w:color w:val="000000"/>
        </w:rPr>
        <w:t xml:space="preserve">the integration of IOTA in the </w:t>
      </w:r>
      <w:r w:rsidR="00912E37" w:rsidRPr="00223E3E">
        <w:rPr>
          <w:i/>
          <w:color w:val="000000"/>
        </w:rPr>
        <w:t>Device Identity</w:t>
      </w:r>
      <w:r w:rsidR="00912E37" w:rsidRPr="00223E3E">
        <w:rPr>
          <w:color w:val="000000"/>
        </w:rPr>
        <w:t xml:space="preserve"> case for increased compatibility in the communication and exchange between end consumers connected devices.</w:t>
      </w:r>
    </w:p>
    <w:p w14:paraId="5FC747D3" w14:textId="033B2757" w:rsidR="00912E37" w:rsidRPr="00223E3E" w:rsidRDefault="00912E37" w:rsidP="00912E37">
      <w:pPr>
        <w:rPr>
          <w:color w:val="000000"/>
        </w:rPr>
      </w:pPr>
      <w:r w:rsidRPr="00223E3E">
        <w:rPr>
          <w:color w:val="000000"/>
        </w:rPr>
        <w:t>Finally, in a centrali</w:t>
      </w:r>
      <w:r w:rsidR="00595818">
        <w:rPr>
          <w:color w:val="000000"/>
        </w:rPr>
        <w:t>s</w:t>
      </w:r>
      <w:r w:rsidRPr="00223E3E">
        <w:rPr>
          <w:color w:val="000000"/>
        </w:rPr>
        <w:t>ed approach I observed focal firms like Netobjex (</w:t>
      </w:r>
      <w:r w:rsidRPr="00223E3E">
        <w:rPr>
          <w:i/>
          <w:color w:val="000000"/>
        </w:rPr>
        <w:t>Device Identity</w:t>
      </w:r>
      <w:r w:rsidRPr="00223E3E">
        <w:rPr>
          <w:color w:val="000000"/>
        </w:rPr>
        <w:t>) or Fujitsu (</w:t>
      </w:r>
      <w:r w:rsidRPr="00223E3E">
        <w:rPr>
          <w:i/>
          <w:color w:val="000000"/>
        </w:rPr>
        <w:t>Industry 4.0</w:t>
      </w:r>
      <w:r w:rsidRPr="00223E3E">
        <w:rPr>
          <w:color w:val="000000"/>
        </w:rPr>
        <w:t>) to offer data-analytics based consulting to their business customers to facilitate business model optimi</w:t>
      </w:r>
      <w:r w:rsidR="009453B0">
        <w:rPr>
          <w:color w:val="000000"/>
        </w:rPr>
        <w:t>sati</w:t>
      </w:r>
      <w:r w:rsidRPr="00223E3E">
        <w:rPr>
          <w:color w:val="000000"/>
        </w:rPr>
        <w:t>on in terms of reduced costs or increased revenues.</w:t>
      </w:r>
    </w:p>
    <w:p w14:paraId="3FD24331" w14:textId="77777777" w:rsidR="00912E37" w:rsidRPr="00223E3E" w:rsidRDefault="00912E37" w:rsidP="00912E37">
      <w:pPr>
        <w:rPr>
          <w:bCs/>
          <w:i/>
          <w:sz w:val="27"/>
          <w:szCs w:val="27"/>
        </w:rPr>
      </w:pPr>
      <w:r w:rsidRPr="00223E3E">
        <w:rPr>
          <w:i/>
        </w:rPr>
        <w:lastRenderedPageBreak/>
        <w:t xml:space="preserve">Value Creation </w:t>
      </w:r>
    </w:p>
    <w:p w14:paraId="00687F94" w14:textId="383D1F68" w:rsidR="00912E37" w:rsidRPr="00223E3E" w:rsidRDefault="00912E37" w:rsidP="00912E37">
      <w:pPr>
        <w:rPr>
          <w:color w:val="000000"/>
        </w:rPr>
      </w:pPr>
      <w:r w:rsidRPr="00223E3E">
        <w:rPr>
          <w:color w:val="000000"/>
        </w:rPr>
        <w:t xml:space="preserve">Through my coding procedure three themes emerged that relate to value creation mechanisms, namely the degree of </w:t>
      </w:r>
      <w:r w:rsidRPr="00223E3E">
        <w:rPr>
          <w:i/>
          <w:color w:val="000000"/>
        </w:rPr>
        <w:t>protocol</w:t>
      </w:r>
      <w:r w:rsidRPr="00223E3E">
        <w:rPr>
          <w:color w:val="000000"/>
        </w:rPr>
        <w:t xml:space="preserve"> </w:t>
      </w:r>
      <w:r w:rsidRPr="00223E3E">
        <w:rPr>
          <w:i/>
          <w:color w:val="000000"/>
        </w:rPr>
        <w:t>integration, data utili</w:t>
      </w:r>
      <w:r w:rsidR="009453B0">
        <w:rPr>
          <w:i/>
          <w:color w:val="000000"/>
        </w:rPr>
        <w:t>sati</w:t>
      </w:r>
      <w:r w:rsidRPr="00223E3E">
        <w:rPr>
          <w:i/>
          <w:color w:val="000000"/>
        </w:rPr>
        <w:t xml:space="preserve">on (storage, analytics), </w:t>
      </w:r>
      <w:r w:rsidRPr="00223E3E">
        <w:rPr>
          <w:color w:val="000000"/>
        </w:rPr>
        <w:t>and</w:t>
      </w:r>
      <w:r w:rsidRPr="00223E3E">
        <w:rPr>
          <w:i/>
          <w:color w:val="000000"/>
        </w:rPr>
        <w:t xml:space="preserve"> stakeholder management</w:t>
      </w:r>
      <w:r w:rsidRPr="00223E3E">
        <w:rPr>
          <w:color w:val="000000"/>
        </w:rPr>
        <w:t>.</w:t>
      </w:r>
    </w:p>
    <w:p w14:paraId="43F2FCE6" w14:textId="53D1211B" w:rsidR="00912E37" w:rsidRPr="00223E3E" w:rsidRDefault="00912E37" w:rsidP="00912E37">
      <w:pPr>
        <w:rPr>
          <w:color w:val="000000"/>
        </w:rPr>
      </w:pPr>
      <w:r w:rsidRPr="00223E3E">
        <w:rPr>
          <w:color w:val="000000"/>
        </w:rPr>
        <w:t xml:space="preserve">I observed varying </w:t>
      </w:r>
      <w:r w:rsidRPr="00223E3E">
        <w:rPr>
          <w:i/>
          <w:color w:val="000000"/>
        </w:rPr>
        <w:t>degrees of integration</w:t>
      </w:r>
      <w:r w:rsidRPr="00223E3E">
        <w:rPr>
          <w:color w:val="000000"/>
        </w:rPr>
        <w:t xml:space="preserve"> of the IOTA protocol into the business model logic depending on the chosen sub-model of the centrali</w:t>
      </w:r>
      <w:r w:rsidR="00595818">
        <w:rPr>
          <w:color w:val="000000"/>
        </w:rPr>
        <w:t>s</w:t>
      </w:r>
      <w:r w:rsidRPr="00223E3E">
        <w:rPr>
          <w:color w:val="000000"/>
        </w:rPr>
        <w:t xml:space="preserve">ed approach. The cases representing the </w:t>
      </w:r>
      <w:r w:rsidRPr="00223E3E">
        <w:rPr>
          <w:i/>
          <w:color w:val="000000"/>
        </w:rPr>
        <w:t>Plug-In</w:t>
      </w:r>
      <w:r w:rsidRPr="00223E3E">
        <w:rPr>
          <w:color w:val="000000"/>
        </w:rPr>
        <w:t xml:space="preserve"> model pursue a ‘</w:t>
      </w:r>
      <w:r w:rsidRPr="00223E3E">
        <w:rPr>
          <w:i/>
          <w:color w:val="000000"/>
        </w:rPr>
        <w:t>light’</w:t>
      </w:r>
      <w:r w:rsidRPr="00223E3E">
        <w:rPr>
          <w:color w:val="000000"/>
        </w:rPr>
        <w:t xml:space="preserve"> integration, i.e. they integrate IOTA as a transaction/payment option while keeping their existing business model. This allows them to become fairly independent from the protocol development but leverage only a small part of its features. In anticipation of a heterogeneous protocol-landscape NetObjex, for instance, has built an infrastructure layer into which they can integrate a diverse set of protocols. Thereby they facilitate seamless interoperability between different kinds of devices that may utili</w:t>
      </w:r>
      <w:r w:rsidR="00595818">
        <w:rPr>
          <w:color w:val="000000"/>
        </w:rPr>
        <w:t>s</w:t>
      </w:r>
      <w:r w:rsidRPr="00223E3E">
        <w:rPr>
          <w:color w:val="000000"/>
        </w:rPr>
        <w:t xml:space="preserve">e different protocols in the future. My interviewee particularly </w:t>
      </w:r>
      <w:r w:rsidR="00821916" w:rsidRPr="00223E3E">
        <w:rPr>
          <w:color w:val="000000"/>
        </w:rPr>
        <w:t>stressed</w:t>
      </w:r>
      <w:r w:rsidRPr="00223E3E">
        <w:rPr>
          <w:color w:val="000000"/>
        </w:rPr>
        <w:t xml:space="preserve"> their independence of the development and implementation of any specific protocol. Similarly, WeWash can operate its business model without relying on the IOTA Tangle as a necessary payment option. In both cases, the protocol integration acts as a sole extension of the running business model. In the </w:t>
      </w:r>
      <w:r w:rsidRPr="00223E3E">
        <w:rPr>
          <w:i/>
          <w:color w:val="000000"/>
        </w:rPr>
        <w:t>Integration</w:t>
      </w:r>
      <w:r w:rsidRPr="00223E3E">
        <w:rPr>
          <w:color w:val="000000"/>
        </w:rPr>
        <w:t xml:space="preserve"> and </w:t>
      </w:r>
      <w:r w:rsidRPr="00223E3E">
        <w:rPr>
          <w:i/>
          <w:color w:val="000000"/>
        </w:rPr>
        <w:t>Collaborative Exploration</w:t>
      </w:r>
      <w:r w:rsidRPr="00223E3E">
        <w:rPr>
          <w:color w:val="000000"/>
        </w:rPr>
        <w:t xml:space="preserve"> model the Tangle’s properties, the firm’s value proposition, and its value creation mechanisms become inextricable. Such deeper integration of the IOTA Tangle influences the relationship between suppliers, manufacturer and end customer in a value chain. For example, in the </w:t>
      </w:r>
      <w:r w:rsidRPr="00223E3E">
        <w:rPr>
          <w:i/>
          <w:color w:val="000000"/>
        </w:rPr>
        <w:t>FoD</w:t>
      </w:r>
      <w:r w:rsidRPr="00223E3E">
        <w:rPr>
          <w:color w:val="000000"/>
        </w:rPr>
        <w:t xml:space="preserve"> case, the conventional structures between the OEM and its suppliers of these ‘</w:t>
      </w:r>
      <w:r w:rsidRPr="00223E3E">
        <w:rPr>
          <w:i/>
          <w:color w:val="000000"/>
        </w:rPr>
        <w:t>functions’</w:t>
      </w:r>
      <w:r w:rsidRPr="00223E3E">
        <w:rPr>
          <w:color w:val="000000"/>
        </w:rPr>
        <w:t xml:space="preserve"> change. Unlike a traditional supply chain, VW offers suppliers the opportunity to offer new services </w:t>
      </w:r>
      <w:r w:rsidRPr="00223E3E">
        <w:rPr>
          <w:iCs/>
          <w:color w:val="000000"/>
        </w:rPr>
        <w:t>directly</w:t>
      </w:r>
      <w:r w:rsidRPr="00223E3E">
        <w:rPr>
          <w:color w:val="000000"/>
        </w:rPr>
        <w:t xml:space="preserve"> to the end-customers I observed similar discussions for a potential change in the partner-customer relationship model at WeWash. Its implementation, however, would require an extension of IOTA’s integration compared to the currently tested </w:t>
      </w:r>
      <w:r w:rsidRPr="00223E3E">
        <w:rPr>
          <w:i/>
          <w:color w:val="000000"/>
        </w:rPr>
        <w:t>Plug In</w:t>
      </w:r>
      <w:r w:rsidRPr="00223E3E">
        <w:rPr>
          <w:color w:val="000000"/>
        </w:rPr>
        <w:t xml:space="preserve"> approach. One interview partner from Fujitsu highlighted additional aspects of how the integration of the Tangle impacts the value creation.</w:t>
      </w:r>
    </w:p>
    <w:p w14:paraId="5BDCDCDF" w14:textId="56D8BC23" w:rsidR="00912E37" w:rsidRPr="00223E3E" w:rsidRDefault="00912E37" w:rsidP="00912E37">
      <w:pPr>
        <w:pStyle w:val="Quote"/>
      </w:pPr>
      <w:r w:rsidRPr="00223E3E">
        <w:t>“In this scenario, that is two firms communicate over the Tangle, then you can imagine - of course this is one step ahead from now – that industry 4.0 implies to eliminate the warehouse and to produce just-</w:t>
      </w:r>
      <w:r w:rsidR="00440EA5">
        <w:t>i</w:t>
      </w:r>
      <w:r w:rsidRPr="00223E3E">
        <w:t>n-time. And since I try to go down to a lot size of 1, we achieve full customi</w:t>
      </w:r>
      <w:r w:rsidR="009453B0">
        <w:t>sati</w:t>
      </w:r>
      <w:r w:rsidRPr="00223E3E">
        <w:t xml:space="preserve">on […] in order to guarantee this, we need a cyber-physical system - i.e. a robot that possesses insights for the car manufacturer into the production line of the supplier. So, in a next step this would </w:t>
      </w:r>
      <w:r w:rsidRPr="00223E3E">
        <w:lastRenderedPageBreak/>
        <w:t>facilitate the robot to place an order at the supplier. Once it is able to place orders, we would want to combine it directly with a payment.” [#1: Industry 4.0]</w:t>
      </w:r>
    </w:p>
    <w:p w14:paraId="43122CA8" w14:textId="1B506FE1" w:rsidR="00912E37" w:rsidRPr="00223E3E" w:rsidRDefault="00912E37" w:rsidP="00912E37">
      <w:pPr>
        <w:rPr>
          <w:color w:val="000000"/>
        </w:rPr>
      </w:pPr>
      <w:r w:rsidRPr="00223E3E">
        <w:rPr>
          <w:color w:val="000000"/>
        </w:rPr>
        <w:t xml:space="preserve">Essentially, </w:t>
      </w:r>
      <w:r w:rsidRPr="00223E3E">
        <w:rPr>
          <w:i/>
          <w:color w:val="000000"/>
        </w:rPr>
        <w:t>deeper</w:t>
      </w:r>
      <w:r w:rsidRPr="00223E3E">
        <w:rPr>
          <w:color w:val="000000"/>
        </w:rPr>
        <w:t xml:space="preserve"> integration models of the Tangle initiate a relationship change to partners and customers. They shift conventiona</w:t>
      </w:r>
      <w:r w:rsidR="009563C9" w:rsidRPr="00223E3E">
        <w:rPr>
          <w:color w:val="000000"/>
        </w:rPr>
        <w:t xml:space="preserve">l value chains towards a model </w:t>
      </w:r>
      <w:r w:rsidRPr="00223E3E">
        <w:rPr>
          <w:color w:val="000000"/>
        </w:rPr>
        <w:t>in which partners can potentially reach to end customers at multiple occasions along the usage journey. Thereby, the Tangle facilitates direct moneti</w:t>
      </w:r>
      <w:r w:rsidR="009453B0">
        <w:rPr>
          <w:color w:val="000000"/>
        </w:rPr>
        <w:t>sati</w:t>
      </w:r>
      <w:r w:rsidRPr="00223E3E">
        <w:rPr>
          <w:color w:val="000000"/>
        </w:rPr>
        <w:t xml:space="preserve">on of (commonly digital) services while in return guaranteeing integrity of the data exchange. In the </w:t>
      </w:r>
      <w:r w:rsidRPr="00223E3E">
        <w:rPr>
          <w:i/>
          <w:color w:val="000000"/>
        </w:rPr>
        <w:t xml:space="preserve">Industry 4.0, Distributed Education, </w:t>
      </w:r>
      <w:r w:rsidRPr="00223E3E">
        <w:rPr>
          <w:color w:val="000000"/>
        </w:rPr>
        <w:t>and</w:t>
      </w:r>
      <w:r w:rsidRPr="00223E3E">
        <w:rPr>
          <w:i/>
          <w:color w:val="000000"/>
        </w:rPr>
        <w:t xml:space="preserve"> FoD</w:t>
      </w:r>
      <w:r w:rsidRPr="00223E3E">
        <w:rPr>
          <w:color w:val="000000"/>
        </w:rPr>
        <w:t xml:space="preserve"> cases data, like supply chain communication, student’s achievement records or vehicle software needs to be securely transmitted</w:t>
      </w:r>
      <w:r w:rsidR="009563C9" w:rsidRPr="00223E3E">
        <w:rPr>
          <w:color w:val="000000"/>
        </w:rPr>
        <w:t>. This</w:t>
      </w:r>
      <w:r w:rsidRPr="00223E3E">
        <w:rPr>
          <w:color w:val="000000"/>
        </w:rPr>
        <w:t xml:space="preserve"> is enabled by IOTA’s </w:t>
      </w:r>
      <w:r w:rsidRPr="00223E3E">
        <w:rPr>
          <w:iCs/>
          <w:color w:val="000000"/>
        </w:rPr>
        <w:t>feeless structure</w:t>
      </w:r>
      <w:r w:rsidRPr="00223E3E">
        <w:rPr>
          <w:color w:val="000000"/>
        </w:rPr>
        <w:t xml:space="preserve">. My informants of the </w:t>
      </w:r>
      <w:r w:rsidRPr="00223E3E">
        <w:rPr>
          <w:i/>
          <w:color w:val="000000"/>
        </w:rPr>
        <w:t>Industry 4.0</w:t>
      </w:r>
      <w:r w:rsidRPr="00223E3E">
        <w:rPr>
          <w:color w:val="000000"/>
        </w:rPr>
        <w:t xml:space="preserve"> and </w:t>
      </w:r>
      <w:r w:rsidRPr="00223E3E">
        <w:rPr>
          <w:i/>
          <w:color w:val="000000"/>
        </w:rPr>
        <w:t>FoD</w:t>
      </w:r>
      <w:r w:rsidRPr="00223E3E">
        <w:rPr>
          <w:color w:val="000000"/>
        </w:rPr>
        <w:t xml:space="preserve"> case further </w:t>
      </w:r>
      <w:r w:rsidR="009563C9" w:rsidRPr="00223E3E">
        <w:rPr>
          <w:color w:val="000000"/>
        </w:rPr>
        <w:t xml:space="preserve">stressed </w:t>
      </w:r>
      <w:r w:rsidRPr="00223E3E">
        <w:rPr>
          <w:color w:val="000000"/>
        </w:rPr>
        <w:t xml:space="preserve">the Tangle’s importance for local transaction settlements. This is a necessary part </w:t>
      </w:r>
      <w:r w:rsidR="009563C9" w:rsidRPr="00223E3E">
        <w:rPr>
          <w:color w:val="000000"/>
        </w:rPr>
        <w:t xml:space="preserve">in order </w:t>
      </w:r>
      <w:r w:rsidRPr="00223E3E">
        <w:rPr>
          <w:color w:val="000000"/>
        </w:rPr>
        <w:t xml:space="preserve">to guarantee process security in the value creation even when a physical device is not connected to the internet. </w:t>
      </w:r>
    </w:p>
    <w:p w14:paraId="2B47F41C" w14:textId="20DE9105" w:rsidR="00912E37" w:rsidRPr="00223E3E" w:rsidRDefault="00912E37" w:rsidP="00912E37">
      <w:pPr>
        <w:rPr>
          <w:color w:val="000000"/>
        </w:rPr>
      </w:pPr>
      <w:r w:rsidRPr="00223E3E">
        <w:rPr>
          <w:color w:val="000000"/>
        </w:rPr>
        <w:t>In the centrali</w:t>
      </w:r>
      <w:r w:rsidR="00595818">
        <w:rPr>
          <w:color w:val="000000"/>
        </w:rPr>
        <w:t>s</w:t>
      </w:r>
      <w:r w:rsidRPr="00223E3E">
        <w:rPr>
          <w:color w:val="000000"/>
        </w:rPr>
        <w:t xml:space="preserve">ed model, firms are highly cautious about the </w:t>
      </w:r>
      <w:r w:rsidRPr="00223E3E">
        <w:rPr>
          <w:i/>
          <w:color w:val="000000"/>
        </w:rPr>
        <w:t>data</w:t>
      </w:r>
      <w:r w:rsidRPr="00223E3E">
        <w:rPr>
          <w:color w:val="000000"/>
        </w:rPr>
        <w:t xml:space="preserve"> stored in the Tangle. This is not only intended to protect themselves from full data transparency, such as production processes, or to comply with GDPR regulations. NetObjex and Fujitsu use hybrid systems of decentralised and </w:t>
      </w:r>
      <w:r w:rsidRPr="00223E3E">
        <w:rPr>
          <w:iCs/>
          <w:color w:val="000000"/>
        </w:rPr>
        <w:t>centralised data storage</w:t>
      </w:r>
      <w:r w:rsidRPr="00223E3E">
        <w:rPr>
          <w:i/>
          <w:iCs/>
          <w:color w:val="000000"/>
        </w:rPr>
        <w:t xml:space="preserve"> </w:t>
      </w:r>
      <w:r w:rsidRPr="00223E3E">
        <w:rPr>
          <w:color w:val="000000"/>
        </w:rPr>
        <w:t>to leverage the advantages of the Tangle and centrali</w:t>
      </w:r>
      <w:r w:rsidR="00595818">
        <w:rPr>
          <w:color w:val="000000"/>
        </w:rPr>
        <w:t>s</w:t>
      </w:r>
      <w:r w:rsidRPr="00223E3E">
        <w:rPr>
          <w:color w:val="000000"/>
        </w:rPr>
        <w:t>ed databases. NetObjex’ interviewee, for instance, stressed the advantages of trust in a decentralised system and of data analytics and speed in a centralised system and elaborated on the importance of technical reasonable data storage:</w:t>
      </w:r>
    </w:p>
    <w:p w14:paraId="026CB02A" w14:textId="034BA584" w:rsidR="00912E37" w:rsidRPr="00223E3E" w:rsidRDefault="00912E37" w:rsidP="00912E37">
      <w:pPr>
        <w:pStyle w:val="Quote"/>
      </w:pPr>
      <w:r w:rsidRPr="00223E3E">
        <w:t>“Some people say: ‘Oh record every transaction on DLT for IoT.’ I think that is madness. Some IoT devices send some data back every minute, every second. Distributed ledger is not for that, it is horrible for that. It is so slow. Regular databases are much faster. [...]</w:t>
      </w:r>
      <w:r w:rsidR="00FF690B">
        <w:t xml:space="preserve"> </w:t>
      </w:r>
      <w:r w:rsidRPr="00223E3E">
        <w:t>So, what makes sense, is to record important transactions [on a decentralised ledger]. [...] We have a centralized-decentralized model. Decentralized for events, transactions that really need to be shared and the rest can remain centralized, for speed and analytics.” [#4: Device Identity]</w:t>
      </w:r>
    </w:p>
    <w:p w14:paraId="1EAEF481" w14:textId="21339712" w:rsidR="00912E37" w:rsidRPr="00223E3E" w:rsidRDefault="00912E37" w:rsidP="00912E37">
      <w:pPr>
        <w:rPr>
          <w:color w:val="000000"/>
        </w:rPr>
      </w:pPr>
      <w:r w:rsidRPr="00223E3E">
        <w:rPr>
          <w:color w:val="000000"/>
        </w:rPr>
        <w:t>Storing data on their own database, for instance, facilitates NetObjex to conduct the business model optimi</w:t>
      </w:r>
      <w:r w:rsidR="009453B0">
        <w:rPr>
          <w:color w:val="000000"/>
        </w:rPr>
        <w:t>sati</w:t>
      </w:r>
      <w:r w:rsidRPr="00223E3E">
        <w:rPr>
          <w:color w:val="000000"/>
        </w:rPr>
        <w:t xml:space="preserve">on focused </w:t>
      </w:r>
      <w:r w:rsidRPr="00223E3E">
        <w:rPr>
          <w:i/>
          <w:color w:val="000000"/>
        </w:rPr>
        <w:t>data analytics</w:t>
      </w:r>
      <w:r w:rsidRPr="00223E3E">
        <w:rPr>
          <w:color w:val="000000"/>
        </w:rPr>
        <w:t xml:space="preserve"> for their customers.</w:t>
      </w:r>
      <w:r w:rsidRPr="00223E3E">
        <w:rPr>
          <w:b/>
          <w:bCs/>
          <w:color w:val="000000"/>
        </w:rPr>
        <w:t xml:space="preserve"> </w:t>
      </w:r>
      <w:r w:rsidRPr="00223E3E">
        <w:rPr>
          <w:color w:val="000000"/>
        </w:rPr>
        <w:t xml:space="preserve">One interviewee pointed towards an alternative model stating: </w:t>
      </w:r>
      <w:r w:rsidRPr="00223E3E">
        <w:rPr>
          <w:i/>
          <w:color w:val="000000"/>
        </w:rPr>
        <w:t xml:space="preserve">“In a producer-supplier setting, </w:t>
      </w:r>
      <w:r w:rsidRPr="00223E3E">
        <w:rPr>
          <w:i/>
          <w:color w:val="000000"/>
        </w:rPr>
        <w:lastRenderedPageBreak/>
        <w:t>you may not want to use the public tangle. Instead, then we offer for example an enterprise tangle, which not everyone can access.”</w:t>
      </w:r>
      <w:r w:rsidRPr="00223E3E">
        <w:rPr>
          <w:color w:val="000000"/>
        </w:rPr>
        <w:t xml:space="preserve"> [#1: Industry 4.0]</w:t>
      </w:r>
      <w:r w:rsidRPr="00223E3E">
        <w:t xml:space="preserve"> </w:t>
      </w:r>
    </w:p>
    <w:p w14:paraId="7B1B4FA0" w14:textId="735E155C" w:rsidR="00912E37" w:rsidRPr="00223E3E" w:rsidRDefault="00912E37" w:rsidP="00912E37">
      <w:pPr>
        <w:rPr>
          <w:color w:val="000000"/>
        </w:rPr>
      </w:pPr>
      <w:r w:rsidRPr="00223E3E">
        <w:rPr>
          <w:color w:val="000000"/>
        </w:rPr>
        <w:t xml:space="preserve">On a closed platform, the exchange between stakeholders </w:t>
      </w:r>
      <w:r w:rsidR="009563C9" w:rsidRPr="00223E3E">
        <w:rPr>
          <w:color w:val="000000"/>
        </w:rPr>
        <w:t xml:space="preserve">is </w:t>
      </w:r>
      <w:r w:rsidRPr="00223E3E">
        <w:rPr>
          <w:color w:val="000000"/>
        </w:rPr>
        <w:t xml:space="preserve">dominantly </w:t>
      </w:r>
      <w:r w:rsidRPr="00223E3E">
        <w:rPr>
          <w:i/>
          <w:color w:val="000000"/>
        </w:rPr>
        <w:t>coordinated</w:t>
      </w:r>
      <w:r w:rsidRPr="00223E3E">
        <w:rPr>
          <w:color w:val="000000"/>
        </w:rPr>
        <w:t xml:space="preserve"> by the focal firm. In the </w:t>
      </w:r>
      <w:r w:rsidRPr="00223E3E">
        <w:rPr>
          <w:i/>
          <w:color w:val="000000"/>
        </w:rPr>
        <w:t>FoD</w:t>
      </w:r>
      <w:r w:rsidRPr="00223E3E">
        <w:rPr>
          <w:color w:val="000000"/>
        </w:rPr>
        <w:t xml:space="preserve"> use case, the car serves as platform for suppliers to interact with drivers, while VW remains control </w:t>
      </w:r>
      <w:r w:rsidR="000F4C97" w:rsidRPr="00223E3E">
        <w:rPr>
          <w:color w:val="000000"/>
        </w:rPr>
        <w:t>over</w:t>
      </w:r>
      <w:r w:rsidRPr="00223E3E">
        <w:rPr>
          <w:color w:val="000000"/>
        </w:rPr>
        <w:t xml:space="preserve"> the participating suppliers and their offerings. Similarly, Lingk and Fujitsu provide underlying software architecture as a proprietary solution that allows them to control the university-, respectively industry partners that may enter their platform/private enterprise tangle.</w:t>
      </w:r>
    </w:p>
    <w:p w14:paraId="08E0BB12" w14:textId="77777777" w:rsidR="00912E37" w:rsidRPr="00223E3E" w:rsidRDefault="00912E37" w:rsidP="00912E37">
      <w:pPr>
        <w:rPr>
          <w:bCs/>
          <w:i/>
          <w:sz w:val="27"/>
          <w:szCs w:val="27"/>
        </w:rPr>
      </w:pPr>
      <w:r w:rsidRPr="00223E3E">
        <w:rPr>
          <w:i/>
        </w:rPr>
        <w:t>Value Capture</w:t>
      </w:r>
    </w:p>
    <w:p w14:paraId="30755D2F" w14:textId="77777777" w:rsidR="00912E37" w:rsidRPr="00223E3E" w:rsidRDefault="00912E37" w:rsidP="00912E37">
      <w:pPr>
        <w:rPr>
          <w:color w:val="000000"/>
        </w:rPr>
      </w:pPr>
      <w:r w:rsidRPr="00223E3E">
        <w:rPr>
          <w:color w:val="000000"/>
        </w:rPr>
        <w:t xml:space="preserve">The value capturing mechanisms that emerge in the closed platform approach most commonly comprise </w:t>
      </w:r>
      <w:r w:rsidRPr="00223E3E">
        <w:rPr>
          <w:i/>
          <w:color w:val="000000"/>
        </w:rPr>
        <w:t xml:space="preserve">usage-based billing, micro transactions, revenue cuts, </w:t>
      </w:r>
      <w:r w:rsidRPr="00223E3E">
        <w:rPr>
          <w:color w:val="000000"/>
        </w:rPr>
        <w:t>and</w:t>
      </w:r>
      <w:r w:rsidRPr="00223E3E">
        <w:rPr>
          <w:i/>
          <w:color w:val="000000"/>
        </w:rPr>
        <w:t xml:space="preserve"> hosting fees</w:t>
      </w:r>
      <w:r w:rsidRPr="00223E3E">
        <w:rPr>
          <w:color w:val="000000"/>
        </w:rPr>
        <w:t xml:space="preserve">. </w:t>
      </w:r>
    </w:p>
    <w:p w14:paraId="21849E08" w14:textId="27AC4E6C" w:rsidR="00912E37" w:rsidRPr="00223E3E" w:rsidRDefault="00912E37" w:rsidP="00912E37">
      <w:pPr>
        <w:rPr>
          <w:color w:val="000000"/>
        </w:rPr>
      </w:pPr>
      <w:r w:rsidRPr="00223E3E">
        <w:rPr>
          <w:i/>
          <w:color w:val="000000"/>
        </w:rPr>
        <w:t>Usage-based billing</w:t>
      </w:r>
      <w:r w:rsidRPr="00223E3E">
        <w:rPr>
          <w:color w:val="000000"/>
        </w:rPr>
        <w:t xml:space="preserve"> is a dominant value capture mechanism </w:t>
      </w:r>
      <w:r w:rsidR="000F4C97" w:rsidRPr="00223E3E">
        <w:rPr>
          <w:color w:val="000000"/>
        </w:rPr>
        <w:t xml:space="preserve">that </w:t>
      </w:r>
      <w:r w:rsidRPr="00223E3E">
        <w:rPr>
          <w:color w:val="000000"/>
        </w:rPr>
        <w:t xml:space="preserve">I frequently observed </w:t>
      </w:r>
      <w:r w:rsidR="000F4C97" w:rsidRPr="00223E3E">
        <w:rPr>
          <w:color w:val="000000"/>
        </w:rPr>
        <w:t xml:space="preserve">in </w:t>
      </w:r>
      <w:r w:rsidRPr="00223E3E">
        <w:rPr>
          <w:color w:val="000000"/>
        </w:rPr>
        <w:t>the centrali</w:t>
      </w:r>
      <w:r w:rsidR="00595818">
        <w:rPr>
          <w:color w:val="000000"/>
        </w:rPr>
        <w:t>s</w:t>
      </w:r>
      <w:r w:rsidRPr="00223E3E">
        <w:rPr>
          <w:color w:val="000000"/>
        </w:rPr>
        <w:t>ed cases. In usage-based billing the customer is charged for certain goods or services based on their actual usage</w:t>
      </w:r>
      <w:r w:rsidR="000F4C97" w:rsidRPr="00223E3E">
        <w:rPr>
          <w:color w:val="000000"/>
        </w:rPr>
        <w:t xml:space="preserve">. This is in contrast </w:t>
      </w:r>
      <w:r w:rsidRPr="00223E3E">
        <w:rPr>
          <w:color w:val="000000"/>
        </w:rPr>
        <w:t xml:space="preserve">to an a priori estimation resulting in a finite specification of the offered solution and corresponding investments. For instance, through IOTA’s integration in the smart parking use case, end customers only pay for the exact parking duration </w:t>
      </w:r>
      <w:r w:rsidR="000F4C97" w:rsidRPr="00223E3E">
        <w:rPr>
          <w:color w:val="000000"/>
        </w:rPr>
        <w:t xml:space="preserve">as </w:t>
      </w:r>
      <w:r w:rsidRPr="00223E3E">
        <w:rPr>
          <w:color w:val="000000"/>
        </w:rPr>
        <w:t>opposed to current systems where drivers typically pay for fixed intervals or upfront.</w:t>
      </w:r>
    </w:p>
    <w:p w14:paraId="77AF5718" w14:textId="42C7F9C1" w:rsidR="00912E37" w:rsidRPr="00223E3E" w:rsidRDefault="00912E37" w:rsidP="00912E37">
      <w:r w:rsidRPr="00223E3E">
        <w:t>In my sample usage-based billing often but not exclusively co-emerged with the utili</w:t>
      </w:r>
      <w:r w:rsidR="009453B0">
        <w:t>sati</w:t>
      </w:r>
      <w:r w:rsidRPr="00223E3E">
        <w:t xml:space="preserve">on of </w:t>
      </w:r>
      <w:r w:rsidRPr="00223E3E">
        <w:rPr>
          <w:i/>
        </w:rPr>
        <w:t>micropayments</w:t>
      </w:r>
      <w:r w:rsidRPr="00223E3E">
        <w:t xml:space="preserve">. </w:t>
      </w:r>
      <w:r w:rsidR="000F4C97" w:rsidRPr="00223E3E">
        <w:t>The concept of m</w:t>
      </w:r>
      <w:r w:rsidRPr="00223E3E">
        <w:t xml:space="preserve">icropayments </w:t>
      </w:r>
      <w:r w:rsidR="000F4C97" w:rsidRPr="00223E3E">
        <w:t>originates</w:t>
      </w:r>
      <w:r w:rsidRPr="00223E3E">
        <w:t xml:space="preserve"> from the video gaming industry. It refers to low-cost expansions of the game in terms of new content or in-game extras </w:t>
      </w:r>
      <w:r w:rsidRPr="00223E3E">
        <w:fldChar w:fldCharType="begin" w:fldLock="1"/>
      </w:r>
      <w:r w:rsidRPr="00223E3E">
        <w:instrText>ADDIN CSL_CITATION {"citationItems":[{"id":"ITEM-1","itemData":{"abstract":"With the advent of the internet, computer games have undergone substantial changes. Many games now contain some form of social interaction with other players. Furthermore, many games offer players the opportunity to buy upgrades using microtransactions. Based on social psychological theories on social comparisons, deservedness, and envy, we tested whether the use of these microtransactions would affect how players perceive another player using them. In one survey and two experimental scenario-studies with active gamers as participants (total N = 532), we found evidence supporting the idea that a player using microtransactions will be judged more negatively. More specifically, we find that gamers dislike it more when microtransactions allow the buying of functional benefits (that provide an in-game advantage) than when they are merely ornamental, and players who buy these functional benefits are respected less. In Studies 2 and 3 we found that players who use microtransactions are perceived as having a lower skill and status. This happens both when the microtransaction-using player is an enemy who bought a competitive advantage, as well as in games where one cooperates with the microtransaction-using player and the advantage is thus effectively shared. The findings have important practical implications for game design. They indicate how microtransactions can be implemented so that they have fewer negative social consequences, demonstrate the value of social psychological theories in predicting online behavior, and provide several avenues for further theoretical exploration. [ABSTRACT FROM AUTHOR] Copyright of International Journal of Internet Science is the property of International Journal of Internet Science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Abstracts.)","author":[{"dropping-particle":"","family":"Evers","given":"Ellen R K","non-dropping-particle":"","parse-names":false,"suffix":""},{"dropping-particle":"van","family":"Ven","given":"Niels","non-dropping-particle":"de","parse-names":false,"suffix":""},{"dropping-particle":"","family":"Weeda","given":"Dorus","non-dropping-particle":"","parse-names":false,"suffix":""}],"container-title":"International Journal of Internet Science","id":"ITEM-1","issue":"1","issued":{"date-parts":[["2015"]]},"page":"20-36","title":"The Hidden Cost of Microtransactions: Buying In-Game Advantages in Online Games Decreases a Player's Status","type":"article-journal","volume":"10"},"uris":["http://www.mendeley.com/documents/?uuid=988f5292-f64f-4021-a393-95d012308502"]}],"mendeley":{"formattedCitation":"(Evers, de Ven, &amp; Weeda, 2015)","plainTextFormattedCitation":"(Evers, de Ven, &amp; Weeda, 2015)","previouslyFormattedCitation":"(Evers, de Ven, &amp; Weeda, 2015)"},"properties":{"noteIndex":0},"schema":"https://github.com/citation-style-language/schema/raw/master/csl-citation.json"}</w:instrText>
      </w:r>
      <w:r w:rsidRPr="00223E3E">
        <w:fldChar w:fldCharType="separate"/>
      </w:r>
      <w:r w:rsidRPr="00223E3E">
        <w:rPr>
          <w:noProof/>
        </w:rPr>
        <w:t>(Evers, de Ven, &amp; Weeda, 2015)</w:t>
      </w:r>
      <w:r w:rsidRPr="00223E3E">
        <w:fldChar w:fldCharType="end"/>
      </w:r>
      <w:r w:rsidRPr="00223E3E">
        <w:t xml:space="preserve"> and has created significant profits for gaming companies </w:t>
      </w:r>
      <w:r w:rsidRPr="00223E3E">
        <w:fldChar w:fldCharType="begin" w:fldLock="1"/>
      </w:r>
      <w:r w:rsidRPr="00223E3E">
        <w:instrText>ADDIN CSL_CITATION {"citationItems":[{"id":"ITEM-1","itemData":{"abstract":"The global market for virtual items, characters and currencies was estimated to exceed 2.1 Billion USD in 2007. Selling virtual goods for real money is an increasingly common revenue model not only for online games and virtual worlds, but for social networking sites and other mainstream online services as well. What drives consumer spending on virtual items is an increasingly relevant question, but little research has been devoted to the topic so far. Previous literature suggests that demand for virtual items is based on the items’ ability to confer gameplay advantages on one hand, and on the items’ decorative value on the other hand. In this paper, I adopt a perspective from the sociology of consumption and analyse examples from 14 virtual asset platforms to suggest a more detailed set of item attributes that drive virtual item purchase decisions, consisting of functional, hedonic and social attributes. [ABSTRACT FROM AUTHOR]","author":[{"dropping-particle":"","family":"Lehdonvirta","given":"Vili","non-dropping-particle":"","parse-names":false,"suffix":""}],"container-title":"Electronic Commerce Research","id":"ITEM-1","issue":"1-2","issued":{"date-parts":[["2009"]]},"page":"97-113","title":"Virtual item sales as a revenue model: Identifying attributes that drive purchase decisions","type":"article-journal","volume":"9"},"uris":["http://www.mendeley.com/documents/?uuid=f285dc5e-2f79-4e8c-bb82-3ff0aab16545"]}],"mendeley":{"formattedCitation":"(Lehdonvirta, 2009)","plainTextFormattedCitation":"(Lehdonvirta, 2009)","previouslyFormattedCitation":"(Lehdonvirta, 2009)"},"properties":{"noteIndex":0},"schema":"https://github.com/citation-style-language/schema/raw/master/csl-citation.json"}</w:instrText>
      </w:r>
      <w:r w:rsidRPr="00223E3E">
        <w:fldChar w:fldCharType="separate"/>
      </w:r>
      <w:r w:rsidRPr="00223E3E">
        <w:rPr>
          <w:noProof/>
        </w:rPr>
        <w:t>(Lehdonvirta, 2009)</w:t>
      </w:r>
      <w:r w:rsidRPr="00223E3E">
        <w:fldChar w:fldCharType="end"/>
      </w:r>
      <w:r w:rsidRPr="00223E3E">
        <w:t>. By leveraging the IOTA Tangle, that allows for both data and value transactions in a feeless manner, companies are able to moneti</w:t>
      </w:r>
      <w:r w:rsidR="00595818">
        <w:t>s</w:t>
      </w:r>
      <w:r w:rsidRPr="00223E3E">
        <w:t xml:space="preserve">e highly context-specific information through micro transactions but also to secure their revenue streams. For instance, </w:t>
      </w:r>
      <w:r w:rsidRPr="00223E3E">
        <w:rPr>
          <w:color w:val="000000"/>
        </w:rPr>
        <w:t xml:space="preserve">WeWash faces risks of potential payment losses when processing credit card transactions as they do not receive synchronous feedback about the payment processing. In case of payments failure, this results in the creation of service tickets that require manual transaction processing and cause high fees by the payment provider. The near real-time validation of IOTA-transactions mitigates this risk. Additionally, it allows for adaptions of the revenue model towards a </w:t>
      </w:r>
      <w:r w:rsidRPr="00223E3E">
        <w:rPr>
          <w:i/>
          <w:color w:val="000000"/>
        </w:rPr>
        <w:t>by-demand</w:t>
      </w:r>
      <w:r w:rsidRPr="00223E3E">
        <w:rPr>
          <w:color w:val="000000"/>
        </w:rPr>
        <w:t xml:space="preserve"> system, such as pay-per-time. The current payment system prevents such models due to transaction fees that exceed the actual value of each transaction.</w:t>
      </w:r>
    </w:p>
    <w:p w14:paraId="1CAD2AC8" w14:textId="1D9E80A4" w:rsidR="00912E37" w:rsidRPr="00223E3E" w:rsidRDefault="00912E37" w:rsidP="00912E37">
      <w:pPr>
        <w:rPr>
          <w:color w:val="000000"/>
        </w:rPr>
      </w:pPr>
      <w:r w:rsidRPr="00223E3E">
        <w:rPr>
          <w:color w:val="000000"/>
        </w:rPr>
        <w:lastRenderedPageBreak/>
        <w:t>Across most cases my informants described potential moneti</w:t>
      </w:r>
      <w:r w:rsidR="009453B0">
        <w:rPr>
          <w:color w:val="000000"/>
        </w:rPr>
        <w:t>sati</w:t>
      </w:r>
      <w:r w:rsidRPr="00223E3E">
        <w:rPr>
          <w:color w:val="000000"/>
        </w:rPr>
        <w:t>on mechanism by cutting a rate of the transacted revenue. For instance, VW mentioned the idea to cut a fixed rate of revenues stemming from their suppliers offerings through the car as a platform. Revenue cuts as a key value capture mechanism is particularly interesting as the feeless architecture is a core feature of the IOTA Tangle that has been a decisive factor for the case firms’ original protocol choices. The closed approach allows them to remain control of data and transaction flows opposed to pure peer-to-peer exchange on open platforms.</w:t>
      </w:r>
    </w:p>
    <w:p w14:paraId="3A4F0642" w14:textId="0BDAFAF4" w:rsidR="00912E37" w:rsidRPr="00223E3E" w:rsidRDefault="000F4C97" w:rsidP="00912E37">
      <w:pPr>
        <w:rPr>
          <w:color w:val="000000"/>
        </w:rPr>
      </w:pPr>
      <w:r w:rsidRPr="00223E3E">
        <w:t>Interestingly</w:t>
      </w:r>
      <w:r w:rsidR="00912E37" w:rsidRPr="00223E3E">
        <w:t xml:space="preserve">, </w:t>
      </w:r>
      <w:r w:rsidR="00912E37" w:rsidRPr="00223E3E">
        <w:rPr>
          <w:color w:val="000000"/>
        </w:rPr>
        <w:t>in two cases (</w:t>
      </w:r>
      <w:r w:rsidR="00912E37" w:rsidRPr="00223E3E">
        <w:rPr>
          <w:i/>
          <w:color w:val="000000"/>
        </w:rPr>
        <w:t>Industry 4.0, Device Identity</w:t>
      </w:r>
      <w:r w:rsidR="00912E37" w:rsidRPr="00223E3E">
        <w:rPr>
          <w:color w:val="000000"/>
        </w:rPr>
        <w:t xml:space="preserve">) my interviewees </w:t>
      </w:r>
      <w:r w:rsidRPr="00223E3E">
        <w:rPr>
          <w:color w:val="000000"/>
        </w:rPr>
        <w:t xml:space="preserve">further </w:t>
      </w:r>
      <w:r w:rsidR="00912E37" w:rsidRPr="00223E3E">
        <w:rPr>
          <w:color w:val="000000"/>
        </w:rPr>
        <w:t>highlighted hosting fees as part of their value capturing mechanism. These two companies charge hosting fees for optionally storing parts of customer’s data in centrali</w:t>
      </w:r>
      <w:r w:rsidR="00595818">
        <w:rPr>
          <w:color w:val="000000"/>
        </w:rPr>
        <w:t>s</w:t>
      </w:r>
      <w:r w:rsidR="00912E37" w:rsidRPr="00223E3E">
        <w:rPr>
          <w:color w:val="000000"/>
        </w:rPr>
        <w:t>ed database.</w:t>
      </w:r>
    </w:p>
    <w:p w14:paraId="04AFF662" w14:textId="77777777" w:rsidR="00912E37" w:rsidRPr="00223E3E" w:rsidRDefault="00912E37" w:rsidP="00ED5260">
      <w:pPr>
        <w:pStyle w:val="Heading2"/>
      </w:pPr>
      <w:r w:rsidRPr="00223E3E">
        <w:t>Open Platform</w:t>
      </w:r>
      <w:bookmarkEnd w:id="29"/>
      <w:bookmarkEnd w:id="30"/>
      <w:bookmarkEnd w:id="31"/>
    </w:p>
    <w:p w14:paraId="6D8BD05C" w14:textId="77777777" w:rsidR="00912E37" w:rsidRPr="00223E3E" w:rsidRDefault="00912E37" w:rsidP="00912E37">
      <w:pPr>
        <w:rPr>
          <w:i/>
        </w:rPr>
      </w:pPr>
      <w:bookmarkStart w:id="32" w:name="_1zquef55irpe" w:colFirst="0" w:colLast="0"/>
      <w:bookmarkEnd w:id="32"/>
      <w:r w:rsidRPr="00223E3E">
        <w:rPr>
          <w:i/>
        </w:rPr>
        <w:t>Value Proposition</w:t>
      </w:r>
    </w:p>
    <w:p w14:paraId="27C5538F" w14:textId="77777777" w:rsidR="00912E37" w:rsidRPr="00223E3E" w:rsidRDefault="00912E37" w:rsidP="00912E37">
      <w:r w:rsidRPr="00223E3E">
        <w:t xml:space="preserve">In the open approach the IOTA Tangle is leveraged for three main purposes that relate to the previously introduced concepts </w:t>
      </w:r>
      <w:r w:rsidRPr="00223E3E">
        <w:rPr>
          <w:i/>
        </w:rPr>
        <w:t>trust and transparency</w:t>
      </w:r>
      <w:r w:rsidRPr="00223E3E">
        <w:t xml:space="preserve">, </w:t>
      </w:r>
      <w:r w:rsidRPr="00223E3E">
        <w:rPr>
          <w:i/>
        </w:rPr>
        <w:t xml:space="preserve">comfort, </w:t>
      </w:r>
      <w:r w:rsidRPr="00223E3E">
        <w:t xml:space="preserve">and for achieving a </w:t>
      </w:r>
      <w:r w:rsidRPr="00223E3E">
        <w:rPr>
          <w:i/>
        </w:rPr>
        <w:t>global efficiency optimum</w:t>
      </w:r>
      <w:r w:rsidRPr="00223E3E">
        <w:t xml:space="preserve">. </w:t>
      </w:r>
    </w:p>
    <w:p w14:paraId="58234B6C" w14:textId="54173A3D" w:rsidR="00912E37" w:rsidRPr="00223E3E" w:rsidRDefault="00912E37" w:rsidP="00912E37">
      <w:r w:rsidRPr="00223E3E">
        <w:t>Opposed to the focal firm of a closed platform, this decentrali</w:t>
      </w:r>
      <w:r w:rsidR="00595818">
        <w:t>s</w:t>
      </w:r>
      <w:r w:rsidRPr="00223E3E">
        <w:t>ed approach evolves around the needs of the end-consumer.</w:t>
      </w:r>
      <w:r w:rsidR="00EE30CC" w:rsidRPr="00223E3E">
        <w:t xml:space="preserve"> T</w:t>
      </w:r>
      <w:r w:rsidRPr="00223E3E">
        <w:t xml:space="preserve">rust in the immutability of communication and data is used to allow for </w:t>
      </w:r>
      <w:r w:rsidR="00EE30CC" w:rsidRPr="00223E3E">
        <w:t xml:space="preserve">their </w:t>
      </w:r>
      <w:r w:rsidRPr="00223E3E">
        <w:t>auditability and transparency</w:t>
      </w:r>
      <w:r w:rsidR="00EE30CC" w:rsidRPr="00223E3E">
        <w:t>.</w:t>
      </w:r>
      <w:r w:rsidRPr="00223E3E">
        <w:t xml:space="preserve"> </w:t>
      </w:r>
      <w:r w:rsidR="00EE30CC" w:rsidRPr="00223E3E">
        <w:t xml:space="preserve">These are </w:t>
      </w:r>
      <w:r w:rsidRPr="00223E3E">
        <w:t xml:space="preserve">eventually accessed or generated by a specific end consumer when using a related service. For instance, in the </w:t>
      </w:r>
      <w:r w:rsidRPr="00223E3E">
        <w:rPr>
          <w:i/>
        </w:rPr>
        <w:t>eHealth</w:t>
      </w:r>
      <w:r w:rsidRPr="00223E3E">
        <w:t xml:space="preserve"> case this may be </w:t>
      </w:r>
      <w:r w:rsidR="00EE30CC" w:rsidRPr="00223E3E">
        <w:t xml:space="preserve">the </w:t>
      </w:r>
      <w:r w:rsidRPr="00223E3E">
        <w:t>trust of the doctor in the integrity of medical records or data from medical devices based on which he or she prescribes medical treatment. By building digital IDs – a unique digital repre</w:t>
      </w:r>
      <w:r w:rsidR="00EE30CC" w:rsidRPr="00223E3E">
        <w:t>sentation of a physical device –</w:t>
      </w:r>
      <w:r w:rsidRPr="00223E3E">
        <w:t xml:space="preserve">, such as in the </w:t>
      </w:r>
      <w:r w:rsidRPr="00223E3E">
        <w:rPr>
          <w:i/>
        </w:rPr>
        <w:t>Smart Charging</w:t>
      </w:r>
      <w:r w:rsidRPr="00223E3E">
        <w:t xml:space="preserve"> case, both parties can further ensure that the car owner is only charged for transactions relating to his/her car - even if the car may be capable of fully autonomous driving. In order to remain GDPR-compliant </w:t>
      </w:r>
      <w:r w:rsidR="00EE30CC" w:rsidRPr="00223E3E">
        <w:t>in spite of</w:t>
      </w:r>
      <w:r w:rsidRPr="00223E3E">
        <w:t xml:space="preserve"> continuous data streams the entities commonly rely on the </w:t>
      </w:r>
      <w:r w:rsidR="001F5682" w:rsidRPr="00223E3E">
        <w:rPr>
          <w:i/>
        </w:rPr>
        <w:t>Masked Authentication Messaging</w:t>
      </w:r>
      <w:r w:rsidRPr="00223E3E">
        <w:t xml:space="preserve"> module.</w:t>
      </w:r>
    </w:p>
    <w:p w14:paraId="5D114A18" w14:textId="1107ECC4" w:rsidR="00912E37" w:rsidRPr="00223E3E" w:rsidRDefault="00912E37" w:rsidP="00912E37">
      <w:r w:rsidRPr="00223E3E">
        <w:t>In line with the end con</w:t>
      </w:r>
      <w:r w:rsidR="00EE30CC" w:rsidRPr="00223E3E">
        <w:t>sumer-cent</w:t>
      </w:r>
      <w:r w:rsidRPr="00223E3E">
        <w:t xml:space="preserve">red model, direct-/peer-to-peer-communication and transaction is one key aspect to facilitate </w:t>
      </w:r>
      <w:r w:rsidRPr="00223E3E">
        <w:rPr>
          <w:i/>
        </w:rPr>
        <w:t>comfort</w:t>
      </w:r>
      <w:r w:rsidR="00EE30CC" w:rsidRPr="00223E3E">
        <w:t xml:space="preserve"> for the end-consumer –</w:t>
      </w:r>
      <w:r w:rsidRPr="00223E3E">
        <w:t xml:space="preserve"> corresponding to the labelling from the centrali</w:t>
      </w:r>
      <w:r w:rsidR="00595818">
        <w:t>s</w:t>
      </w:r>
      <w:r w:rsidRPr="00223E3E">
        <w:t xml:space="preserve">ed approach. As the Tangle is </w:t>
      </w:r>
      <w:r w:rsidR="00EE30CC" w:rsidRPr="00223E3E">
        <w:t>also</w:t>
      </w:r>
      <w:r w:rsidRPr="00223E3E">
        <w:t xml:space="preserve"> implemented as an institution-overarching ledger the end consumer experiences increasing data control, </w:t>
      </w:r>
      <w:r w:rsidRPr="00223E3E">
        <w:lastRenderedPageBreak/>
        <w:t xml:space="preserve">i.e. he/she can freely </w:t>
      </w:r>
      <w:r w:rsidR="00EE30CC" w:rsidRPr="00223E3E">
        <w:t>get and provide access to data,</w:t>
      </w:r>
      <w:r w:rsidRPr="00223E3E">
        <w:t xml:space="preserve"> such as medical records (</w:t>
      </w:r>
      <w:r w:rsidRPr="00223E3E">
        <w:rPr>
          <w:i/>
        </w:rPr>
        <w:t>eHealth</w:t>
      </w:r>
      <w:r w:rsidR="00EE30CC" w:rsidRPr="00223E3E">
        <w:t>),</w:t>
      </w:r>
      <w:r w:rsidRPr="00223E3E">
        <w:t xml:space="preserve"> to dedicated stakeholders. </w:t>
      </w:r>
    </w:p>
    <w:p w14:paraId="7B546F14" w14:textId="410C3D70" w:rsidR="00912E37" w:rsidRPr="00223E3E" w:rsidRDefault="0078638C" w:rsidP="00912E37">
      <w:pPr>
        <w:rPr>
          <w:i/>
        </w:rPr>
      </w:pPr>
      <w:r w:rsidRPr="00223E3E">
        <w:t>I observed one</w:t>
      </w:r>
      <w:r w:rsidR="00912E37" w:rsidRPr="00223E3E">
        <w:t xml:space="preserve"> notable theme for the value propositions pursuing the </w:t>
      </w:r>
      <w:r w:rsidR="00912E37" w:rsidRPr="00223E3E">
        <w:rPr>
          <w:i/>
        </w:rPr>
        <w:t>Initiation</w:t>
      </w:r>
      <w:r w:rsidR="00912E37" w:rsidRPr="00223E3E">
        <w:t xml:space="preserve"> model</w:t>
      </w:r>
      <w:r w:rsidRPr="00223E3E">
        <w:t>. That is</w:t>
      </w:r>
      <w:r w:rsidR="00912E37" w:rsidRPr="00223E3E">
        <w:t xml:space="preserve"> firms build the Tangle-based infrastructure to reach a </w:t>
      </w:r>
      <w:r w:rsidR="00912E37" w:rsidRPr="00223E3E">
        <w:rPr>
          <w:i/>
        </w:rPr>
        <w:t>global efficiency optimum</w:t>
      </w:r>
      <w:r w:rsidR="00912E37" w:rsidRPr="00223E3E">
        <w:t xml:space="preserve"> from an end consumer or society point-of-view. This may be achieved through the elimination of gatekeepers as one informant in the eHealth case described:</w:t>
      </w:r>
    </w:p>
    <w:p w14:paraId="713655D6" w14:textId="77777777" w:rsidR="00912E37" w:rsidRPr="00223E3E" w:rsidRDefault="00912E37" w:rsidP="00912E37">
      <w:pPr>
        <w:pStyle w:val="Quote"/>
      </w:pPr>
      <w:r w:rsidRPr="00223E3E">
        <w:t>It is a complete ecosystem change, it removes the middle-man usually and redistributes the value chain in a different order. And sometimes […] it is going to be organized completely differently […] as a decentralized system […] open for anybody for innovating, so you can start really to have innovation happening although you are not the hospital. So that is the power to use in that case a public DL. [#9: eHealth]</w:t>
      </w:r>
    </w:p>
    <w:p w14:paraId="61CAB57E" w14:textId="2DCE5C07" w:rsidR="00912E37" w:rsidRPr="00223E3E" w:rsidRDefault="00912E37" w:rsidP="00912E37">
      <w:r w:rsidRPr="00223E3E">
        <w:t xml:space="preserve">In a similar matter ElaadNL leverages IOTA’s communication and transaction architecture to improve grid balancing essentially by enabling peer-to-peer energy trading between solar panels, electric vehicles, and chargers in local communities. </w:t>
      </w:r>
    </w:p>
    <w:p w14:paraId="16468240" w14:textId="77777777" w:rsidR="00912E37" w:rsidRPr="00223E3E" w:rsidRDefault="00912E37" w:rsidP="00912E37">
      <w:pPr>
        <w:rPr>
          <w:i/>
        </w:rPr>
      </w:pPr>
      <w:r w:rsidRPr="00223E3E">
        <w:rPr>
          <w:i/>
        </w:rPr>
        <w:t>Value Creation</w:t>
      </w:r>
    </w:p>
    <w:p w14:paraId="29FF90F1" w14:textId="1F33A020" w:rsidR="00912E37" w:rsidRPr="00223E3E" w:rsidRDefault="00912E37" w:rsidP="00912E37">
      <w:pPr>
        <w:rPr>
          <w:i/>
        </w:rPr>
      </w:pPr>
      <w:r w:rsidRPr="00223E3E">
        <w:t xml:space="preserve">Out of my coding process emerged distinct themes for each of the two models within the open platform approach. In terms of protocol integration, the informants pursuing the </w:t>
      </w:r>
      <w:r w:rsidRPr="00223E3E">
        <w:rPr>
          <w:i/>
        </w:rPr>
        <w:t>Initiation</w:t>
      </w:r>
      <w:r w:rsidRPr="00223E3E">
        <w:t xml:space="preserve"> model emphasi</w:t>
      </w:r>
      <w:r w:rsidR="00595818">
        <w:t>s</w:t>
      </w:r>
      <w:r w:rsidRPr="00223E3E">
        <w:t>ed the use of an open-source and public distributed ledger as well as the feeless, scalable architecture of the IOTA Tangle as key aspects to en</w:t>
      </w:r>
      <w:r w:rsidR="0078638C" w:rsidRPr="00223E3E">
        <w:t>able a permission-free</w:t>
      </w:r>
      <w:r w:rsidRPr="00223E3E">
        <w:t xml:space="preserve"> innovation environment. Notably, in this approach the development of tools is a common practice to actively stimulate adoption among innovators. In the </w:t>
      </w:r>
      <w:r w:rsidRPr="00223E3E">
        <w:rPr>
          <w:i/>
        </w:rPr>
        <w:t>eHealth</w:t>
      </w:r>
      <w:r w:rsidRPr="00223E3E">
        <w:t xml:space="preserve"> case this is instantiated through the creation of a </w:t>
      </w:r>
      <w:r w:rsidRPr="00223E3E">
        <w:rPr>
          <w:i/>
        </w:rPr>
        <w:t>sandbox</w:t>
      </w:r>
      <w:r w:rsidRPr="00223E3E">
        <w:t xml:space="preserve">, a digital environment for collaborative innovation. Similarly, the interviewees from the </w:t>
      </w:r>
      <w:r w:rsidRPr="00223E3E">
        <w:rPr>
          <w:i/>
        </w:rPr>
        <w:t>New Internet</w:t>
      </w:r>
      <w:r w:rsidRPr="00223E3E">
        <w:t xml:space="preserve"> case develop an app builder </w:t>
      </w:r>
      <w:r w:rsidRPr="00223E3E">
        <w:rPr>
          <w:i/>
        </w:rPr>
        <w:t>so “that anyone without any coding knowledge</w:t>
      </w:r>
      <w:r w:rsidRPr="00223E3E">
        <w:rPr>
          <w:b/>
          <w:i/>
        </w:rPr>
        <w:t xml:space="preserve"> </w:t>
      </w:r>
      <w:r w:rsidRPr="00223E3E">
        <w:rPr>
          <w:i/>
        </w:rPr>
        <w:t>can incorporate different components and elements into their interface” [#10: New Internet].</w:t>
      </w:r>
    </w:p>
    <w:p w14:paraId="4C683029" w14:textId="4ABA485C" w:rsidR="00912E37" w:rsidRPr="00223E3E" w:rsidRDefault="00912E37" w:rsidP="00912E37">
      <w:pPr>
        <w:rPr>
          <w:i/>
        </w:rPr>
      </w:pPr>
      <w:r w:rsidRPr="00223E3E">
        <w:t xml:space="preserve">In contrast to the infrastructure </w:t>
      </w:r>
      <w:r w:rsidR="0078638C" w:rsidRPr="00223E3E">
        <w:t>that fully integrates</w:t>
      </w:r>
      <w:r w:rsidRPr="00223E3E">
        <w:t xml:space="preserve"> the properties of the Tangle in the </w:t>
      </w:r>
      <w:r w:rsidRPr="00223E3E">
        <w:rPr>
          <w:i/>
        </w:rPr>
        <w:t>Initiation</w:t>
      </w:r>
      <w:r w:rsidRPr="00223E3E">
        <w:t xml:space="preserve"> model, the </w:t>
      </w:r>
      <w:r w:rsidRPr="00223E3E">
        <w:rPr>
          <w:i/>
        </w:rPr>
        <w:t>Utili</w:t>
      </w:r>
      <w:r w:rsidR="009453B0">
        <w:rPr>
          <w:i/>
        </w:rPr>
        <w:t>sati</w:t>
      </w:r>
      <w:r w:rsidRPr="00223E3E">
        <w:rPr>
          <w:i/>
        </w:rPr>
        <w:t>on</w:t>
      </w:r>
      <w:r w:rsidRPr="00223E3E">
        <w:t xml:space="preserve"> model bears resemblance to developments of the centrali</w:t>
      </w:r>
      <w:r w:rsidR="00595818">
        <w:t>s</w:t>
      </w:r>
      <w:r w:rsidRPr="00223E3E">
        <w:t xml:space="preserve">ed model. For instance, </w:t>
      </w:r>
      <w:proofErr w:type="spellStart"/>
      <w:r w:rsidRPr="00223E3E">
        <w:t>Newmotion</w:t>
      </w:r>
      <w:proofErr w:type="spellEnd"/>
      <w:r w:rsidRPr="00223E3E">
        <w:t xml:space="preserve"> operates a working business model independently from the IOTA protocol development. While anti</w:t>
      </w:r>
      <w:r w:rsidR="0078638C" w:rsidRPr="00223E3E">
        <w:t>cipating the need for adaption that could potential result</w:t>
      </w:r>
      <w:r w:rsidRPr="00223E3E">
        <w:t xml:space="preserve"> from a rapid change in end customer behaviour, they test out selected features of the Tangle</w:t>
      </w:r>
      <w:r w:rsidR="0078638C" w:rsidRPr="00223E3E">
        <w:t>.</w:t>
      </w:r>
      <w:r w:rsidRPr="00223E3E">
        <w:t xml:space="preserve"> </w:t>
      </w:r>
      <w:r w:rsidR="0078638C" w:rsidRPr="00223E3E">
        <w:t>Subsequently, they integrate</w:t>
      </w:r>
      <w:r w:rsidRPr="00223E3E">
        <w:t xml:space="preserve"> them more deeply into their business model. Here, one interviewee described how the intention to separate data </w:t>
      </w:r>
      <w:r w:rsidRPr="00223E3E">
        <w:lastRenderedPageBreak/>
        <w:t>storage of charging data in the Tangle from the payment function with IOTA in order to accommodate for a transition period in regard to user adoption:</w:t>
      </w:r>
    </w:p>
    <w:p w14:paraId="540C8117" w14:textId="77777777" w:rsidR="00912E37" w:rsidRPr="00223E3E" w:rsidRDefault="00912E37" w:rsidP="00912E37">
      <w:pPr>
        <w:pStyle w:val="Quote"/>
      </w:pPr>
      <w:r w:rsidRPr="00223E3E">
        <w:t>[…] I think it is maybe also one of the difficult parts of implementing a new payment technology in this industry because there are so many roaming platforms. If you want to implement something like this you have to get everybody on board or you get a split in the market. Having charging stations where you can pay with it and others where you can’t what makes it very confusing for the end-customer. It is very difficult to have a payment technology in place that is not very broadly accepted. You can use the DLT for logging the charging sessions and how much that costs someone and who is going to pay for it and when they pay for it. For example, with IOTA if that would be connected to the service that would be great but if not that could be two separate things […] [otherwise] everyone who wants to use [our solution] has to have IOTA in order to be able to charge. [#7: Smart Charging]</w:t>
      </w:r>
    </w:p>
    <w:p w14:paraId="7EC13448" w14:textId="77777777" w:rsidR="00912E37" w:rsidRPr="00223E3E" w:rsidRDefault="00912E37" w:rsidP="00912E37">
      <w:r w:rsidRPr="00223E3E">
        <w:t xml:space="preserve">A notable aspect of the value creation for open platforms is the stakeholder management. As the </w:t>
      </w:r>
      <w:r w:rsidRPr="00223E3E">
        <w:rPr>
          <w:i/>
        </w:rPr>
        <w:t>Initiation</w:t>
      </w:r>
      <w:r w:rsidRPr="00223E3E">
        <w:t xml:space="preserve"> model commonly strives for establishing a standard for data and transaction exchange in a certain domain, I observed a particular focus on the collaboration with regulatory institutions. One interviewee elaborated on this aspect:</w:t>
      </w:r>
    </w:p>
    <w:p w14:paraId="1805B023" w14:textId="60AD4C89" w:rsidR="00FA4397" w:rsidRPr="00223E3E" w:rsidRDefault="00912E37" w:rsidP="00893A14">
      <w:pPr>
        <w:pStyle w:val="Quote"/>
      </w:pPr>
      <w:r w:rsidRPr="00223E3E">
        <w:t xml:space="preserve">“Our role is to foster that innovation. [...] That is why we always create mini ecosystems, we call them ‘minimal viable ecosystems’ of a critical mass of stakeholders that at least need to be at the table to validate that this is actually a valid business model that can be followed and deployed. […] Occasionally we do proof-of-concepts, where we then need to play the role of a start-up or solution provider but we just do it as a showcase. [...] But the big thing is that we need to have the regulator at the table because the regulator needs to look at what is happening in front of his eyes and realize that he needs to change the regulation to allow the steps of innovation to happen” [#9: eHealth] </w:t>
      </w:r>
    </w:p>
    <w:p w14:paraId="4CDDA6E6" w14:textId="6E58A9CE" w:rsidR="00E4783A" w:rsidRPr="00223E3E" w:rsidRDefault="00912E37" w:rsidP="00E4783A">
      <w:pPr>
        <w:pStyle w:val="Quote"/>
        <w:ind w:left="0"/>
      </w:pPr>
      <w:r w:rsidRPr="00223E3E">
        <w:t>Value Capture</w:t>
      </w:r>
    </w:p>
    <w:p w14:paraId="6C7C3753" w14:textId="3C0BD979" w:rsidR="00912E37" w:rsidRPr="00223E3E" w:rsidRDefault="00912E37" w:rsidP="00912E37">
      <w:r w:rsidRPr="00223E3E">
        <w:t xml:space="preserve">The value capture mechanisms in the open model depend on the pursued sub-type. The </w:t>
      </w:r>
      <w:r w:rsidRPr="00223E3E">
        <w:rPr>
          <w:i/>
        </w:rPr>
        <w:t>Initiation</w:t>
      </w:r>
      <w:r w:rsidRPr="00223E3E">
        <w:t xml:space="preserve"> model essentially lacks an integrated revenue mechanism. In order to achieve </w:t>
      </w:r>
      <w:r w:rsidRPr="00223E3E">
        <w:lastRenderedPageBreak/>
        <w:t>full decentrali</w:t>
      </w:r>
      <w:r w:rsidR="009453B0">
        <w:t>sati</w:t>
      </w:r>
      <w:r w:rsidRPr="00223E3E">
        <w:t xml:space="preserve">on and adoption the organisations rely on public and/or private funds. For instance, the IOTA Foundation originally collected IOTA tokens at the beginning of their protocol development to finance activities such as the IOTA-based infrastructure in the </w:t>
      </w:r>
      <w:r w:rsidRPr="00223E3E">
        <w:rPr>
          <w:i/>
        </w:rPr>
        <w:t>eHealth</w:t>
      </w:r>
      <w:r w:rsidRPr="00223E3E">
        <w:t xml:space="preserve"> case. Similarly, ElaadNL is part of a foundation funded by Dutch grid operators as part of a joint effort to prepare for transformative sector changes, i.e. smart charging and the use of sustainable energy for electric vehicles.</w:t>
      </w:r>
    </w:p>
    <w:p w14:paraId="7463650F" w14:textId="6E412388" w:rsidR="00912E37" w:rsidRPr="00223E3E" w:rsidRDefault="00912E37" w:rsidP="00912E37">
      <w:r w:rsidRPr="00223E3E">
        <w:t>Although the provision of a decentrali</w:t>
      </w:r>
      <w:r w:rsidR="00595818">
        <w:t>s</w:t>
      </w:r>
      <w:r w:rsidRPr="00223E3E">
        <w:t xml:space="preserve">ed infrastructure, i.e. the </w:t>
      </w:r>
      <w:r w:rsidRPr="00223E3E">
        <w:rPr>
          <w:i/>
        </w:rPr>
        <w:t>Initiation</w:t>
      </w:r>
      <w:r w:rsidRPr="00223E3E">
        <w:t xml:space="preserve"> model, </w:t>
      </w:r>
      <w:r w:rsidR="000B6A0C" w:rsidRPr="00223E3E">
        <w:t>offers</w:t>
      </w:r>
      <w:r w:rsidRPr="00223E3E">
        <w:t xml:space="preserve"> little value capture potential by itself, a firm may profit greatly from its technical understanding by subsequently transferring into a </w:t>
      </w:r>
      <w:r w:rsidRPr="00223E3E">
        <w:rPr>
          <w:i/>
        </w:rPr>
        <w:t>Utili</w:t>
      </w:r>
      <w:r w:rsidR="009453B0">
        <w:rPr>
          <w:i/>
        </w:rPr>
        <w:t>sati</w:t>
      </w:r>
      <w:r w:rsidRPr="00223E3E">
        <w:rPr>
          <w:i/>
        </w:rPr>
        <w:t>on</w:t>
      </w:r>
      <w:r w:rsidRPr="00223E3E">
        <w:t xml:space="preserve"> model. For instance, in order to stimu</w:t>
      </w:r>
      <w:r w:rsidR="0078638C" w:rsidRPr="00223E3E">
        <w:t>late adoption and permission-free</w:t>
      </w:r>
      <w:r w:rsidRPr="00223E3E">
        <w:t xml:space="preserve"> innovation </w:t>
      </w:r>
      <w:proofErr w:type="spellStart"/>
      <w:r w:rsidRPr="00223E3E">
        <w:t>Fognet</w:t>
      </w:r>
      <w:proofErr w:type="spellEnd"/>
      <w:r w:rsidRPr="00223E3E">
        <w:t xml:space="preserve"> follows an open platform approach for the development of their IOTA-based </w:t>
      </w:r>
      <w:proofErr w:type="spellStart"/>
      <w:r w:rsidRPr="00223E3E">
        <w:t>meshnet</w:t>
      </w:r>
      <w:proofErr w:type="spellEnd"/>
      <w:r w:rsidRPr="00223E3E">
        <w:t xml:space="preserve"> infrastructure. Since the coding is open source and users can innovate in a web of value approach there is little direct moneti</w:t>
      </w:r>
      <w:r w:rsidR="009453B0">
        <w:t>sati</w:t>
      </w:r>
      <w:r w:rsidRPr="00223E3E">
        <w:t xml:space="preserve">on potential. However, </w:t>
      </w:r>
      <w:proofErr w:type="spellStart"/>
      <w:r w:rsidRPr="00223E3E">
        <w:t>Fognet</w:t>
      </w:r>
      <w:proofErr w:type="spellEnd"/>
      <w:r w:rsidRPr="00223E3E">
        <w:t xml:space="preserve"> simultaneously develops a router, which users can buy to comfortably access the infrastructure. </w:t>
      </w:r>
    </w:p>
    <w:p w14:paraId="2428DEAC" w14:textId="66AAF036" w:rsidR="00912E37" w:rsidRPr="00223E3E" w:rsidRDefault="00912E37" w:rsidP="00912E37">
      <w:r w:rsidRPr="00223E3E">
        <w:t xml:space="preserve">Open IOTA-based platforms more generally </w:t>
      </w:r>
      <w:r w:rsidR="000B6A0C" w:rsidRPr="00223E3E">
        <w:t>offer</w:t>
      </w:r>
      <w:r w:rsidRPr="00223E3E">
        <w:t xml:space="preserve"> promising value capture mechanisms in the </w:t>
      </w:r>
      <w:r w:rsidRPr="00223E3E">
        <w:rPr>
          <w:i/>
        </w:rPr>
        <w:t>Utili</w:t>
      </w:r>
      <w:r w:rsidR="009453B0">
        <w:rPr>
          <w:i/>
        </w:rPr>
        <w:t>sati</w:t>
      </w:r>
      <w:r w:rsidRPr="00223E3E">
        <w:rPr>
          <w:i/>
        </w:rPr>
        <w:t>on</w:t>
      </w:r>
      <w:r w:rsidRPr="00223E3E">
        <w:t xml:space="preserve"> model as outlined by one informant from the IOTA Foundation:</w:t>
      </w:r>
    </w:p>
    <w:p w14:paraId="4EF32774" w14:textId="77777777" w:rsidR="00912E37" w:rsidRPr="00223E3E" w:rsidRDefault="00912E37" w:rsidP="00E4783A">
      <w:pPr>
        <w:pStyle w:val="Quote"/>
      </w:pPr>
      <w:r w:rsidRPr="00223E3E">
        <w:t>Eventually when everybody starts to use these solutions for free and the data will start to flow. People will realize that they can use an option that we have, and that is a cryptocurrency, that allows you to monetize the data-streams. And each API can be paid for the data it shares, you can be paid per segment, kilobyte or whatsoever. We can allow those things to happen at a micro-level, through micropayments, because we don’t have any fees. This means we can go as little as possible and start paying as a stream. [#9: eHealth]</w:t>
      </w:r>
    </w:p>
    <w:p w14:paraId="613D651B" w14:textId="2CADC30E" w:rsidR="00912E37" w:rsidRPr="00223E3E" w:rsidRDefault="00E4783A" w:rsidP="00ED5260">
      <w:pPr>
        <w:pStyle w:val="Heading1"/>
      </w:pPr>
      <w:bookmarkStart w:id="33" w:name="_mn3lea67he2b" w:colFirst="0" w:colLast="0"/>
      <w:bookmarkStart w:id="34" w:name="_Toc517116034"/>
      <w:bookmarkStart w:id="35" w:name="_Toc517116153"/>
      <w:bookmarkStart w:id="36" w:name="_Toc517120869"/>
      <w:bookmarkStart w:id="37" w:name="_Toc1632041"/>
      <w:bookmarkEnd w:id="33"/>
      <w:r w:rsidRPr="00223E3E">
        <w:t>Discussion and</w:t>
      </w:r>
      <w:r w:rsidR="00912E37" w:rsidRPr="00223E3E">
        <w:t xml:space="preserve"> Conclusion</w:t>
      </w:r>
      <w:bookmarkEnd w:id="34"/>
      <w:bookmarkEnd w:id="35"/>
      <w:bookmarkEnd w:id="36"/>
      <w:bookmarkEnd w:id="37"/>
    </w:p>
    <w:p w14:paraId="0B5CA018" w14:textId="50A25301" w:rsidR="00912E37" w:rsidRPr="00223E3E" w:rsidRDefault="00912E37" w:rsidP="00E4783A">
      <w:r w:rsidRPr="00223E3E">
        <w:t xml:space="preserve">My study contributes to theories of </w:t>
      </w:r>
      <w:r w:rsidRPr="00223E3E">
        <w:rPr>
          <w:i/>
        </w:rPr>
        <w:t>Distributed Ledger Technology</w:t>
      </w:r>
      <w:r w:rsidRPr="00223E3E">
        <w:t xml:space="preserve"> and </w:t>
      </w:r>
      <w:r w:rsidRPr="00223E3E">
        <w:rPr>
          <w:i/>
        </w:rPr>
        <w:t>Business Model Innovation</w:t>
      </w:r>
      <w:r w:rsidRPr="00223E3E">
        <w:t xml:space="preserve">. Prior studies of management research often implicitly regard </w:t>
      </w:r>
      <w:r w:rsidRPr="00223E3E">
        <w:rPr>
          <w:i/>
        </w:rPr>
        <w:t>blockchain</w:t>
      </w:r>
      <w:r w:rsidRPr="00223E3E">
        <w:t xml:space="preserve"> to be a single technology opposed to an umbrella term for distributed ledger protocols</w:t>
      </w:r>
      <w:r w:rsidR="0078638C" w:rsidRPr="00223E3E">
        <w:t xml:space="preserve"> that is</w:t>
      </w:r>
      <w:r w:rsidRPr="00223E3E">
        <w:t xml:space="preserve"> following a</w:t>
      </w:r>
      <w:r w:rsidR="0078638C" w:rsidRPr="00223E3E">
        <w:t xml:space="preserve"> blockchain-based architecture like </w:t>
      </w:r>
      <w:r w:rsidRPr="00223E3E">
        <w:t xml:space="preserve">Ethereum or Bitcoin. In contrast, my empirical evidence highlights the importance to differentiate between protocols and their underlying architecture, as firms rely on this level of analysis when designing their business models. In this context, I show that the IOTA protocol appears promising for </w:t>
      </w:r>
      <w:r w:rsidRPr="00223E3E">
        <w:lastRenderedPageBreak/>
        <w:t>business models that require (</w:t>
      </w:r>
      <w:proofErr w:type="spellStart"/>
      <w:r w:rsidRPr="00223E3E">
        <w:t>i</w:t>
      </w:r>
      <w:proofErr w:type="spellEnd"/>
      <w:r w:rsidRPr="00223E3E">
        <w:t xml:space="preserve">) private communication and transactions between different entities, (ii) tamperproof data exchange and microtransactions, (iii) the ability for asynchronous validation in the case of temporary mesh networks, (iv) high amount of frequent transactions, and/or (v) innovations from various ecosystem participants. </w:t>
      </w:r>
    </w:p>
    <w:p w14:paraId="7B765FAE" w14:textId="41E7CF70" w:rsidR="00912E37" w:rsidRPr="00223E3E" w:rsidRDefault="00912E37" w:rsidP="00E4783A">
      <w:r w:rsidRPr="00223E3E">
        <w:t xml:space="preserve">This study </w:t>
      </w:r>
      <w:r w:rsidR="0078638C" w:rsidRPr="00223E3E">
        <w:t>offers</w:t>
      </w:r>
      <w:r w:rsidRPr="00223E3E">
        <w:t xml:space="preserve"> two main contributions that provide insights into how the IOTA Tangle (a) facilitates distinct potential innovation patterns and (b) fosters the emergence of platform business models. First, the Recombination School of Thought on business model innovation research </w:t>
      </w:r>
      <w:r w:rsidRPr="00223E3E">
        <w:fldChar w:fldCharType="begin" w:fldLock="1"/>
      </w:r>
      <w:r w:rsidR="008373DB">
        <w:instrText>ADDIN CSL_CITATION {"citationItems":[{"id":"ITEM-1","itemData":{"author":[{"dropping-particle":"","family":"Gassmann","given":"Oliver","non-dropping-particle":"","parse-names":false,"suffix":""},{"dropping-particle":"","family":"Frankenberger","given":"Karolin","non-dropping-particle":"","parse-names":false,"suffix":""},{"dropping-particle":"","family":"Sauer","given":"Roman","non-dropping-particle":"","parse-names":false,"suffix":""}],"id":"ITEM-1","issued":{"date-parts":[["2016"]]},"publisher":"Palgrave Macmillan","title":"Exploring the field of Business Model Innovation: New Theoretical Perspectives","type":"book"},"uris":["http://www.mendeley.com/documents/?uuid=541f9f4e-872b-49e0-90de-a0142c143fa2"]},{"id":"ITEM-2","itemData":{"author":[{"dropping-particle":"","family":"Gassmann","given":"Oliver","non-dropping-particle":"","parse-names":false,"suffix":""},{"dropping-particle":"","family":"Frankenberger","given":"Karolin","non-dropping-particle":"","parse-names":false,"suffix":""},{"dropping-particle":"","family":"Csik","given":"Michaela","non-dropping-particle":"","parse-names":false,"suffix":""}],"id":"ITEM-2","issued":{"date-parts":[["2014"]]},"number-of-pages":"400","publisher":"FT Press","publisher-place":"Harlow Pearson, UK","title":"The Business Model Navigator: 55 Models that will revolutionize your Business","type":"book"},"uris":["http://www.mendeley.com/documents/?uuid=c2796f84-9ecd-45e1-9f23-0de694abceee"]}],"mendeley":{"formattedCitation":"(Gassmann, Frankenberger, &amp; Csik, 2014; Gassmann et al., 2016)","plainTextFormattedCitation":"(Gassmann, Frankenberger, &amp; Csik, 2014; Gassmann et al., 2016)","previouslyFormattedCitation":"(Gassmann et al., 2014; Gassmann, Frankenberger, &amp; Sauer, 2016)"},"properties":{"noteIndex":0},"schema":"https://github.com/citation-style-language/schema/raw/master/csl-citation.json"}</w:instrText>
      </w:r>
      <w:r w:rsidRPr="00223E3E">
        <w:fldChar w:fldCharType="separate"/>
      </w:r>
      <w:r w:rsidR="008373DB" w:rsidRPr="008373DB">
        <w:rPr>
          <w:noProof/>
        </w:rPr>
        <w:t>(Gassmann, Frankenberger, &amp; Csik, 2014; Gassmann et al., 2016)</w:t>
      </w:r>
      <w:r w:rsidRPr="00223E3E">
        <w:fldChar w:fldCharType="end"/>
      </w:r>
      <w:r w:rsidRPr="00223E3E">
        <w:t xml:space="preserve"> highlights the role of reoccurring patterns across the business model dimensions to </w:t>
      </w:r>
      <w:r w:rsidR="000B6A0C" w:rsidRPr="00223E3E">
        <w:t>offer</w:t>
      </w:r>
      <w:r w:rsidRPr="00223E3E">
        <w:t xml:space="preserve"> enormous potential in driving new business models. Within my case sample I identify </w:t>
      </w:r>
      <w:r w:rsidRPr="00223E3E">
        <w:rPr>
          <w:i/>
        </w:rPr>
        <w:t>by-demand value capture and creation</w:t>
      </w:r>
      <w:r w:rsidRPr="00223E3E">
        <w:t xml:space="preserve"> and the </w:t>
      </w:r>
      <w:r w:rsidRPr="00223E3E">
        <w:rPr>
          <w:i/>
        </w:rPr>
        <w:t>moneti</w:t>
      </w:r>
      <w:r w:rsidR="009453B0">
        <w:rPr>
          <w:i/>
        </w:rPr>
        <w:t>sati</w:t>
      </w:r>
      <w:r w:rsidRPr="00223E3E">
        <w:rPr>
          <w:i/>
        </w:rPr>
        <w:t>on of data streams</w:t>
      </w:r>
      <w:r w:rsidRPr="00223E3E">
        <w:t xml:space="preserve"> as two dominant themes by which the IOTA Tangle integration influences firms’ business model </w:t>
      </w:r>
      <w:r w:rsidR="00401E4B" w:rsidRPr="00223E3E">
        <w:t>innovation</w:t>
      </w:r>
      <w:r w:rsidRPr="00223E3E">
        <w:t>. Each ‘</w:t>
      </w:r>
      <w:r w:rsidRPr="00223E3E">
        <w:rPr>
          <w:i/>
        </w:rPr>
        <w:t>pattern’</w:t>
      </w:r>
      <w:r w:rsidRPr="00223E3E">
        <w:t xml:space="preserve"> represents a consistent business model logic </w:t>
      </w:r>
      <w:r w:rsidRPr="00223E3E">
        <w:fldChar w:fldCharType="begin" w:fldLock="1"/>
      </w:r>
      <w:r w:rsidR="00470E71">
        <w:instrText>ADDIN CSL_CITATION {"citationItems":[{"id":"ITEM-1","itemData":{"abstract":"Most executives believe that competing through business models is critical for success, but few have come to grips with how best to do so. One common mistake, the authors' studies show, is enterprises' unwavering focus on creating innovative models and evaluating their efficacy in standalone fashion--just as engineers test new technologies or products. However, the success or failure of a company's business model depends largely on how it interacts with those of the other players in the industry. (Almost any business model will perform brilliantly if a company is lucky enough to be the only one in a market.) Because companies build them without thinking about the competition, companies routinely deploy doomed business models. Moreover, many companies ignore the dynamic elements of business models and fail to realize that they can design business models to generate winner-take-all effects similar to the network externalities that high-tech companies such as Microsoft, eBay, and Facebook often create. A good business model creates virtuous cycles that, over time, result in competitive advantage. Smart companies know how to strengthen their virtuous cycles, undermine those of rivals, and even use them to turn competitors' strengths into weaknesses. INSETS: Three Characteristics of a Good Business Model;Idea In Brief.","author":[{"dropping-particle":"","family":"Casadesus-Masanell","given":"Ramon","non-dropping-particle":"","parse-names":false,"suffix":""},{"dropping-particle":"","family":"Ricart","given":"Joan E.","non-dropping-particle":"","parse-names":false,"suffix":""}],"container-title":"Harvard Business Review","id":"ITEM-1","issue":"1-2","issued":{"date-parts":[["2011"]]},"title":"How to design a winning business model","type":"article-journal","volume":"89"},"uris":["http://www.mendeley.com/documents/?uuid=d214ccd4-329e-4e21-9665-e4d857f0d75f"]}],"mendeley":{"formattedCitation":"(Casadesus-Masanell &amp; Ricart, 2011)","manualFormatting":"(cfr. also Casadesus-Masanell &amp; Ricart, 2011)","plainTextFormattedCitation":"(Casadesus-Masanell &amp; Ricart, 2011)","previouslyFormattedCitation":"(Casadesus-Masanell &amp; Ricart, 2011)"},"properties":{"noteIndex":0},"schema":"https://github.com/citation-style-language/schema/raw/master/csl-citation.json"}</w:instrText>
      </w:r>
      <w:r w:rsidRPr="00223E3E">
        <w:fldChar w:fldCharType="separate"/>
      </w:r>
      <w:r w:rsidRPr="00223E3E">
        <w:rPr>
          <w:noProof/>
        </w:rPr>
        <w:t>(</w:t>
      </w:r>
      <w:r w:rsidR="00470E71">
        <w:rPr>
          <w:noProof/>
        </w:rPr>
        <w:t>cfr.</w:t>
      </w:r>
      <w:r w:rsidRPr="00223E3E">
        <w:rPr>
          <w:noProof/>
        </w:rPr>
        <w:t xml:space="preserve"> also Casadesus-Masanell &amp; Ricart, 2011)</w:t>
      </w:r>
      <w:r w:rsidRPr="00223E3E">
        <w:fldChar w:fldCharType="end"/>
      </w:r>
      <w:r w:rsidRPr="00223E3E">
        <w:t>, enabled through the unique properties of the IOTA Tangle. Essentially, they point towards a miniaturi</w:t>
      </w:r>
      <w:r w:rsidR="009453B0">
        <w:t>sati</w:t>
      </w:r>
      <w:r w:rsidRPr="00223E3E">
        <w:t>on of business, in terms of dimensions such as timing, duration, specificity of needs, etc. for which value is proposed, created, and captured. This constitutes a major implication for managerial practice as more firms creating or joining an IOTA-based platforms may be able to share and moneti</w:t>
      </w:r>
      <w:r w:rsidR="00595818">
        <w:t>s</w:t>
      </w:r>
      <w:r w:rsidRPr="00223E3E">
        <w:t>e more and smaller data pieces. In turn, other participants can customi</w:t>
      </w:r>
      <w:r w:rsidR="00595818">
        <w:t>s</w:t>
      </w:r>
      <w:r w:rsidRPr="00223E3E">
        <w:t xml:space="preserve">e their solutions and target smaller niche markets on-demand. Here, the IOTA Tangle may become a fundamental building block in facilitating firms to imitate promising business model </w:t>
      </w:r>
      <w:r w:rsidR="00401E4B" w:rsidRPr="00223E3E">
        <w:t>innovations</w:t>
      </w:r>
      <w:r w:rsidRPr="00223E3E">
        <w:t xml:space="preserve"> such as pursued by Netflix </w:t>
      </w:r>
      <w:r w:rsidRPr="00223E3E">
        <w:fldChar w:fldCharType="begin" w:fldLock="1"/>
      </w:r>
      <w:r w:rsidRPr="00223E3E">
        <w:instrText>ADDIN CSL_CITATION {"citationItems":[{"id":"ITEM-1","itemData":{"abstract":"The theory of disruptive innovation has been a powerful tool for predicting which industry entrants would succeed. But the “disruptive” label has often been applied incorrectly, simply because a newcomer shakes up a market. In December, the theory’s architect, Clay Christensen, and his coauthors tried to correct the misunderstanding. Readers, however, kept arguing for a broader classification:","author":[{"dropping-particle":"","family":"Christensen","given":"Clayton M.","non-dropping-particle":"","parse-names":false,"suffix":""},{"dropping-particle":"","family":"Raynor","given":"Michael","non-dropping-particle":"","parse-names":false,"suffix":""},{"dropping-particle":"","family":"McDonald","given":"Rory","non-dropping-particle":"","parse-names":false,"suffix":""}],"container-title":"Harvard Business Review","id":"ITEM-1","issued":{"date-parts":[["2016"]]},"title":"The Disruption Debate","type":"article-journal"},"uris":["http://www.mendeley.com/documents/?uuid=4c8d79c8-48f7-4179-a6b7-0f2b6fd25c7f"]},{"id":"ITEM-2","itemData":{"container-title":"The Economist","id":"ITEM-2","issued":{"date-parts":[["2018"]]},"title":"Netflix is moving television beyond time-slots and national markets","type":"article-magazine"},"uris":["http://www.mendeley.com/documents/?uuid=b674513d-11c5-486b-be01-a30ef397ee62"]}],"mendeley":{"formattedCitation":"(Christensen, Raynor, &amp; McDonald, 2016; “Netflix is moving television beyond time-slots and national markets,” 2018)","plainTextFormattedCitation":"(Christensen, Raynor, &amp; McDonald, 2016; “Netflix is moving television beyond time-slots and national markets,” 2018)","previouslyFormattedCitation":"(Christensen, Raynor, &amp; McDonald, 2016; “Netflix is moving television beyond time-slots and national markets,” 2018)"},"properties":{"noteIndex":0},"schema":"https://github.com/citation-style-language/schema/raw/master/csl-citation.json"}</w:instrText>
      </w:r>
      <w:r w:rsidRPr="00223E3E">
        <w:fldChar w:fldCharType="separate"/>
      </w:r>
      <w:r w:rsidRPr="00223E3E">
        <w:rPr>
          <w:noProof/>
        </w:rPr>
        <w:t>(Christensen, Raynor, &amp; McDonald, 2016; “Netflix is moving television beyond time-slots and national markets,” 2018)</w:t>
      </w:r>
      <w:r w:rsidRPr="00223E3E">
        <w:fldChar w:fldCharType="end"/>
      </w:r>
      <w:r w:rsidRPr="00223E3E">
        <w:t xml:space="preserve">. Second, when designing their business models firms leverage the IOTA Tangle either to create, extend, or join a closed or open platform. Although it is too early to analyse competitive implications of one or another design choice in detail, it appears that open platforms limit the appropriability of its creators as it can be seen in other contexts </w:t>
      </w:r>
      <w:r w:rsidRPr="00223E3E">
        <w:fldChar w:fldCharType="begin" w:fldLock="1"/>
      </w:r>
      <w:r w:rsidRPr="00223E3E">
        <w:instrText>ADDIN CSL_CITATION {"citationItems":[{"id":"ITEM-1","itemData":{"abstract":"Computer platforms provide an integrated architecture of hardware and software standards as a basis for developing complementary assets. The most successful platforms were owned by proprietary sponsors that controlled platform evolution and appropriated associated rewards. Responding to the Internet and open source systems, three traditional vendors of proprietary platforms experimented with hybrid strategies which attempted to combine the advantages of open source software while retaining control and differentiation. Such hybrid standards strategies reflect the competing imperatives for adoption and appropriability, and suggest the conditions under which such strategies may be preferable to either the purely open or purely proprietary alternatives. © 2003 Elsevier Science B.V. All rights reserved.","author":[{"dropping-particle":"","family":"West","given":"Joel","non-dropping-particle":"","parse-names":false,"suffix":""}],"container-title":"Research Policy","id":"ITEM-1","issue":"7","issued":{"date-parts":[["2003"]]},"page":"1259-1285","title":"How open is open enough? Melding proprietary and open source platform strategies","type":"article-journal","volume":"32"},"uris":["http://www.mendeley.com/documents/?uuid=cde8e5ec-dfb7-4b67-9c17-c01b2d1312fb"]}],"mendeley":{"formattedCitation":"(West, 2003)","manualFormatting":"(cfr. West, 2003)","plainTextFormattedCitation":"(West, 2003)","previouslyFormattedCitation":"(West, 2003)"},"properties":{"noteIndex":0},"schema":"https://github.com/citation-style-language/schema/raw/master/csl-citation.json"}</w:instrText>
      </w:r>
      <w:r w:rsidRPr="00223E3E">
        <w:fldChar w:fldCharType="separate"/>
      </w:r>
      <w:r w:rsidRPr="00223E3E">
        <w:rPr>
          <w:noProof/>
        </w:rPr>
        <w:t>(cfr. West, 2003)</w:t>
      </w:r>
      <w:r w:rsidRPr="00223E3E">
        <w:fldChar w:fldCharType="end"/>
      </w:r>
      <w:r w:rsidRPr="00223E3E">
        <w:t xml:space="preserve">. However, they may find value capture opportunities through device sales that provide access to the infrastructure </w:t>
      </w:r>
      <w:r w:rsidRPr="00223E3E">
        <w:fldChar w:fldCharType="begin" w:fldLock="1"/>
      </w:r>
      <w:r w:rsidR="00506D82" w:rsidRPr="00223E3E">
        <w:instrText>ADDIN CSL_CITATION {"citationItems":[{"id":"ITEM-1","itemData":{"author":[{"dropping-particle":"","family":"Teece","given":"David J","non-dropping-particle":"","parse-names":false,"suffix":""}],"container-title":"Working paper Series No. 16","id":"ITEM-1","issue":"16","issued":{"date-parts":[["2016"]]},"number-of-pages":"1-40","title":"Profiting from Innovation in the Digital Economy : Standards , Complementary Assets , and Business Models In the Wireless World","type":"report"},"uris":["http://www.mendeley.com/documents/?uuid=3aa1a7ca-af38-496d-8c7e-1fc19935e8ec"]}],"mendeley":{"formattedCitation":"(Teece, 2016)","manualFormatting":"(cfr. Teece, 2016)","plainTextFormattedCitation":"(Teece, 2016)","previouslyFormattedCitation":"(Teece, 2016)"},"properties":{"noteIndex":0},"schema":"https://github.com/citation-style-language/schema/raw/master/csl-citation.json"}</w:instrText>
      </w:r>
      <w:r w:rsidRPr="00223E3E">
        <w:fldChar w:fldCharType="separate"/>
      </w:r>
      <w:r w:rsidRPr="00223E3E">
        <w:rPr>
          <w:noProof/>
        </w:rPr>
        <w:t>(cfr. Teece, 2016)</w:t>
      </w:r>
      <w:r w:rsidRPr="00223E3E">
        <w:fldChar w:fldCharType="end"/>
      </w:r>
      <w:r w:rsidRPr="00223E3E">
        <w:t xml:space="preserve">. Thereby this study sheds light into connections of value creation and capture mechanisms in business model innovation </w:t>
      </w:r>
      <w:r w:rsidRPr="00223E3E">
        <w:fldChar w:fldCharType="begin" w:fldLock="1"/>
      </w:r>
      <w:r w:rsidR="008373DB">
        <w:instrText>ADDIN CSL_CITATION {"citationItems":[{"id":"ITEM-1","itemData":{"abstract":"Business model innovation is receiving increased attention in corporate practice and research alike.We propose in this article a role-based approach to categorize the literature and argue that the respective roles of explaining the business, running the business, and developing the business can serve as three interrelated perspectives to present an overview of the current business model innovation field and to accommodate the selected contributions of this special issue.We refer to contributions from entrepreneurship, innovation and technology management, and corporate strategy to explicate the three elaborated perspectives and to summarize the main contents of the special issue articles. We conclude by reflecting on main theoretical challenges for studies on business model innovation which stem from the uncertain boundaries of the phenomenon, and we propose some theoretical stances and analytic levels to develop future avenues for research.","author":[{"dropping-particle":"","family":"Spieth","given":"Patrick","non-dropping-particle":"","parse-names":false,"suffix":""},{"dropping-particle":"","family":"Schneckenberg","given":"Dirk","non-dropping-particle":"","parse-names":false,"suffix":""},{"dropping-particle":"","family":"Ricart","given":"Joan E","non-dropping-particle":"","parse-names":false,"suffix":""}],"container-title":"R&amp;D Management","id":"ITEM-1","issue":"3","issued":{"date-parts":[["2014"]]},"page":"237-247","title":"Business model innovation – state of the art and future challenges for the field","type":"article-journal","volume":"44"},"uris":["http://www.mendeley.com/documents/?uuid=e5c5d3d6-0f9b-4dad-bb1f-00cc2acec80f"]}],"mendeley":{"formattedCitation":"(Spieth, Schneckenberg, &amp; Ricart, 2014)","plainTextFormattedCitation":"(Spieth, Schneckenberg, &amp; Ricart, 2014)","previouslyFormattedCitation":"(Spieth et al., 2014)"},"properties":{"noteIndex":0},"schema":"https://github.com/citation-style-language/schema/raw/master/csl-citation.json"}</w:instrText>
      </w:r>
      <w:r w:rsidRPr="00223E3E">
        <w:fldChar w:fldCharType="separate"/>
      </w:r>
      <w:r w:rsidR="008373DB" w:rsidRPr="008373DB">
        <w:rPr>
          <w:noProof/>
        </w:rPr>
        <w:t>(Spieth, Schneckenberg, &amp; Ricart, 2014)</w:t>
      </w:r>
      <w:r w:rsidRPr="00223E3E">
        <w:fldChar w:fldCharType="end"/>
      </w:r>
      <w:r w:rsidRPr="00223E3E">
        <w:t>.</w:t>
      </w:r>
    </w:p>
    <w:p w14:paraId="07418170" w14:textId="0291D674" w:rsidR="00912E37" w:rsidRPr="00223E3E" w:rsidRDefault="00912E37" w:rsidP="00E4783A">
      <w:r w:rsidRPr="00223E3E">
        <w:t xml:space="preserve">The insights gained through this study underlie a number of limitations that relate to the maturity of both the IOTA protocol implementation and the analysed business models. The IOTA protocol is currently still in a premature stage that differs from the intended </w:t>
      </w:r>
      <w:r w:rsidRPr="00223E3E">
        <w:lastRenderedPageBreak/>
        <w:t xml:space="preserve">implementation </w:t>
      </w:r>
      <w:r w:rsidRPr="00223E3E">
        <w:fldChar w:fldCharType="begin" w:fldLock="1"/>
      </w:r>
      <w:r w:rsidRPr="00223E3E">
        <w:instrText>ADDIN CSL_CITATION {"citationItems":[{"id":"ITEM-1","itemData":{"ISSN":"0028-792X","author":[{"dropping-particle":"","family":"Popov","given":"Serguei","non-dropping-particle":"","parse-names":false,"suffix":""}],"container-title":"White Paper","id":"ITEM-1","issued":{"date-parts":[["2018"]]},"title":"The Tangle","type":"report"},"uris":["http://www.mendeley.com/documents/?uuid=e1dfac78-8539-4320-852f-2709d30875b6"]}],"mendeley":{"formattedCitation":"(Popov, 2018b)","manualFormatting":"(cfr. Popov, 2018b)","plainTextFormattedCitation":"(Popov, 2018b)","previouslyFormattedCitation":"(Popov, 2018b)"},"properties":{"noteIndex":0},"schema":"https://github.com/citation-style-language/schema/raw/master/csl-citation.json"}</w:instrText>
      </w:r>
      <w:r w:rsidRPr="00223E3E">
        <w:fldChar w:fldCharType="separate"/>
      </w:r>
      <w:r w:rsidRPr="00223E3E">
        <w:rPr>
          <w:noProof/>
        </w:rPr>
        <w:t>(cfr. Popov, 2018b)</w:t>
      </w:r>
      <w:r w:rsidRPr="00223E3E">
        <w:fldChar w:fldCharType="end"/>
      </w:r>
      <w:r w:rsidRPr="00223E3E">
        <w:t xml:space="preserve">. </w:t>
      </w:r>
      <w:r w:rsidR="0078638C" w:rsidRPr="00223E3E">
        <w:t xml:space="preserve">This concerns most notably </w:t>
      </w:r>
      <w:r w:rsidRPr="00223E3E">
        <w:t xml:space="preserve">the usage of the </w:t>
      </w:r>
      <w:r w:rsidRPr="00223E3E">
        <w:rPr>
          <w:i/>
        </w:rPr>
        <w:t>coordinator</w:t>
      </w:r>
      <w:r w:rsidRPr="00223E3E">
        <w:t xml:space="preserve"> to protect the network from manipulation while critical implementation issues remain outstanding and the transaction and validation rate is still low. Furthermore, the protocol is under intense development, which entails modules that will facilitate extended protocol functionalities. Here, one module, named </w:t>
      </w:r>
      <w:r w:rsidRPr="00223E3E">
        <w:rPr>
          <w:i/>
        </w:rPr>
        <w:t>Qubic,</w:t>
      </w:r>
      <w:r w:rsidRPr="00223E3E">
        <w:t xml:space="preserve"> is particularly prominent, as it is claimed to allow – among other functionalities – for the introduction of </w:t>
      </w:r>
      <w:r w:rsidRPr="00223E3E">
        <w:rPr>
          <w:i/>
        </w:rPr>
        <w:t>smart contracts</w:t>
      </w:r>
      <w:r w:rsidRPr="00223E3E">
        <w:t xml:space="preserve"> </w:t>
      </w:r>
      <w:r w:rsidRPr="00223E3E">
        <w:fldChar w:fldCharType="begin" w:fldLock="1"/>
      </w:r>
      <w:r w:rsidRPr="00223E3E">
        <w:instrText>ADDIN CSL_CITATION {"citationItems":[{"id":"ITEM-1","itemData":{"URL":"https://qubic.iota.org/","accessed":{"date-parts":[["2018","7","17"]]},"author":[{"dropping-particle":"","family":"IOTA Foundation","given":"","non-dropping-particle":"","parse-names":false,"suffix":""}],"id":"ITEM-1","issued":{"date-parts":[["2018"]]},"title":"Qubic","type":"webpage"},"uris":["http://www.mendeley.com/documents/?uuid=3fe3ffc5-46bd-4d5a-89fb-d4a4946414ad"]}],"mendeley":{"formattedCitation":"(IOTA Foundation, 2018)","plainTextFormattedCitation":"(IOTA Foundation, 2018)","previouslyFormattedCitation":"(IOTA Foundation, 2018)"},"properties":{"noteIndex":0},"schema":"https://github.com/citation-style-language/schema/raw/master/csl-citation.json"}</w:instrText>
      </w:r>
      <w:r w:rsidRPr="00223E3E">
        <w:fldChar w:fldCharType="separate"/>
      </w:r>
      <w:r w:rsidRPr="00223E3E">
        <w:rPr>
          <w:noProof/>
        </w:rPr>
        <w:t>(IOTA Foundation, 2018)</w:t>
      </w:r>
      <w:r w:rsidRPr="00223E3E">
        <w:fldChar w:fldCharType="end"/>
      </w:r>
      <w:r w:rsidRPr="00223E3E">
        <w:t xml:space="preserve">. Many of the analysed business model </w:t>
      </w:r>
      <w:r w:rsidR="00401E4B" w:rsidRPr="00223E3E">
        <w:t>innovations</w:t>
      </w:r>
      <w:r w:rsidRPr="00223E3E">
        <w:t xml:space="preserve"> rely on advances of the protocol reference implementation. Any technical problems in the latter will influence the final business model design especially for the models that feature deeper protocol integration levels. Therefore, the final business model </w:t>
      </w:r>
      <w:r w:rsidR="00401E4B" w:rsidRPr="00223E3E">
        <w:t>innovation</w:t>
      </w:r>
      <w:r w:rsidRPr="00223E3E">
        <w:t xml:space="preserve"> may change in subsequent iteration cycles. Despite these potential adjustments, however, the provided insights may still help practitioners and management scholars in indicating the relevant constructs of IOTA-based business model </w:t>
      </w:r>
      <w:r w:rsidR="00401E4B" w:rsidRPr="00223E3E">
        <w:t>innovation.</w:t>
      </w:r>
      <w:r w:rsidRPr="00223E3E">
        <w:t xml:space="preserve"> </w:t>
      </w:r>
    </w:p>
    <w:p w14:paraId="33AE941C" w14:textId="2B9A4657" w:rsidR="008373DB" w:rsidRDefault="00912E37" w:rsidP="002D53DD">
      <w:r w:rsidRPr="00223E3E">
        <w:t xml:space="preserve">Management research on distributed ledger technology is still in its infancies. This study has begun to inquire into this field from a business model perspective, which allows managers and scholars to better understand how the IOTA protocol facilitates innovative ways to create and capture value. There is </w:t>
      </w:r>
      <w:r w:rsidR="0078638C" w:rsidRPr="00223E3E">
        <w:t xml:space="preserve">a </w:t>
      </w:r>
      <w:r w:rsidRPr="00223E3E">
        <w:t xml:space="preserve">lot of potential for comparative studies on alternative protocols or longitudinal studies to advance theory on business model </w:t>
      </w:r>
      <w:r w:rsidR="00401E4B" w:rsidRPr="00223E3E">
        <w:t>innovation</w:t>
      </w:r>
      <w:r w:rsidRPr="00223E3E">
        <w:t xml:space="preserve"> of different DLT architectures</w:t>
      </w:r>
      <w:r w:rsidR="003F0959">
        <w:t>.</w:t>
      </w:r>
      <w:r w:rsidRPr="00223E3E">
        <w:t xml:space="preserve"> </w:t>
      </w:r>
    </w:p>
    <w:p w14:paraId="5832503C" w14:textId="34DC2875" w:rsidR="008373DB" w:rsidRDefault="008373DB" w:rsidP="008373DB">
      <w:pPr>
        <w:pStyle w:val="Heading1"/>
        <w:numPr>
          <w:ilvl w:val="0"/>
          <w:numId w:val="0"/>
        </w:numPr>
        <w:ind w:left="432" w:hanging="432"/>
      </w:pPr>
      <w:r>
        <w:t>References</w:t>
      </w:r>
    </w:p>
    <w:p w14:paraId="6CAEDBDF" w14:textId="4E3B320C" w:rsidR="008373DB" w:rsidRPr="008373DB" w:rsidRDefault="008373DB" w:rsidP="008373DB">
      <w:pPr>
        <w:widowControl w:val="0"/>
        <w:autoSpaceDE w:val="0"/>
        <w:autoSpaceDN w:val="0"/>
        <w:adjustRightInd w:val="0"/>
        <w:spacing w:line="240" w:lineRule="auto"/>
        <w:ind w:left="480" w:hanging="480"/>
        <w:rPr>
          <w:noProof/>
        </w:rPr>
      </w:pPr>
      <w:r>
        <w:rPr>
          <w:lang w:eastAsia="de-AT"/>
        </w:rPr>
        <w:fldChar w:fldCharType="begin" w:fldLock="1"/>
      </w:r>
      <w:r>
        <w:rPr>
          <w:lang w:eastAsia="de-AT"/>
        </w:rPr>
        <w:instrText xml:space="preserve">ADDIN Mendeley Bibliography CSL_BIBLIOGRAPHY </w:instrText>
      </w:r>
      <w:r>
        <w:rPr>
          <w:lang w:eastAsia="de-AT"/>
        </w:rPr>
        <w:fldChar w:fldCharType="separate"/>
      </w:r>
      <w:r w:rsidRPr="008373DB">
        <w:rPr>
          <w:noProof/>
        </w:rPr>
        <w:t xml:space="preserve">Amit, R., &amp; Zott, C. (2001). Value creation in e-business. </w:t>
      </w:r>
      <w:r w:rsidRPr="008373DB">
        <w:rPr>
          <w:i/>
          <w:iCs/>
          <w:noProof/>
        </w:rPr>
        <w:t>Strategic Management Journal</w:t>
      </w:r>
      <w:r w:rsidRPr="008373DB">
        <w:rPr>
          <w:noProof/>
        </w:rPr>
        <w:t xml:space="preserve">, </w:t>
      </w:r>
      <w:r w:rsidRPr="008373DB">
        <w:rPr>
          <w:i/>
          <w:iCs/>
          <w:noProof/>
        </w:rPr>
        <w:t>22</w:t>
      </w:r>
      <w:r w:rsidRPr="008373DB">
        <w:rPr>
          <w:noProof/>
        </w:rPr>
        <w:t>(6–7), 493–520.</w:t>
      </w:r>
    </w:p>
    <w:p w14:paraId="0B35E6D0"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Aspara, J., Hietanen, J., &amp; Tikkanen, H. (2010). Business model innovation vs replication: financial performance implications of strategic emphases. </w:t>
      </w:r>
      <w:r w:rsidRPr="008373DB">
        <w:rPr>
          <w:i/>
          <w:iCs/>
          <w:noProof/>
        </w:rPr>
        <w:t>Journal of Strategic Marketing</w:t>
      </w:r>
      <w:r w:rsidRPr="008373DB">
        <w:rPr>
          <w:noProof/>
        </w:rPr>
        <w:t xml:space="preserve">, </w:t>
      </w:r>
      <w:r w:rsidRPr="008373DB">
        <w:rPr>
          <w:i/>
          <w:iCs/>
          <w:noProof/>
        </w:rPr>
        <w:t>18</w:t>
      </w:r>
      <w:r w:rsidRPr="008373DB">
        <w:rPr>
          <w:noProof/>
        </w:rPr>
        <w:t>(1), 39–56.</w:t>
      </w:r>
    </w:p>
    <w:p w14:paraId="2DE46326"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Baldwin, C. Y., &amp; Woodard, C. J. (2009). The architecture of platforms: a unified view. In A. Gawer (Ed.), </w:t>
      </w:r>
      <w:r w:rsidRPr="008373DB">
        <w:rPr>
          <w:i/>
          <w:iCs/>
          <w:noProof/>
        </w:rPr>
        <w:t>Platforms, Markets and Innovation</w:t>
      </w:r>
      <w:r w:rsidRPr="008373DB">
        <w:rPr>
          <w:noProof/>
        </w:rPr>
        <w:t xml:space="preserve"> (pp. 19–44). Edward Elgar Publishing.</w:t>
      </w:r>
    </w:p>
    <w:p w14:paraId="2DBC7B61"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Birkinshaw, J., Visnjic, I., &amp; Best, S. (2018). Responding to a Potentially Disruptive Technology: How Big Pharma Embraced Biotechnology. </w:t>
      </w:r>
      <w:r w:rsidRPr="008373DB">
        <w:rPr>
          <w:i/>
          <w:iCs/>
          <w:noProof/>
        </w:rPr>
        <w:t>California Management Review</w:t>
      </w:r>
      <w:r w:rsidRPr="008373DB">
        <w:rPr>
          <w:noProof/>
        </w:rPr>
        <w:t xml:space="preserve">, </w:t>
      </w:r>
      <w:r w:rsidRPr="008373DB">
        <w:rPr>
          <w:i/>
          <w:iCs/>
          <w:noProof/>
        </w:rPr>
        <w:t>60</w:t>
      </w:r>
      <w:r w:rsidRPr="008373DB">
        <w:rPr>
          <w:noProof/>
        </w:rPr>
        <w:t>(4), 1–27.</w:t>
      </w:r>
    </w:p>
    <w:p w14:paraId="32D5F22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Björkdahl, J. (2009). Technology cross-fertilization and the business model: The case of integrating ICTs in mechanical engineering products. </w:t>
      </w:r>
      <w:r w:rsidRPr="008373DB">
        <w:rPr>
          <w:i/>
          <w:iCs/>
          <w:noProof/>
        </w:rPr>
        <w:t>Research Policy</w:t>
      </w:r>
      <w:r w:rsidRPr="008373DB">
        <w:rPr>
          <w:noProof/>
        </w:rPr>
        <w:t xml:space="preserve">, </w:t>
      </w:r>
      <w:r w:rsidRPr="008373DB">
        <w:rPr>
          <w:i/>
          <w:iCs/>
          <w:noProof/>
        </w:rPr>
        <w:t>38</w:t>
      </w:r>
      <w:r w:rsidRPr="008373DB">
        <w:rPr>
          <w:noProof/>
        </w:rPr>
        <w:t>(9), 1468–1477.</w:t>
      </w:r>
    </w:p>
    <w:p w14:paraId="54B7D208"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Bohnsack, R., &amp; Pinkse, J. (2017). Value Propositions for Disruptive Technologies: Reconfiguration Tactics in the Case of Electric Vehicles. </w:t>
      </w:r>
      <w:r w:rsidRPr="008373DB">
        <w:rPr>
          <w:i/>
          <w:iCs/>
          <w:noProof/>
        </w:rPr>
        <w:t xml:space="preserve">California Management </w:t>
      </w:r>
      <w:r w:rsidRPr="008373DB">
        <w:rPr>
          <w:i/>
          <w:iCs/>
          <w:noProof/>
        </w:rPr>
        <w:lastRenderedPageBreak/>
        <w:t>Review</w:t>
      </w:r>
      <w:r w:rsidRPr="008373DB">
        <w:rPr>
          <w:noProof/>
        </w:rPr>
        <w:t xml:space="preserve">, </w:t>
      </w:r>
      <w:r w:rsidRPr="008373DB">
        <w:rPr>
          <w:i/>
          <w:iCs/>
          <w:noProof/>
        </w:rPr>
        <w:t>59</w:t>
      </w:r>
      <w:r w:rsidRPr="008373DB">
        <w:rPr>
          <w:noProof/>
        </w:rPr>
        <w:t>(4), 79–96.</w:t>
      </w:r>
    </w:p>
    <w:p w14:paraId="2B014D28"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Boudreau, K. (2010). Open Platform Strategies and Innovation: Granting Access vs. Devolving Control. </w:t>
      </w:r>
      <w:r w:rsidRPr="008373DB">
        <w:rPr>
          <w:i/>
          <w:iCs/>
          <w:noProof/>
        </w:rPr>
        <w:t>Management Science</w:t>
      </w:r>
      <w:r w:rsidRPr="008373DB">
        <w:rPr>
          <w:noProof/>
        </w:rPr>
        <w:t xml:space="preserve">, </w:t>
      </w:r>
      <w:r w:rsidRPr="008373DB">
        <w:rPr>
          <w:i/>
          <w:iCs/>
          <w:noProof/>
        </w:rPr>
        <w:t>56</w:t>
      </w:r>
      <w:r w:rsidRPr="008373DB">
        <w:rPr>
          <w:noProof/>
        </w:rPr>
        <w:t>(10), 1849–1872.</w:t>
      </w:r>
    </w:p>
    <w:p w14:paraId="6BF9BF9C"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Bramas, Q. (2018). The Stability and the Security of the Tangle To cite this version : HAL Id : hal-01716111.</w:t>
      </w:r>
    </w:p>
    <w:p w14:paraId="6738B9D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Bresnahan, T. F., &amp; Greenstein, S. (1999). Technological Competition and the Structure of the Computer Industry. </w:t>
      </w:r>
      <w:r w:rsidRPr="008373DB">
        <w:rPr>
          <w:i/>
          <w:iCs/>
          <w:noProof/>
        </w:rPr>
        <w:t>The Journal of Industrial Economics</w:t>
      </w:r>
      <w:r w:rsidRPr="008373DB">
        <w:rPr>
          <w:noProof/>
        </w:rPr>
        <w:t xml:space="preserve">, </w:t>
      </w:r>
      <w:r w:rsidRPr="008373DB">
        <w:rPr>
          <w:i/>
          <w:iCs/>
          <w:noProof/>
        </w:rPr>
        <w:t>47</w:t>
      </w:r>
      <w:r w:rsidRPr="008373DB">
        <w:rPr>
          <w:noProof/>
        </w:rPr>
        <w:t>(1), 1–40.</w:t>
      </w:r>
    </w:p>
    <w:p w14:paraId="063E0B7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Buterin, V. (2014). A next-generation smart contract and decentralized application platform. </w:t>
      </w:r>
      <w:r w:rsidRPr="008373DB">
        <w:rPr>
          <w:i/>
          <w:iCs/>
          <w:noProof/>
        </w:rPr>
        <w:t>Etherum</w:t>
      </w:r>
      <w:r w:rsidRPr="008373DB">
        <w:rPr>
          <w:noProof/>
        </w:rPr>
        <w:t>, (January), 1–36.</w:t>
      </w:r>
    </w:p>
    <w:p w14:paraId="154A2A46"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Casadesus-Masanell, R., &amp; Ricart, J. E. (2011). How to design a winning business model. </w:t>
      </w:r>
      <w:r w:rsidRPr="008373DB">
        <w:rPr>
          <w:i/>
          <w:iCs/>
          <w:noProof/>
        </w:rPr>
        <w:t>Harvard Business Review</w:t>
      </w:r>
      <w:r w:rsidRPr="008373DB">
        <w:rPr>
          <w:noProof/>
        </w:rPr>
        <w:t xml:space="preserve">, </w:t>
      </w:r>
      <w:r w:rsidRPr="008373DB">
        <w:rPr>
          <w:i/>
          <w:iCs/>
          <w:noProof/>
        </w:rPr>
        <w:t>89</w:t>
      </w:r>
      <w:r w:rsidRPr="008373DB">
        <w:rPr>
          <w:noProof/>
        </w:rPr>
        <w:t>(1–2).</w:t>
      </w:r>
    </w:p>
    <w:p w14:paraId="59447DB2"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Chesbrough, H. (2007). Why companies should have open business models. </w:t>
      </w:r>
      <w:r w:rsidRPr="008373DB">
        <w:rPr>
          <w:i/>
          <w:iCs/>
          <w:noProof/>
        </w:rPr>
        <w:t>MIT Sloan Management Review</w:t>
      </w:r>
      <w:r w:rsidRPr="008373DB">
        <w:rPr>
          <w:noProof/>
        </w:rPr>
        <w:t xml:space="preserve">, </w:t>
      </w:r>
      <w:r w:rsidRPr="008373DB">
        <w:rPr>
          <w:i/>
          <w:iCs/>
          <w:noProof/>
        </w:rPr>
        <w:t>48</w:t>
      </w:r>
      <w:r w:rsidRPr="008373DB">
        <w:rPr>
          <w:noProof/>
        </w:rPr>
        <w:t>(Winter), 23.</w:t>
      </w:r>
    </w:p>
    <w:p w14:paraId="3396ED5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Chesbrough, H., &amp; Rosenbloom, R. S. (2002). The role of the business model in capturing value from innovation: evidence from Xerox Corporation’s technology spin-off companies. </w:t>
      </w:r>
      <w:r w:rsidRPr="008373DB">
        <w:rPr>
          <w:i/>
          <w:iCs/>
          <w:noProof/>
        </w:rPr>
        <w:t>Industrial and Corporate Change</w:t>
      </w:r>
      <w:r w:rsidRPr="008373DB">
        <w:rPr>
          <w:noProof/>
        </w:rPr>
        <w:t xml:space="preserve">, </w:t>
      </w:r>
      <w:r w:rsidRPr="008373DB">
        <w:rPr>
          <w:i/>
          <w:iCs/>
          <w:noProof/>
        </w:rPr>
        <w:t>11</w:t>
      </w:r>
      <w:r w:rsidRPr="008373DB">
        <w:rPr>
          <w:noProof/>
        </w:rPr>
        <w:t>(3), 529–555.</w:t>
      </w:r>
    </w:p>
    <w:p w14:paraId="401B9D4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Christensen, C. M., Raynor, M., &amp; McDonald, R. (2016). The Disruption Debate. </w:t>
      </w:r>
      <w:r w:rsidRPr="008373DB">
        <w:rPr>
          <w:i/>
          <w:iCs/>
          <w:noProof/>
        </w:rPr>
        <w:t>Harvard Business Review</w:t>
      </w:r>
      <w:r w:rsidRPr="008373DB">
        <w:rPr>
          <w:noProof/>
        </w:rPr>
        <w:t>.</w:t>
      </w:r>
    </w:p>
    <w:p w14:paraId="7E6DD75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Clauss, T. (2016). Measuring business model innovation: Conceptualization, scale development, and proof of performance. </w:t>
      </w:r>
      <w:r w:rsidRPr="008373DB">
        <w:rPr>
          <w:i/>
          <w:iCs/>
          <w:noProof/>
        </w:rPr>
        <w:t>R&amp;D Management</w:t>
      </w:r>
      <w:r w:rsidRPr="008373DB">
        <w:rPr>
          <w:noProof/>
        </w:rPr>
        <w:t>, (1), 1–19.</w:t>
      </w:r>
    </w:p>
    <w:p w14:paraId="56EA9B3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Croman, K., Decker, C., Eyal, I., Efe Gencer, A., Juels, A., Kosba, A., … Wattenhofer, R. (2016). On Scaling Decentralized Blockchains. </w:t>
      </w:r>
      <w:r w:rsidRPr="008373DB">
        <w:rPr>
          <w:i/>
          <w:iCs/>
          <w:noProof/>
        </w:rPr>
        <w:t>International Conference on Financial Cryptography and Data Security</w:t>
      </w:r>
      <w:r w:rsidRPr="008373DB">
        <w:rPr>
          <w:noProof/>
        </w:rPr>
        <w:t>, 106–125.</w:t>
      </w:r>
    </w:p>
    <w:p w14:paraId="0152586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Daly, R., Shen, Q., &amp; Aitken, S. (2011). Learning Bayesian networks: approaches and issues. </w:t>
      </w:r>
      <w:r w:rsidRPr="008373DB">
        <w:rPr>
          <w:i/>
          <w:iCs/>
          <w:noProof/>
        </w:rPr>
        <w:t>The Knowledge Engineering Review</w:t>
      </w:r>
      <w:r w:rsidRPr="008373DB">
        <w:rPr>
          <w:noProof/>
        </w:rPr>
        <w:t xml:space="preserve">, </w:t>
      </w:r>
      <w:r w:rsidRPr="008373DB">
        <w:rPr>
          <w:i/>
          <w:iCs/>
          <w:noProof/>
        </w:rPr>
        <w:t>26</w:t>
      </w:r>
      <w:r w:rsidRPr="008373DB">
        <w:rPr>
          <w:noProof/>
        </w:rPr>
        <w:t>(2), 99–157.</w:t>
      </w:r>
    </w:p>
    <w:p w14:paraId="4F15B70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Demil, B., Xavier, L., Joan Enric, R., &amp; Zott, C. (2015). Introduction to the SEJ Special Issue on Business Model: Business Models within the domain of strategig entrepreneurship. </w:t>
      </w:r>
      <w:r w:rsidRPr="008373DB">
        <w:rPr>
          <w:i/>
          <w:iCs/>
          <w:noProof/>
        </w:rPr>
        <w:t>Strategic Entrepreneurship Journal</w:t>
      </w:r>
      <w:r w:rsidRPr="008373DB">
        <w:rPr>
          <w:noProof/>
        </w:rPr>
        <w:t xml:space="preserve">, </w:t>
      </w:r>
      <w:r w:rsidRPr="008373DB">
        <w:rPr>
          <w:i/>
          <w:iCs/>
          <w:noProof/>
        </w:rPr>
        <w:t>1</w:t>
      </w:r>
      <w:r w:rsidRPr="008373DB">
        <w:rPr>
          <w:noProof/>
        </w:rPr>
        <w:t>(1), 27–47.</w:t>
      </w:r>
    </w:p>
    <w:p w14:paraId="0F1AE142"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Denzin, N. K., &amp; Lincoln, Y. S. (1994). </w:t>
      </w:r>
      <w:r w:rsidRPr="008373DB">
        <w:rPr>
          <w:i/>
          <w:iCs/>
          <w:noProof/>
        </w:rPr>
        <w:t>Handbook of Qualitative Research</w:t>
      </w:r>
      <w:r w:rsidRPr="008373DB">
        <w:rPr>
          <w:noProof/>
        </w:rPr>
        <w:t>. Thousand Oaks, CA, US: Sage Publications.</w:t>
      </w:r>
    </w:p>
    <w:p w14:paraId="154066E3"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Digiconomist. (2018). Bitcoin Energy Consumption Index - Digiconomist.</w:t>
      </w:r>
    </w:p>
    <w:p w14:paraId="62B7D7F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Doganova, L., &amp; Eyquem-Renault, M. (2009). What do business models do?. Innovation devices in technology entrepreneurship. </w:t>
      </w:r>
      <w:r w:rsidRPr="008373DB">
        <w:rPr>
          <w:i/>
          <w:iCs/>
          <w:noProof/>
        </w:rPr>
        <w:t>Research Policy</w:t>
      </w:r>
      <w:r w:rsidRPr="008373DB">
        <w:rPr>
          <w:noProof/>
        </w:rPr>
        <w:t xml:space="preserve">, </w:t>
      </w:r>
      <w:r w:rsidRPr="008373DB">
        <w:rPr>
          <w:i/>
          <w:iCs/>
          <w:noProof/>
        </w:rPr>
        <w:t>38</w:t>
      </w:r>
      <w:r w:rsidRPr="008373DB">
        <w:rPr>
          <w:noProof/>
        </w:rPr>
        <w:t>(10), 1559–1570.</w:t>
      </w:r>
    </w:p>
    <w:p w14:paraId="41E6410E"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Dorri, A., Steger, M., Kanhere, S., &amp; Jurdak, R. (2017). blockchain - a distributed solution to automotive security and privacy. </w:t>
      </w:r>
      <w:r w:rsidRPr="008373DB">
        <w:rPr>
          <w:i/>
          <w:iCs/>
          <w:noProof/>
        </w:rPr>
        <w:t>IEEE Communication Magazine</w:t>
      </w:r>
      <w:r w:rsidRPr="008373DB">
        <w:rPr>
          <w:noProof/>
        </w:rPr>
        <w:t>.</w:t>
      </w:r>
    </w:p>
    <w:p w14:paraId="395A93B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Eisenhardt, K. M. (1989). Building Theories from Case Study Research. </w:t>
      </w:r>
      <w:r w:rsidRPr="008373DB">
        <w:rPr>
          <w:i/>
          <w:iCs/>
          <w:noProof/>
        </w:rPr>
        <w:t>Academy of Management Review</w:t>
      </w:r>
      <w:r w:rsidRPr="008373DB">
        <w:rPr>
          <w:noProof/>
        </w:rPr>
        <w:t xml:space="preserve">, </w:t>
      </w:r>
      <w:r w:rsidRPr="008373DB">
        <w:rPr>
          <w:i/>
          <w:iCs/>
          <w:noProof/>
        </w:rPr>
        <w:t>14</w:t>
      </w:r>
      <w:r w:rsidRPr="008373DB">
        <w:rPr>
          <w:noProof/>
        </w:rPr>
        <w:t>(4), 532–550.</w:t>
      </w:r>
    </w:p>
    <w:p w14:paraId="62E2E22C"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Eisenhardt, K. M., &amp; Graebner, M. E. (2007). Theory building from cases: </w:t>
      </w:r>
      <w:r w:rsidRPr="008373DB">
        <w:rPr>
          <w:noProof/>
        </w:rPr>
        <w:lastRenderedPageBreak/>
        <w:t xml:space="preserve">Opportunities and challenges. </w:t>
      </w:r>
      <w:r w:rsidRPr="008373DB">
        <w:rPr>
          <w:i/>
          <w:iCs/>
          <w:noProof/>
        </w:rPr>
        <w:t>Academy of Management Journal</w:t>
      </w:r>
      <w:r w:rsidRPr="008373DB">
        <w:rPr>
          <w:noProof/>
        </w:rPr>
        <w:t>.</w:t>
      </w:r>
    </w:p>
    <w:p w14:paraId="350B9F61"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Eisenmann, T. R., Parker, G., &amp; Alstyn, M. Van. (2009). Opening platforms: how, when and why? In A. Gawer (Ed.), </w:t>
      </w:r>
      <w:r w:rsidRPr="008373DB">
        <w:rPr>
          <w:i/>
          <w:iCs/>
          <w:noProof/>
        </w:rPr>
        <w:t>Platforms, Markets and Innovation</w:t>
      </w:r>
      <w:r w:rsidRPr="008373DB">
        <w:rPr>
          <w:noProof/>
        </w:rPr>
        <w:t>. Edward Elgar Publishing.</w:t>
      </w:r>
    </w:p>
    <w:p w14:paraId="19EE2D93"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Evans, P. C., &amp; Gawer, A. (2016). </w:t>
      </w:r>
      <w:r w:rsidRPr="008373DB">
        <w:rPr>
          <w:i/>
          <w:iCs/>
          <w:noProof/>
        </w:rPr>
        <w:t>The Rise of the Platform Enterprise: A Global Survey</w:t>
      </w:r>
      <w:r w:rsidRPr="008373DB">
        <w:rPr>
          <w:noProof/>
        </w:rPr>
        <w:t>. Retrieved from http://epubs.surrey.ac.uk/id/eprint/811201 (retrieved July 17, 2018)</w:t>
      </w:r>
    </w:p>
    <w:p w14:paraId="61571201"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Evers, E. R. K., de Ven, N. van, &amp; Weeda, D. (2015). The Hidden Cost of Microtransactions: Buying In-Game Advantages in Online Games Decreases a Player’s Status. </w:t>
      </w:r>
      <w:r w:rsidRPr="008373DB">
        <w:rPr>
          <w:i/>
          <w:iCs/>
          <w:noProof/>
        </w:rPr>
        <w:t>International Journal of Internet Science</w:t>
      </w:r>
      <w:r w:rsidRPr="008373DB">
        <w:rPr>
          <w:noProof/>
        </w:rPr>
        <w:t xml:space="preserve">, </w:t>
      </w:r>
      <w:r w:rsidRPr="008373DB">
        <w:rPr>
          <w:i/>
          <w:iCs/>
          <w:noProof/>
        </w:rPr>
        <w:t>10</w:t>
      </w:r>
      <w:r w:rsidRPr="008373DB">
        <w:rPr>
          <w:noProof/>
        </w:rPr>
        <w:t>(1), 20–36.</w:t>
      </w:r>
    </w:p>
    <w:p w14:paraId="645A93A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Flick, U. (2009). </w:t>
      </w:r>
      <w:r w:rsidRPr="008373DB">
        <w:rPr>
          <w:i/>
          <w:iCs/>
          <w:noProof/>
        </w:rPr>
        <w:t>An introduction to qualitative research</w:t>
      </w:r>
      <w:r w:rsidRPr="008373DB">
        <w:rPr>
          <w:noProof/>
        </w:rPr>
        <w:t xml:space="preserve">. </w:t>
      </w:r>
      <w:r w:rsidRPr="008373DB">
        <w:rPr>
          <w:i/>
          <w:iCs/>
          <w:noProof/>
        </w:rPr>
        <w:t>Sage Publication</w:t>
      </w:r>
      <w:r w:rsidRPr="008373DB">
        <w:rPr>
          <w:noProof/>
        </w:rPr>
        <w:t xml:space="preserve"> (4th ed.). Thousand Oaks, CA.</w:t>
      </w:r>
    </w:p>
    <w:p w14:paraId="01DEEE46"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Foss, N. J., &amp; Saebi, T. (2017). Fifteen Years of Research on Business Model Innovation: How Far Have We Come, and Where Should We Go? </w:t>
      </w:r>
      <w:r w:rsidRPr="008373DB">
        <w:rPr>
          <w:i/>
          <w:iCs/>
          <w:noProof/>
        </w:rPr>
        <w:t>Journal of Management</w:t>
      </w:r>
      <w:r w:rsidRPr="008373DB">
        <w:rPr>
          <w:noProof/>
        </w:rPr>
        <w:t xml:space="preserve">, </w:t>
      </w:r>
      <w:r w:rsidRPr="008373DB">
        <w:rPr>
          <w:i/>
          <w:iCs/>
          <w:noProof/>
        </w:rPr>
        <w:t>43</w:t>
      </w:r>
      <w:r w:rsidRPr="008373DB">
        <w:rPr>
          <w:noProof/>
        </w:rPr>
        <w:t>(1), 200–227.</w:t>
      </w:r>
    </w:p>
    <w:p w14:paraId="606791E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Gambardella, A., &amp; McGahan, A. M. (2010). Business-model innovation: General purpose technologies and their implications for industry structure. </w:t>
      </w:r>
      <w:r w:rsidRPr="008373DB">
        <w:rPr>
          <w:i/>
          <w:iCs/>
          <w:noProof/>
        </w:rPr>
        <w:t>Long Range Planning</w:t>
      </w:r>
      <w:r w:rsidRPr="008373DB">
        <w:rPr>
          <w:noProof/>
        </w:rPr>
        <w:t xml:space="preserve">, </w:t>
      </w:r>
      <w:r w:rsidRPr="008373DB">
        <w:rPr>
          <w:i/>
          <w:iCs/>
          <w:noProof/>
        </w:rPr>
        <w:t>43</w:t>
      </w:r>
      <w:r w:rsidRPr="008373DB">
        <w:rPr>
          <w:noProof/>
        </w:rPr>
        <w:t>(2–3), 262–271.</w:t>
      </w:r>
    </w:p>
    <w:p w14:paraId="0056082C"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Gassmann, O., Frankenberger, K., &amp; Csik, M. (2014). </w:t>
      </w:r>
      <w:r w:rsidRPr="008373DB">
        <w:rPr>
          <w:i/>
          <w:iCs/>
          <w:noProof/>
        </w:rPr>
        <w:t>The Business Model Navigator: 55 Models that will revolutionize your Business</w:t>
      </w:r>
      <w:r w:rsidRPr="008373DB">
        <w:rPr>
          <w:noProof/>
        </w:rPr>
        <w:t>. Harlow Pearson, UK: FT Press.</w:t>
      </w:r>
    </w:p>
    <w:p w14:paraId="7F8426A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Gassmann, O., Frankenberger, K., &amp; Sauer, R. (2016). </w:t>
      </w:r>
      <w:r w:rsidRPr="008373DB">
        <w:rPr>
          <w:i/>
          <w:iCs/>
          <w:noProof/>
        </w:rPr>
        <w:t>Exploring the field of Business Model Innovation: New Theoretical Perspectives</w:t>
      </w:r>
      <w:r w:rsidRPr="008373DB">
        <w:rPr>
          <w:noProof/>
        </w:rPr>
        <w:t>. Palgrave Macmillan.</w:t>
      </w:r>
    </w:p>
    <w:p w14:paraId="0BCB7DA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Gibbert, M., &amp; Ruigrok, W. (2010). The “What” and “How” of Case Study Rigor: Three Strategies Based on Published Work. </w:t>
      </w:r>
      <w:r w:rsidRPr="008373DB">
        <w:rPr>
          <w:i/>
          <w:iCs/>
          <w:noProof/>
        </w:rPr>
        <w:t>Organizational Research Methods</w:t>
      </w:r>
      <w:r w:rsidRPr="008373DB">
        <w:rPr>
          <w:noProof/>
        </w:rPr>
        <w:t xml:space="preserve">, </w:t>
      </w:r>
      <w:r w:rsidRPr="008373DB">
        <w:rPr>
          <w:i/>
          <w:iCs/>
          <w:noProof/>
        </w:rPr>
        <w:t>13</w:t>
      </w:r>
      <w:r w:rsidRPr="008373DB">
        <w:rPr>
          <w:noProof/>
        </w:rPr>
        <w:t>(4), 710–737.</w:t>
      </w:r>
    </w:p>
    <w:p w14:paraId="18A065A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Glaser, B. G., &amp; Strauss, A. L. (1965). </w:t>
      </w:r>
      <w:r w:rsidRPr="008373DB">
        <w:rPr>
          <w:i/>
          <w:iCs/>
          <w:noProof/>
        </w:rPr>
        <w:t>Awareness of Dying.</w:t>
      </w:r>
      <w:r w:rsidRPr="008373DB">
        <w:rPr>
          <w:noProof/>
        </w:rPr>
        <w:t xml:space="preserve"> Chicago: Aldine.</w:t>
      </w:r>
    </w:p>
    <w:p w14:paraId="5C69A14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Glaser, F. (2017). Pervasive Decentralisation of Digital Infrastructures: A Framework for Blockchain enabled System and Use Case Analysis. </w:t>
      </w:r>
      <w:r w:rsidRPr="008373DB">
        <w:rPr>
          <w:i/>
          <w:iCs/>
          <w:noProof/>
        </w:rPr>
        <w:t>HICSS 2017 Proceedings</w:t>
      </w:r>
      <w:r w:rsidRPr="008373DB">
        <w:rPr>
          <w:noProof/>
        </w:rPr>
        <w:t>, 1543–1552.</w:t>
      </w:r>
    </w:p>
    <w:p w14:paraId="5B5CC4D5"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Gupta, V. (2017). The Promise of Blockchain Is a World Without Middlemen. </w:t>
      </w:r>
      <w:r w:rsidRPr="008373DB">
        <w:rPr>
          <w:i/>
          <w:iCs/>
          <w:noProof/>
        </w:rPr>
        <w:t>Harvard Business Review Digital Articles</w:t>
      </w:r>
      <w:r w:rsidRPr="008373DB">
        <w:rPr>
          <w:noProof/>
        </w:rPr>
        <w:t>, 2–5.</w:t>
      </w:r>
    </w:p>
    <w:p w14:paraId="10F80762"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Handy, P. (2017). Introducing Masked Authenticated Messaging. Retrieved June 18, 2018, from https://blog.iota.org/introducing-masked-authenticated-messaging-e55c1822d50e</w:t>
      </w:r>
    </w:p>
    <w:p w14:paraId="163FF293"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Hendricks, K. (1992). Reputations technology in the adoption of a new. </w:t>
      </w:r>
      <w:r w:rsidRPr="008373DB">
        <w:rPr>
          <w:i/>
          <w:iCs/>
          <w:noProof/>
        </w:rPr>
        <w:t>International Journal of Industrial Organization</w:t>
      </w:r>
      <w:r w:rsidRPr="008373DB">
        <w:rPr>
          <w:noProof/>
        </w:rPr>
        <w:t xml:space="preserve">, </w:t>
      </w:r>
      <w:r w:rsidRPr="008373DB">
        <w:rPr>
          <w:i/>
          <w:iCs/>
          <w:noProof/>
        </w:rPr>
        <w:t>10</w:t>
      </w:r>
      <w:r w:rsidRPr="008373DB">
        <w:rPr>
          <w:noProof/>
        </w:rPr>
        <w:t>, 663–677.</w:t>
      </w:r>
    </w:p>
    <w:p w14:paraId="2E49BF2E"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Holotiuk, F., Pisani, F., &amp; Moormann, J. (2017). The Impact of Blockchain Technology on Business Models in the Payments Industry. </w:t>
      </w:r>
      <w:r w:rsidRPr="008373DB">
        <w:rPr>
          <w:i/>
          <w:iCs/>
          <w:noProof/>
        </w:rPr>
        <w:t>WI 2017 Proceedings</w:t>
      </w:r>
      <w:r w:rsidRPr="008373DB">
        <w:rPr>
          <w:noProof/>
        </w:rPr>
        <w:t>, 912–926.</w:t>
      </w:r>
    </w:p>
    <w:p w14:paraId="5E38100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Iansiti, M., &amp; Lakhani, K. R. (2017). The Truth About Blockchain. </w:t>
      </w:r>
      <w:r w:rsidRPr="008373DB">
        <w:rPr>
          <w:i/>
          <w:iCs/>
          <w:noProof/>
        </w:rPr>
        <w:t>Harvard Business Review</w:t>
      </w:r>
      <w:r w:rsidRPr="008373DB">
        <w:rPr>
          <w:noProof/>
        </w:rPr>
        <w:t>, 118–127.</w:t>
      </w:r>
    </w:p>
    <w:p w14:paraId="27CB4E2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lastRenderedPageBreak/>
        <w:t>IOTA Foundation. (2018). Qubic. Retrieved July 17, 2018, from https://qubic.iota.org/</w:t>
      </w:r>
    </w:p>
    <w:p w14:paraId="3D82332B"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Ito, J., Narula, N., &amp; Ali, R. (2017). The Blockchain Will Do to the Financial System What the Internet Did to Media. </w:t>
      </w:r>
      <w:r w:rsidRPr="008373DB">
        <w:rPr>
          <w:i/>
          <w:iCs/>
          <w:noProof/>
        </w:rPr>
        <w:t>Harvard Business Review</w:t>
      </w:r>
      <w:r w:rsidRPr="008373DB">
        <w:rPr>
          <w:noProof/>
        </w:rPr>
        <w:t>, 2–6.</w:t>
      </w:r>
    </w:p>
    <w:p w14:paraId="46F1BBE8"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Kahlert, J. (2018). </w:t>
      </w:r>
      <w:r w:rsidRPr="008373DB">
        <w:rPr>
          <w:i/>
          <w:iCs/>
          <w:noProof/>
        </w:rPr>
        <w:t>A Stakeholder-theoretic View on Seizing New Business Opportunities in the Context of Digital Ecosystems</w:t>
      </w:r>
      <w:r w:rsidRPr="008373DB">
        <w:rPr>
          <w:noProof/>
        </w:rPr>
        <w:t>. University of St. Gallen.</w:t>
      </w:r>
    </w:p>
    <w:p w14:paraId="42C29177"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Lehdonvirta, V. (2009). Virtual item sales as a revenue model: Identifying attributes that drive purchase decisions. </w:t>
      </w:r>
      <w:r w:rsidRPr="008373DB">
        <w:rPr>
          <w:i/>
          <w:iCs/>
          <w:noProof/>
        </w:rPr>
        <w:t>Electronic Commerce Research</w:t>
      </w:r>
      <w:r w:rsidRPr="008373DB">
        <w:rPr>
          <w:noProof/>
        </w:rPr>
        <w:t xml:space="preserve">, </w:t>
      </w:r>
      <w:r w:rsidRPr="008373DB">
        <w:rPr>
          <w:i/>
          <w:iCs/>
          <w:noProof/>
        </w:rPr>
        <w:t>9</w:t>
      </w:r>
      <w:r w:rsidRPr="008373DB">
        <w:rPr>
          <w:noProof/>
        </w:rPr>
        <w:t>(1–2), 97–113.</w:t>
      </w:r>
    </w:p>
    <w:p w14:paraId="3D53686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Morabito, V. (2017). </w:t>
      </w:r>
      <w:r w:rsidRPr="008373DB">
        <w:rPr>
          <w:i/>
          <w:iCs/>
          <w:noProof/>
        </w:rPr>
        <w:t>Business Innovation Through Blockchain</w:t>
      </w:r>
      <w:r w:rsidRPr="008373DB">
        <w:rPr>
          <w:noProof/>
        </w:rPr>
        <w:t>. Springer.</w:t>
      </w:r>
    </w:p>
    <w:p w14:paraId="43DA3AD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Natarajan, H., Krause, S. K., &amp; Gradstein, H. L. (2017). </w:t>
      </w:r>
      <w:r w:rsidRPr="008373DB">
        <w:rPr>
          <w:i/>
          <w:iCs/>
          <w:noProof/>
        </w:rPr>
        <w:t>Distributed Ledger Technology (DLT) and Blockchain (English)</w:t>
      </w:r>
      <w:r w:rsidRPr="008373DB">
        <w:rPr>
          <w:noProof/>
        </w:rPr>
        <w:t xml:space="preserve">. </w:t>
      </w:r>
      <w:r w:rsidRPr="008373DB">
        <w:rPr>
          <w:i/>
          <w:iCs/>
          <w:noProof/>
        </w:rPr>
        <w:t>FinTech note</w:t>
      </w:r>
      <w:r w:rsidRPr="008373DB">
        <w:rPr>
          <w:noProof/>
        </w:rPr>
        <w:t>. Washington, D.C.</w:t>
      </w:r>
    </w:p>
    <w:p w14:paraId="261160F8"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Netflix is moving television beyond time-slots and national markets. (2018). </w:t>
      </w:r>
      <w:r w:rsidRPr="008373DB">
        <w:rPr>
          <w:i/>
          <w:iCs/>
          <w:noProof/>
        </w:rPr>
        <w:t>The Economist</w:t>
      </w:r>
      <w:r w:rsidRPr="008373DB">
        <w:rPr>
          <w:noProof/>
        </w:rPr>
        <w:t>.</w:t>
      </w:r>
    </w:p>
    <w:p w14:paraId="03C1C96A"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Popov, S. (2018a). </w:t>
      </w:r>
      <w:r w:rsidRPr="008373DB">
        <w:rPr>
          <w:i/>
          <w:iCs/>
          <w:noProof/>
        </w:rPr>
        <w:t>Local modifiers in the Tangle</w:t>
      </w:r>
      <w:r w:rsidRPr="008373DB">
        <w:rPr>
          <w:noProof/>
        </w:rPr>
        <w:t xml:space="preserve"> (White Paper).</w:t>
      </w:r>
    </w:p>
    <w:p w14:paraId="3C588747"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Popov, S. (2018b). </w:t>
      </w:r>
      <w:r w:rsidRPr="008373DB">
        <w:rPr>
          <w:i/>
          <w:iCs/>
          <w:noProof/>
        </w:rPr>
        <w:t>The Tangle</w:t>
      </w:r>
      <w:r w:rsidRPr="008373DB">
        <w:rPr>
          <w:noProof/>
        </w:rPr>
        <w:t xml:space="preserve">. </w:t>
      </w:r>
      <w:r w:rsidRPr="008373DB">
        <w:rPr>
          <w:i/>
          <w:iCs/>
          <w:noProof/>
        </w:rPr>
        <w:t>White Paper</w:t>
      </w:r>
      <w:r w:rsidRPr="008373DB">
        <w:rPr>
          <w:noProof/>
        </w:rPr>
        <w:t>.</w:t>
      </w:r>
    </w:p>
    <w:p w14:paraId="2B4A893C"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Silverman, D. (2013). </w:t>
      </w:r>
      <w:r w:rsidRPr="008373DB">
        <w:rPr>
          <w:i/>
          <w:iCs/>
          <w:noProof/>
        </w:rPr>
        <w:t>Doing Qualitative Research</w:t>
      </w:r>
      <w:r w:rsidRPr="008373DB">
        <w:rPr>
          <w:noProof/>
        </w:rPr>
        <w:t xml:space="preserve">. </w:t>
      </w:r>
      <w:r w:rsidRPr="008373DB">
        <w:rPr>
          <w:i/>
          <w:iCs/>
          <w:noProof/>
        </w:rPr>
        <w:t>Sage</w:t>
      </w:r>
      <w:r w:rsidRPr="008373DB">
        <w:rPr>
          <w:noProof/>
        </w:rPr>
        <w:t>.</w:t>
      </w:r>
    </w:p>
    <w:p w14:paraId="657F7F7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Spieth, P., Schneckenberg, D., &amp; Ricart, J. E. (2014). Business model innovation – state of the art and future challenges for the field. </w:t>
      </w:r>
      <w:r w:rsidRPr="008373DB">
        <w:rPr>
          <w:i/>
          <w:iCs/>
          <w:noProof/>
        </w:rPr>
        <w:t>R&amp;D Management</w:t>
      </w:r>
      <w:r w:rsidRPr="008373DB">
        <w:rPr>
          <w:noProof/>
        </w:rPr>
        <w:t xml:space="preserve">, </w:t>
      </w:r>
      <w:r w:rsidRPr="008373DB">
        <w:rPr>
          <w:i/>
          <w:iCs/>
          <w:noProof/>
        </w:rPr>
        <w:t>44</w:t>
      </w:r>
      <w:r w:rsidRPr="008373DB">
        <w:rPr>
          <w:noProof/>
        </w:rPr>
        <w:t>(3), 237–247.</w:t>
      </w:r>
    </w:p>
    <w:p w14:paraId="674ABD31"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Stenbacka, R., &amp; Tombakb, M. M. (1994). Timing of Adoption of New Technologies Under Uncertainty. </w:t>
      </w:r>
      <w:r w:rsidRPr="008373DB">
        <w:rPr>
          <w:i/>
          <w:iCs/>
          <w:noProof/>
        </w:rPr>
        <w:t>Science</w:t>
      </w:r>
      <w:r w:rsidRPr="008373DB">
        <w:rPr>
          <w:noProof/>
        </w:rPr>
        <w:t xml:space="preserve">, </w:t>
      </w:r>
      <w:r w:rsidRPr="008373DB">
        <w:rPr>
          <w:i/>
          <w:iCs/>
          <w:noProof/>
        </w:rPr>
        <w:t>7187</w:t>
      </w:r>
      <w:r w:rsidRPr="008373DB">
        <w:rPr>
          <w:noProof/>
        </w:rPr>
        <w:t>(93).</w:t>
      </w:r>
    </w:p>
    <w:p w14:paraId="3948F863"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Strauss, A., &amp; Corbin, J. (2008). </w:t>
      </w:r>
      <w:r w:rsidRPr="008373DB">
        <w:rPr>
          <w:i/>
          <w:iCs/>
          <w:noProof/>
        </w:rPr>
        <w:t>Basics of Qualitative Research: Techniques and Procedures for Developing Grounded Theory</w:t>
      </w:r>
      <w:r w:rsidRPr="008373DB">
        <w:rPr>
          <w:noProof/>
        </w:rPr>
        <w:t xml:space="preserve">. </w:t>
      </w:r>
      <w:r w:rsidRPr="008373DB">
        <w:rPr>
          <w:i/>
          <w:iCs/>
          <w:noProof/>
        </w:rPr>
        <w:t>Basics of Qualitative Research Grounded Theory Procedures and Techniques</w:t>
      </w:r>
      <w:r w:rsidRPr="008373DB">
        <w:rPr>
          <w:noProof/>
        </w:rPr>
        <w:t xml:space="preserve"> (3rd ed.). Thousand Oaks, CA: Sage Publications.</w:t>
      </w:r>
    </w:p>
    <w:p w14:paraId="3F6DC3E8"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Suddaby, R. (2006). What grounded theory is not. </w:t>
      </w:r>
      <w:r w:rsidRPr="008373DB">
        <w:rPr>
          <w:i/>
          <w:iCs/>
          <w:noProof/>
        </w:rPr>
        <w:t>Academy of Management Journal</w:t>
      </w:r>
      <w:r w:rsidRPr="008373DB">
        <w:rPr>
          <w:noProof/>
        </w:rPr>
        <w:t xml:space="preserve">, </w:t>
      </w:r>
      <w:r w:rsidRPr="008373DB">
        <w:rPr>
          <w:i/>
          <w:iCs/>
          <w:noProof/>
        </w:rPr>
        <w:t>49</w:t>
      </w:r>
      <w:r w:rsidRPr="008373DB">
        <w:rPr>
          <w:noProof/>
        </w:rPr>
        <w:t>(4), 633–642.</w:t>
      </w:r>
    </w:p>
    <w:p w14:paraId="7101823B"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Tapscott, D., &amp; Tapscott, A. (2016). Blockchain Revolution. </w:t>
      </w:r>
      <w:r w:rsidRPr="008373DB">
        <w:rPr>
          <w:i/>
          <w:iCs/>
          <w:noProof/>
        </w:rPr>
        <w:t>Blockchain Revolution</w:t>
      </w:r>
      <w:r w:rsidRPr="008373DB">
        <w:rPr>
          <w:noProof/>
        </w:rPr>
        <w:t>. New York: Penguin.</w:t>
      </w:r>
    </w:p>
    <w:p w14:paraId="61EE014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Teece, D. J. (2010). Business models, business strategy and innovation. </w:t>
      </w:r>
      <w:r w:rsidRPr="008373DB">
        <w:rPr>
          <w:i/>
          <w:iCs/>
          <w:noProof/>
        </w:rPr>
        <w:t>Long Range Planning</w:t>
      </w:r>
      <w:r w:rsidRPr="008373DB">
        <w:rPr>
          <w:noProof/>
        </w:rPr>
        <w:t xml:space="preserve">, </w:t>
      </w:r>
      <w:r w:rsidRPr="008373DB">
        <w:rPr>
          <w:i/>
          <w:iCs/>
          <w:noProof/>
        </w:rPr>
        <w:t>43</w:t>
      </w:r>
      <w:r w:rsidRPr="008373DB">
        <w:rPr>
          <w:noProof/>
        </w:rPr>
        <w:t>(2–3), 172–194.</w:t>
      </w:r>
    </w:p>
    <w:p w14:paraId="02B4C82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Teece, D. J. (2016). </w:t>
      </w:r>
      <w:r w:rsidRPr="008373DB">
        <w:rPr>
          <w:i/>
          <w:iCs/>
          <w:noProof/>
        </w:rPr>
        <w:t>Profiting from Innovation in the Digital Economy : Standards , Complementary Assets , and Business Models In the Wireless World</w:t>
      </w:r>
      <w:r w:rsidRPr="008373DB">
        <w:rPr>
          <w:noProof/>
        </w:rPr>
        <w:t xml:space="preserve">. </w:t>
      </w:r>
      <w:r w:rsidRPr="008373DB">
        <w:rPr>
          <w:i/>
          <w:iCs/>
          <w:noProof/>
        </w:rPr>
        <w:t>Working paper Series No. 16</w:t>
      </w:r>
      <w:r w:rsidRPr="008373DB">
        <w:rPr>
          <w:noProof/>
        </w:rPr>
        <w:t>.</w:t>
      </w:r>
    </w:p>
    <w:p w14:paraId="6C6F708F"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Tsukerman, M. (2016). The Block is hot: A Survey of the State of Bitcoin Regulation and Suggestions for the Future. </w:t>
      </w:r>
      <w:r w:rsidRPr="008373DB">
        <w:rPr>
          <w:i/>
          <w:iCs/>
          <w:noProof/>
        </w:rPr>
        <w:t>Berkeley Technology Law Journal</w:t>
      </w:r>
      <w:r w:rsidRPr="008373DB">
        <w:rPr>
          <w:noProof/>
        </w:rPr>
        <w:t xml:space="preserve">, </w:t>
      </w:r>
      <w:r w:rsidRPr="008373DB">
        <w:rPr>
          <w:i/>
          <w:iCs/>
          <w:noProof/>
        </w:rPr>
        <w:t>30</w:t>
      </w:r>
      <w:r w:rsidRPr="008373DB">
        <w:rPr>
          <w:noProof/>
        </w:rPr>
        <w:t>(4), 1127–1169.</w:t>
      </w:r>
    </w:p>
    <w:p w14:paraId="0A3E097A"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Tushman, M. L., &amp; Anderson, P. (1986). Technological Discontinuities and Organizational Environments. </w:t>
      </w:r>
      <w:r w:rsidRPr="008373DB">
        <w:rPr>
          <w:i/>
          <w:iCs/>
          <w:noProof/>
        </w:rPr>
        <w:t>Administrative Science Quarterly</w:t>
      </w:r>
      <w:r w:rsidRPr="008373DB">
        <w:rPr>
          <w:noProof/>
        </w:rPr>
        <w:t xml:space="preserve">, </w:t>
      </w:r>
      <w:r w:rsidRPr="008373DB">
        <w:rPr>
          <w:i/>
          <w:iCs/>
          <w:noProof/>
        </w:rPr>
        <w:t>31</w:t>
      </w:r>
      <w:r w:rsidRPr="008373DB">
        <w:rPr>
          <w:noProof/>
        </w:rPr>
        <w:t>(3), 439–465.</w:t>
      </w:r>
    </w:p>
    <w:p w14:paraId="08FE4A8A"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Velamuri, V. K., Schneckenberg, D., Haller, J. B. A., &amp; Moeslein, K. M. (2017). Open evaluation of new product concepts at the front end of innovation: objectives and </w:t>
      </w:r>
      <w:r w:rsidRPr="008373DB">
        <w:rPr>
          <w:noProof/>
        </w:rPr>
        <w:lastRenderedPageBreak/>
        <w:t xml:space="preserve">contingency factors. </w:t>
      </w:r>
      <w:r w:rsidRPr="008373DB">
        <w:rPr>
          <w:i/>
          <w:iCs/>
          <w:noProof/>
        </w:rPr>
        <w:t>R&amp;D Management</w:t>
      </w:r>
      <w:r w:rsidRPr="008373DB">
        <w:rPr>
          <w:noProof/>
        </w:rPr>
        <w:t xml:space="preserve">, </w:t>
      </w:r>
      <w:r w:rsidRPr="008373DB">
        <w:rPr>
          <w:i/>
          <w:iCs/>
          <w:noProof/>
        </w:rPr>
        <w:t>47</w:t>
      </w:r>
      <w:r w:rsidRPr="008373DB">
        <w:rPr>
          <w:noProof/>
        </w:rPr>
        <w:t>(4), 501–521.</w:t>
      </w:r>
    </w:p>
    <w:p w14:paraId="1E7E52F9"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West, J. (2003). How open is open enough? Melding proprietary and open source platform strategies. </w:t>
      </w:r>
      <w:r w:rsidRPr="008373DB">
        <w:rPr>
          <w:i/>
          <w:iCs/>
          <w:noProof/>
        </w:rPr>
        <w:t>Research Policy</w:t>
      </w:r>
      <w:r w:rsidRPr="008373DB">
        <w:rPr>
          <w:noProof/>
        </w:rPr>
        <w:t xml:space="preserve">, </w:t>
      </w:r>
      <w:r w:rsidRPr="008373DB">
        <w:rPr>
          <w:i/>
          <w:iCs/>
          <w:noProof/>
        </w:rPr>
        <w:t>32</w:t>
      </w:r>
      <w:r w:rsidRPr="008373DB">
        <w:rPr>
          <w:noProof/>
        </w:rPr>
        <w:t>(7), 1259–1285.</w:t>
      </w:r>
    </w:p>
    <w:p w14:paraId="6F41CED4"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Wheelwright, S. C., &amp; Clark, K. B. (1992). </w:t>
      </w:r>
      <w:r w:rsidRPr="008373DB">
        <w:rPr>
          <w:i/>
          <w:iCs/>
          <w:noProof/>
        </w:rPr>
        <w:t>Revolutionizing Product Development: Quantum Leaps in Speed, Efficiency, and Quality</w:t>
      </w:r>
      <w:r w:rsidRPr="008373DB">
        <w:rPr>
          <w:noProof/>
        </w:rPr>
        <w:t>. Simon and Schuster.</w:t>
      </w:r>
    </w:p>
    <w:p w14:paraId="4AA899F2"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White, G. R. T. (2017). Future applications of blockchain in business and management: A Delphi study. </w:t>
      </w:r>
      <w:r w:rsidRPr="008373DB">
        <w:rPr>
          <w:i/>
          <w:iCs/>
          <w:noProof/>
        </w:rPr>
        <w:t>Strategic Change</w:t>
      </w:r>
      <w:r w:rsidRPr="008373DB">
        <w:rPr>
          <w:noProof/>
        </w:rPr>
        <w:t xml:space="preserve">, </w:t>
      </w:r>
      <w:r w:rsidRPr="008373DB">
        <w:rPr>
          <w:i/>
          <w:iCs/>
          <w:noProof/>
        </w:rPr>
        <w:t>26</w:t>
      </w:r>
      <w:r w:rsidRPr="008373DB">
        <w:rPr>
          <w:noProof/>
        </w:rPr>
        <w:t>(5), 439–451.</w:t>
      </w:r>
    </w:p>
    <w:p w14:paraId="4126A75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Wirtz, B. W., Pistoia, A., Ullrich, S., &amp; Göttel, V. (2016). Business Models: Origin, Development and Future Research Perspectives. </w:t>
      </w:r>
      <w:r w:rsidRPr="008373DB">
        <w:rPr>
          <w:i/>
          <w:iCs/>
          <w:noProof/>
        </w:rPr>
        <w:t>Long Range Planning</w:t>
      </w:r>
      <w:r w:rsidRPr="008373DB">
        <w:rPr>
          <w:noProof/>
        </w:rPr>
        <w:t xml:space="preserve">, </w:t>
      </w:r>
      <w:r w:rsidRPr="008373DB">
        <w:rPr>
          <w:i/>
          <w:iCs/>
          <w:noProof/>
        </w:rPr>
        <w:t>49</w:t>
      </w:r>
      <w:r w:rsidRPr="008373DB">
        <w:rPr>
          <w:noProof/>
        </w:rPr>
        <w:t>(1), 36–54.</w:t>
      </w:r>
    </w:p>
    <w:p w14:paraId="02EF7B72"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Wright, A., &amp; De Filippi, P. (2015). Decentralized Blockchain Technology and the Rise of Lex Cryptographia. </w:t>
      </w:r>
      <w:r w:rsidRPr="008373DB">
        <w:rPr>
          <w:i/>
          <w:iCs/>
          <w:noProof/>
        </w:rPr>
        <w:t>SSRN Electronic Journal</w:t>
      </w:r>
      <w:r w:rsidRPr="008373DB">
        <w:rPr>
          <w:noProof/>
        </w:rPr>
        <w:t>.</w:t>
      </w:r>
    </w:p>
    <w:p w14:paraId="385F8407"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Yin, R. K. (2014). </w:t>
      </w:r>
      <w:r w:rsidRPr="008373DB">
        <w:rPr>
          <w:i/>
          <w:iCs/>
          <w:noProof/>
        </w:rPr>
        <w:t>Case Study Research: Design and Methods</w:t>
      </w:r>
      <w:r w:rsidRPr="008373DB">
        <w:rPr>
          <w:noProof/>
        </w:rPr>
        <w:t xml:space="preserve"> (5th ed.). Thousand Oaks, CA: Sage.</w:t>
      </w:r>
    </w:p>
    <w:p w14:paraId="4358E28D"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Zhang, Y., &amp; Wen, J. (2017). The IoT electric business model: Using blockchain technology for the internet of things. </w:t>
      </w:r>
      <w:r w:rsidRPr="008373DB">
        <w:rPr>
          <w:i/>
          <w:iCs/>
          <w:noProof/>
        </w:rPr>
        <w:t>Peer-to-Peer Networking and Applications</w:t>
      </w:r>
      <w:r w:rsidRPr="008373DB">
        <w:rPr>
          <w:noProof/>
        </w:rPr>
        <w:t xml:space="preserve">, </w:t>
      </w:r>
      <w:r w:rsidRPr="008373DB">
        <w:rPr>
          <w:i/>
          <w:iCs/>
          <w:noProof/>
        </w:rPr>
        <w:t>10</w:t>
      </w:r>
      <w:r w:rsidRPr="008373DB">
        <w:rPr>
          <w:noProof/>
        </w:rPr>
        <w:t>(4), 983–994.</w:t>
      </w:r>
    </w:p>
    <w:p w14:paraId="43F81C2E" w14:textId="77777777" w:rsidR="008373DB" w:rsidRPr="008373DB" w:rsidRDefault="008373DB" w:rsidP="008373DB">
      <w:pPr>
        <w:widowControl w:val="0"/>
        <w:autoSpaceDE w:val="0"/>
        <w:autoSpaceDN w:val="0"/>
        <w:adjustRightInd w:val="0"/>
        <w:spacing w:line="240" w:lineRule="auto"/>
        <w:ind w:left="480" w:hanging="480"/>
        <w:rPr>
          <w:noProof/>
        </w:rPr>
      </w:pPr>
      <w:r w:rsidRPr="008373DB">
        <w:rPr>
          <w:noProof/>
        </w:rPr>
        <w:t xml:space="preserve">Zott, C., Amit, R., &amp; Massa, L. (2011). The Business Model: Recent Developments and Future Research. </w:t>
      </w:r>
      <w:r w:rsidRPr="008373DB">
        <w:rPr>
          <w:i/>
          <w:iCs/>
          <w:noProof/>
        </w:rPr>
        <w:t>Journal of Management</w:t>
      </w:r>
      <w:r w:rsidRPr="008373DB">
        <w:rPr>
          <w:noProof/>
        </w:rPr>
        <w:t xml:space="preserve">, </w:t>
      </w:r>
      <w:r w:rsidRPr="008373DB">
        <w:rPr>
          <w:i/>
          <w:iCs/>
          <w:noProof/>
        </w:rPr>
        <w:t>37</w:t>
      </w:r>
      <w:r w:rsidRPr="008373DB">
        <w:rPr>
          <w:noProof/>
        </w:rPr>
        <w:t>(4), 1019–1042.</w:t>
      </w:r>
    </w:p>
    <w:p w14:paraId="7D08DEF3" w14:textId="750DE602" w:rsidR="008373DB" w:rsidRPr="008373DB" w:rsidRDefault="008373DB" w:rsidP="008373DB">
      <w:pPr>
        <w:rPr>
          <w:lang w:eastAsia="de-AT"/>
        </w:rPr>
      </w:pPr>
      <w:r>
        <w:rPr>
          <w:lang w:eastAsia="de-AT"/>
        </w:rPr>
        <w:fldChar w:fldCharType="end"/>
      </w:r>
      <w:bookmarkStart w:id="38" w:name="_GoBack"/>
      <w:bookmarkEnd w:id="38"/>
    </w:p>
    <w:sectPr w:rsidR="008373DB" w:rsidRPr="008373DB" w:rsidSect="00ED5260">
      <w:footerReference w:type="default" r:id="rId20"/>
      <w:pgSz w:w="11906" w:h="16838" w:code="9"/>
      <w:pgMar w:top="1440" w:right="1440" w:bottom="1440" w:left="1440"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0BF52" w14:textId="77777777" w:rsidR="009A4BDE" w:rsidRDefault="009A4BDE">
      <w:r>
        <w:separator/>
      </w:r>
    </w:p>
    <w:p w14:paraId="7AA883B4" w14:textId="77777777" w:rsidR="009A4BDE" w:rsidRDefault="009A4BDE"/>
    <w:p w14:paraId="2DD18535" w14:textId="77777777" w:rsidR="009A4BDE" w:rsidRDefault="009A4BDE"/>
  </w:endnote>
  <w:endnote w:type="continuationSeparator" w:id="0">
    <w:p w14:paraId="66BB4CB5" w14:textId="77777777" w:rsidR="009A4BDE" w:rsidRDefault="009A4BDE">
      <w:r>
        <w:continuationSeparator/>
      </w:r>
    </w:p>
    <w:p w14:paraId="3A7A99A4" w14:textId="77777777" w:rsidR="009A4BDE" w:rsidRDefault="009A4BDE"/>
    <w:p w14:paraId="0C64F2E9" w14:textId="77777777" w:rsidR="009A4BDE" w:rsidRDefault="009A4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
    <w:panose1 w:val="02000500000000000000"/>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0467734"/>
      <w:docPartObj>
        <w:docPartGallery w:val="Page Numbers (Bottom of Page)"/>
        <w:docPartUnique/>
      </w:docPartObj>
    </w:sdtPr>
    <w:sdtEndPr>
      <w:rPr>
        <w:rStyle w:val="PageNumber"/>
      </w:rPr>
    </w:sdtEndPr>
    <w:sdtContent>
      <w:p w14:paraId="65DC56FF" w14:textId="645AC405" w:rsidR="00ED5260" w:rsidRDefault="00ED5260" w:rsidP="000060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506B6" w14:textId="77777777" w:rsidR="00ED5260" w:rsidRDefault="00ED52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0"/>
        <w:szCs w:val="20"/>
      </w:rPr>
      <w:id w:val="240606873"/>
      <w:docPartObj>
        <w:docPartGallery w:val="Page Numbers (Bottom of Page)"/>
        <w:docPartUnique/>
      </w:docPartObj>
    </w:sdtPr>
    <w:sdtEndPr>
      <w:rPr>
        <w:rStyle w:val="PageNumber"/>
      </w:rPr>
    </w:sdtEndPr>
    <w:sdtContent>
      <w:p w14:paraId="6B7E5032" w14:textId="608FC81C" w:rsidR="00ED5260" w:rsidRPr="00ED5260" w:rsidRDefault="00ED5260" w:rsidP="00006010">
        <w:pPr>
          <w:pStyle w:val="Footer"/>
          <w:framePr w:wrap="none" w:vAnchor="text" w:hAnchor="margin" w:xAlign="center" w:y="1"/>
          <w:rPr>
            <w:rStyle w:val="PageNumber"/>
            <w:sz w:val="20"/>
            <w:szCs w:val="20"/>
          </w:rPr>
        </w:pPr>
        <w:r w:rsidRPr="00ED5260">
          <w:rPr>
            <w:rStyle w:val="PageNumber"/>
            <w:sz w:val="20"/>
            <w:szCs w:val="20"/>
          </w:rPr>
          <w:fldChar w:fldCharType="begin"/>
        </w:r>
        <w:r w:rsidRPr="00ED5260">
          <w:rPr>
            <w:rStyle w:val="PageNumber"/>
            <w:sz w:val="20"/>
            <w:szCs w:val="20"/>
          </w:rPr>
          <w:instrText xml:space="preserve"> PAGE </w:instrText>
        </w:r>
        <w:r w:rsidRPr="00ED5260">
          <w:rPr>
            <w:rStyle w:val="PageNumber"/>
            <w:sz w:val="20"/>
            <w:szCs w:val="20"/>
          </w:rPr>
          <w:fldChar w:fldCharType="separate"/>
        </w:r>
        <w:r w:rsidRPr="00ED5260">
          <w:rPr>
            <w:rStyle w:val="PageNumber"/>
            <w:noProof/>
            <w:sz w:val="20"/>
            <w:szCs w:val="20"/>
          </w:rPr>
          <w:t>5</w:t>
        </w:r>
        <w:r w:rsidRPr="00ED5260">
          <w:rPr>
            <w:rStyle w:val="PageNumber"/>
            <w:sz w:val="20"/>
            <w:szCs w:val="20"/>
          </w:rPr>
          <w:fldChar w:fldCharType="end"/>
        </w:r>
      </w:p>
    </w:sdtContent>
  </w:sdt>
  <w:p w14:paraId="69D3D9D7" w14:textId="5A809E50" w:rsidR="00ED5260" w:rsidRPr="00ED5260" w:rsidRDefault="00ED5260" w:rsidP="00ED5260">
    <w:pPr>
      <w:pStyle w:val="Footer"/>
      <w:tabs>
        <w:tab w:val="clear" w:pos="4536"/>
        <w:tab w:val="clear" w:pos="9072"/>
        <w:tab w:val="left" w:pos="5895"/>
      </w:tabs>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DD0BE" w14:textId="77777777" w:rsidR="00716A34" w:rsidRPr="00EC2DF1" w:rsidRDefault="00716A34">
    <w:pPr>
      <w:pStyle w:val="Footer"/>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68E93" w14:textId="77777777" w:rsidR="00716A34" w:rsidRDefault="00716A34" w:rsidP="00AC412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84868" w14:textId="77777777" w:rsidR="00716A34" w:rsidRDefault="00716A34" w:rsidP="00E4783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C6CF6" w14:textId="77777777" w:rsidR="00716A34" w:rsidRPr="00ED5260" w:rsidRDefault="00716A34" w:rsidP="00AC412F">
    <w:pPr>
      <w:pStyle w:val="Footer"/>
      <w:framePr w:wrap="none" w:vAnchor="text" w:hAnchor="margin" w:xAlign="center" w:y="1"/>
      <w:rPr>
        <w:rStyle w:val="PageNumber"/>
        <w:sz w:val="20"/>
        <w:szCs w:val="20"/>
      </w:rPr>
    </w:pPr>
    <w:r w:rsidRPr="00ED5260">
      <w:rPr>
        <w:rStyle w:val="PageNumber"/>
        <w:sz w:val="20"/>
        <w:szCs w:val="20"/>
      </w:rPr>
      <w:fldChar w:fldCharType="begin"/>
    </w:r>
    <w:r w:rsidRPr="00ED5260">
      <w:rPr>
        <w:rStyle w:val="PageNumber"/>
        <w:sz w:val="20"/>
        <w:szCs w:val="20"/>
      </w:rPr>
      <w:instrText xml:space="preserve">PAGE  </w:instrText>
    </w:r>
    <w:r w:rsidRPr="00ED5260">
      <w:rPr>
        <w:rStyle w:val="PageNumber"/>
        <w:sz w:val="20"/>
        <w:szCs w:val="20"/>
      </w:rPr>
      <w:fldChar w:fldCharType="separate"/>
    </w:r>
    <w:r w:rsidRPr="00ED5260">
      <w:rPr>
        <w:rStyle w:val="PageNumber"/>
        <w:noProof/>
        <w:sz w:val="20"/>
        <w:szCs w:val="20"/>
      </w:rPr>
      <w:t>137</w:t>
    </w:r>
    <w:r w:rsidRPr="00ED5260">
      <w:rPr>
        <w:rStyle w:val="PageNumber"/>
        <w:sz w:val="20"/>
        <w:szCs w:val="20"/>
      </w:rPr>
      <w:fldChar w:fldCharType="end"/>
    </w:r>
  </w:p>
  <w:p w14:paraId="6F3D10F3" w14:textId="77777777" w:rsidR="00716A34" w:rsidRPr="00ED5260" w:rsidRDefault="00716A34" w:rsidP="00E4783A">
    <w:pPr>
      <w:pStyle w:val="Footer"/>
      <w:ind w:right="360"/>
      <w:rPr>
        <w:sz w:val="20"/>
        <w:szCs w:val="20"/>
        <w:lang w:val="de-DE"/>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A9059" w14:textId="77777777" w:rsidR="00716A34" w:rsidRPr="00ED5260" w:rsidRDefault="00716A34" w:rsidP="00AC412F">
    <w:pPr>
      <w:pStyle w:val="Footer"/>
      <w:framePr w:wrap="none" w:vAnchor="text" w:hAnchor="margin" w:xAlign="center" w:y="1"/>
      <w:rPr>
        <w:rStyle w:val="PageNumber"/>
        <w:sz w:val="20"/>
        <w:szCs w:val="20"/>
      </w:rPr>
    </w:pPr>
    <w:r w:rsidRPr="00ED5260">
      <w:rPr>
        <w:rStyle w:val="PageNumber"/>
        <w:sz w:val="20"/>
        <w:szCs w:val="20"/>
      </w:rPr>
      <w:fldChar w:fldCharType="begin"/>
    </w:r>
    <w:r w:rsidRPr="00ED5260">
      <w:rPr>
        <w:rStyle w:val="PageNumber"/>
        <w:sz w:val="20"/>
        <w:szCs w:val="20"/>
      </w:rPr>
      <w:instrText xml:space="preserve">PAGE  </w:instrText>
    </w:r>
    <w:r w:rsidRPr="00ED5260">
      <w:rPr>
        <w:rStyle w:val="PageNumber"/>
        <w:sz w:val="20"/>
        <w:szCs w:val="20"/>
      </w:rPr>
      <w:fldChar w:fldCharType="separate"/>
    </w:r>
    <w:r w:rsidRPr="00ED5260">
      <w:rPr>
        <w:rStyle w:val="PageNumber"/>
        <w:noProof/>
        <w:sz w:val="20"/>
        <w:szCs w:val="20"/>
      </w:rPr>
      <w:t>XXXVII</w:t>
    </w:r>
    <w:r w:rsidRPr="00ED5260">
      <w:rPr>
        <w:rStyle w:val="PageNumber"/>
        <w:sz w:val="20"/>
        <w:szCs w:val="20"/>
      </w:rPr>
      <w:fldChar w:fldCharType="end"/>
    </w:r>
  </w:p>
  <w:p w14:paraId="6E206E43" w14:textId="77777777" w:rsidR="00716A34" w:rsidRPr="00582571" w:rsidRDefault="00716A34" w:rsidP="00E4783A">
    <w:pPr>
      <w:pStyle w:val="Footer"/>
      <w:ind w:right="360"/>
      <w:rPr>
        <w:sz w:val="22"/>
        <w:szCs w:val="22"/>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02FECD" w14:textId="77777777" w:rsidR="009A4BDE" w:rsidRPr="003772F9" w:rsidRDefault="009A4BDE" w:rsidP="003772F9">
      <w:pPr>
        <w:pStyle w:val="Footer"/>
      </w:pPr>
    </w:p>
  </w:footnote>
  <w:footnote w:type="continuationSeparator" w:id="0">
    <w:p w14:paraId="127ACF97" w14:textId="77777777" w:rsidR="009A4BDE" w:rsidRDefault="009A4BDE">
      <w:r>
        <w:continuationSeparator/>
      </w:r>
    </w:p>
    <w:p w14:paraId="0C7A7E1E" w14:textId="77777777" w:rsidR="009A4BDE" w:rsidRDefault="009A4BDE"/>
    <w:p w14:paraId="52450975" w14:textId="77777777" w:rsidR="009A4BDE" w:rsidRDefault="009A4B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781A1" w14:textId="77777777" w:rsidR="00716A34" w:rsidRPr="00680C70" w:rsidRDefault="00716A34" w:rsidP="000E4CA5">
    <w:pPr>
      <w:pStyle w:val="Header"/>
      <w:tabs>
        <w:tab w:val="left" w:pos="6705"/>
      </w:tabs>
      <w:jc w:val="lef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FE38E" w14:textId="77777777" w:rsidR="00716A34" w:rsidRPr="000E4CA5" w:rsidRDefault="00716A34" w:rsidP="000E4CA5">
    <w:pPr>
      <w:pStyle w:val="Header"/>
      <w:rPr>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5ED67" w14:textId="77777777" w:rsidR="00716A34" w:rsidRPr="00BC21B5" w:rsidRDefault="00716A34" w:rsidP="00977C2A">
    <w:pPr>
      <w:pStyle w:val="Header"/>
      <w:tabs>
        <w:tab w:val="clear" w:pos="4536"/>
        <w:tab w:val="center" w:pos="142"/>
        <w:tab w:val="left" w:pos="6705"/>
      </w:tabs>
      <w:jc w:val="left"/>
      <w:rPr>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3BE31" w14:textId="77777777" w:rsidR="00716A34" w:rsidRPr="00BC21B5" w:rsidRDefault="00716A34" w:rsidP="00977C2A">
    <w:pPr>
      <w:pStyle w:val="Header"/>
      <w:tabs>
        <w:tab w:val="clear" w:pos="4536"/>
        <w:tab w:val="center" w:pos="142"/>
        <w:tab w:val="left" w:pos="6705"/>
      </w:tabs>
      <w:jc w:val="left"/>
      <w:rPr>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D12DD" w14:textId="77777777" w:rsidR="00716A34" w:rsidRPr="000E4CA5" w:rsidRDefault="00716A34" w:rsidP="000E4CA5">
    <w:pPr>
      <w:pStyle w:val="Header"/>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E24F9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FA8037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C010A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BE0226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71AD60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E60E9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9EA36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BE275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CA0F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16282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880633"/>
    <w:multiLevelType w:val="hybridMultilevel"/>
    <w:tmpl w:val="E68AE356"/>
    <w:lvl w:ilvl="0" w:tplc="4672DE7E">
      <w:start w:val="1"/>
      <w:numFmt w:val="bullet"/>
      <w:lvlText w:val="-"/>
      <w:lvlJc w:val="left"/>
      <w:pPr>
        <w:ind w:left="284" w:hanging="284"/>
      </w:pPr>
      <w:rPr>
        <w:rFonts w:ascii="Times" w:hAnsi="Times" w:cs="Times" w:hint="default"/>
        <w:kern w:val="0"/>
        <w:sz w:val="3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476760"/>
    <w:multiLevelType w:val="hybridMultilevel"/>
    <w:tmpl w:val="48B0043C"/>
    <w:lvl w:ilvl="0" w:tplc="4672DE7E">
      <w:start w:val="1"/>
      <w:numFmt w:val="bullet"/>
      <w:lvlText w:val="-"/>
      <w:lvlJc w:val="left"/>
      <w:pPr>
        <w:ind w:left="644" w:hanging="284"/>
      </w:pPr>
      <w:rPr>
        <w:rFonts w:ascii="Times" w:hAnsi="Times" w:cs="Times" w:hint="default"/>
        <w:kern w:val="0"/>
        <w:sz w:val="32"/>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BC6672D"/>
    <w:multiLevelType w:val="multilevel"/>
    <w:tmpl w:val="DC625228"/>
    <w:styleLink w:val="BulletedList"/>
    <w:lvl w:ilvl="0">
      <w:start w:val="1"/>
      <w:numFmt w:val="bullet"/>
      <w:lvlText w:val=""/>
      <w:lvlJc w:val="left"/>
      <w:pPr>
        <w:tabs>
          <w:tab w:val="num" w:pos="714"/>
        </w:tabs>
        <w:ind w:left="714" w:hanging="357"/>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5B1644"/>
    <w:multiLevelType w:val="hybridMultilevel"/>
    <w:tmpl w:val="5DBE989E"/>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15" w15:restartNumberingAfterBreak="0">
    <w:nsid w:val="25364A56"/>
    <w:multiLevelType w:val="hybridMultilevel"/>
    <w:tmpl w:val="A1084A3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48A4FED"/>
    <w:multiLevelType w:val="hybridMultilevel"/>
    <w:tmpl w:val="F8E2AF34"/>
    <w:styleLink w:val="Style12import"/>
    <w:lvl w:ilvl="0" w:tplc="DC1234B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D2425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7827C8">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83025A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48A6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92D96A">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612C6A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F1662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64D432">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8D32996"/>
    <w:multiLevelType w:val="multilevel"/>
    <w:tmpl w:val="37529D60"/>
    <w:lvl w:ilvl="0">
      <w:start w:val="1"/>
      <w:numFmt w:val="decimal"/>
      <w:pStyle w:val="Heading1"/>
      <w:lvlText w:val="%1"/>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8" w15:restartNumberingAfterBreak="0">
    <w:nsid w:val="425441E2"/>
    <w:multiLevelType w:val="hybridMultilevel"/>
    <w:tmpl w:val="881AAEA0"/>
    <w:lvl w:ilvl="0" w:tplc="0809000F">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9" w15:restartNumberingAfterBreak="0">
    <w:nsid w:val="43B704F3"/>
    <w:multiLevelType w:val="hybridMultilevel"/>
    <w:tmpl w:val="A6047C2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6517C0"/>
    <w:multiLevelType w:val="hybridMultilevel"/>
    <w:tmpl w:val="4B9E3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7156B6"/>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92669D"/>
    <w:multiLevelType w:val="hybridMultilevel"/>
    <w:tmpl w:val="D23AA436"/>
    <w:lvl w:ilvl="0" w:tplc="B39E4AAE">
      <w:start w:val="1"/>
      <w:numFmt w:val="bullet"/>
      <w:lvlText w:val="-"/>
      <w:lvlJc w:val="left"/>
      <w:pPr>
        <w:ind w:left="360" w:hanging="360"/>
      </w:pPr>
      <w:rPr>
        <w:rFonts w:ascii="Times" w:eastAsia="Times New Roman" w:hAnsi="Times" w:cs="Times" w:hint="default"/>
        <w:sz w:val="3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04A3D5B"/>
    <w:multiLevelType w:val="hybridMultilevel"/>
    <w:tmpl w:val="1A081DA2"/>
    <w:lvl w:ilvl="0" w:tplc="08090011">
      <w:start w:val="1"/>
      <w:numFmt w:val="decimal"/>
      <w:lvlText w:val="%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65E25743"/>
    <w:multiLevelType w:val="hybridMultilevel"/>
    <w:tmpl w:val="53C880BA"/>
    <w:lvl w:ilvl="0" w:tplc="573AA9FA">
      <w:numFmt w:val="bullet"/>
      <w:lvlText w:val="-"/>
      <w:lvlJc w:val="left"/>
      <w:pPr>
        <w:ind w:left="360" w:hanging="360"/>
      </w:pPr>
      <w:rPr>
        <w:rFonts w:ascii="Times New Roman" w:eastAsia="Times New Roman" w:hAnsi="Times New Roman" w:cs="Times New Roman" w:hint="default"/>
        <w:color w:val="00000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AC55613"/>
    <w:multiLevelType w:val="hybridMultilevel"/>
    <w:tmpl w:val="C0D42D26"/>
    <w:styleLink w:val="Style3import"/>
    <w:lvl w:ilvl="0" w:tplc="922C141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63070D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3E6D2D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45E464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700E69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81A095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881E90D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3D6674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A6EE9C8">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DD31987"/>
    <w:multiLevelType w:val="hybridMultilevel"/>
    <w:tmpl w:val="24C26BDE"/>
    <w:lvl w:ilvl="0" w:tplc="6C60FF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966CAD"/>
    <w:multiLevelType w:val="hybridMultilevel"/>
    <w:tmpl w:val="49C680B4"/>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8" w15:restartNumberingAfterBreak="0">
    <w:nsid w:val="727A004F"/>
    <w:multiLevelType w:val="hybridMultilevel"/>
    <w:tmpl w:val="0AF4ABA2"/>
    <w:styleLink w:val="Style8import"/>
    <w:lvl w:ilvl="0" w:tplc="DBC21B9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A8EB2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6A39DA">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C83A0CE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56263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CE7C48">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53D44E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A9C6C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C6D690">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738779A"/>
    <w:multiLevelType w:val="multilevel"/>
    <w:tmpl w:val="77EC1FB2"/>
    <w:styleLink w:val="headings"/>
    <w:lvl w:ilvl="0">
      <w:start w:val="1"/>
      <w:numFmt w:val="decimal"/>
      <w:pStyle w:val="heading10"/>
      <w:lvlText w:val="%1"/>
      <w:lvlJc w:val="left"/>
      <w:pPr>
        <w:tabs>
          <w:tab w:val="num" w:pos="567"/>
        </w:tabs>
        <w:ind w:left="567" w:hanging="567"/>
      </w:pPr>
      <w:rPr>
        <w:rFonts w:hint="default"/>
      </w:rPr>
    </w:lvl>
    <w:lvl w:ilvl="1">
      <w:start w:val="1"/>
      <w:numFmt w:val="decimal"/>
      <w:pStyle w:val="heading20"/>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7F95F32"/>
    <w:multiLevelType w:val="hybridMultilevel"/>
    <w:tmpl w:val="3C4A67BC"/>
    <w:lvl w:ilvl="0" w:tplc="08070015">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2"/>
  </w:num>
  <w:num w:numId="2">
    <w:abstractNumId w:val="17"/>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26"/>
  </w:num>
  <w:num w:numId="14">
    <w:abstractNumId w:val="24"/>
  </w:num>
  <w:num w:numId="15">
    <w:abstractNumId w:val="15"/>
  </w:num>
  <w:num w:numId="16">
    <w:abstractNumId w:val="27"/>
  </w:num>
  <w:num w:numId="17">
    <w:abstractNumId w:val="13"/>
  </w:num>
  <w:num w:numId="18">
    <w:abstractNumId w:val="29"/>
  </w:num>
  <w:num w:numId="19">
    <w:abstractNumId w:val="30"/>
  </w:num>
  <w:num w:numId="20">
    <w:abstractNumId w:val="14"/>
  </w:num>
  <w:num w:numId="21">
    <w:abstractNumId w:val="19"/>
  </w:num>
  <w:num w:numId="22">
    <w:abstractNumId w:val="18"/>
  </w:num>
  <w:num w:numId="23">
    <w:abstractNumId w:val="22"/>
  </w:num>
  <w:num w:numId="24">
    <w:abstractNumId w:val="20"/>
  </w:num>
  <w:num w:numId="25">
    <w:abstractNumId w:val="21"/>
  </w:num>
  <w:num w:numId="26">
    <w:abstractNumId w:val="10"/>
  </w:num>
  <w:num w:numId="27">
    <w:abstractNumId w:val="11"/>
  </w:num>
  <w:num w:numId="28">
    <w:abstractNumId w:val="28"/>
  </w:num>
  <w:num w:numId="29">
    <w:abstractNumId w:val="16"/>
  </w:num>
  <w:num w:numId="30">
    <w:abstractNumId w:val="25"/>
  </w:num>
  <w:num w:numId="31">
    <w:abstractNumId w:val="23"/>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4D4"/>
    <w:rsid w:val="00000ED8"/>
    <w:rsid w:val="00001601"/>
    <w:rsid w:val="00002467"/>
    <w:rsid w:val="00002574"/>
    <w:rsid w:val="00002BEB"/>
    <w:rsid w:val="00003D3E"/>
    <w:rsid w:val="00005360"/>
    <w:rsid w:val="000053C7"/>
    <w:rsid w:val="00005C1B"/>
    <w:rsid w:val="0000605B"/>
    <w:rsid w:val="00006062"/>
    <w:rsid w:val="00006337"/>
    <w:rsid w:val="000067F0"/>
    <w:rsid w:val="00006873"/>
    <w:rsid w:val="00006DDB"/>
    <w:rsid w:val="000077CE"/>
    <w:rsid w:val="00007DC9"/>
    <w:rsid w:val="00010223"/>
    <w:rsid w:val="0001096C"/>
    <w:rsid w:val="000109F2"/>
    <w:rsid w:val="00011020"/>
    <w:rsid w:val="000110FA"/>
    <w:rsid w:val="00011326"/>
    <w:rsid w:val="00011734"/>
    <w:rsid w:val="00011C6C"/>
    <w:rsid w:val="00011DDC"/>
    <w:rsid w:val="0001218C"/>
    <w:rsid w:val="00012515"/>
    <w:rsid w:val="00013116"/>
    <w:rsid w:val="00013CBF"/>
    <w:rsid w:val="00014050"/>
    <w:rsid w:val="000148DA"/>
    <w:rsid w:val="00014DD3"/>
    <w:rsid w:val="000156B9"/>
    <w:rsid w:val="00016212"/>
    <w:rsid w:val="00016502"/>
    <w:rsid w:val="000175B1"/>
    <w:rsid w:val="000175FB"/>
    <w:rsid w:val="00020564"/>
    <w:rsid w:val="000212A7"/>
    <w:rsid w:val="000212C8"/>
    <w:rsid w:val="00021C8E"/>
    <w:rsid w:val="00022B03"/>
    <w:rsid w:val="00022E37"/>
    <w:rsid w:val="0002380D"/>
    <w:rsid w:val="00023BA2"/>
    <w:rsid w:val="00024018"/>
    <w:rsid w:val="000248CA"/>
    <w:rsid w:val="00024946"/>
    <w:rsid w:val="00024E68"/>
    <w:rsid w:val="000251C4"/>
    <w:rsid w:val="0002527E"/>
    <w:rsid w:val="000265BD"/>
    <w:rsid w:val="00026B3F"/>
    <w:rsid w:val="00026EC7"/>
    <w:rsid w:val="0002758D"/>
    <w:rsid w:val="00027FD7"/>
    <w:rsid w:val="00030C44"/>
    <w:rsid w:val="00030D5D"/>
    <w:rsid w:val="00031191"/>
    <w:rsid w:val="00031227"/>
    <w:rsid w:val="000319B3"/>
    <w:rsid w:val="00031A16"/>
    <w:rsid w:val="000321FE"/>
    <w:rsid w:val="000327B4"/>
    <w:rsid w:val="000339A8"/>
    <w:rsid w:val="0003425E"/>
    <w:rsid w:val="000350E1"/>
    <w:rsid w:val="00035304"/>
    <w:rsid w:val="00035461"/>
    <w:rsid w:val="00035B29"/>
    <w:rsid w:val="000368B0"/>
    <w:rsid w:val="00037A00"/>
    <w:rsid w:val="00037FC1"/>
    <w:rsid w:val="000400DA"/>
    <w:rsid w:val="00040230"/>
    <w:rsid w:val="00040373"/>
    <w:rsid w:val="000403AA"/>
    <w:rsid w:val="00040503"/>
    <w:rsid w:val="00040F84"/>
    <w:rsid w:val="00041656"/>
    <w:rsid w:val="000416EB"/>
    <w:rsid w:val="000425E2"/>
    <w:rsid w:val="000430A6"/>
    <w:rsid w:val="000441B5"/>
    <w:rsid w:val="00044570"/>
    <w:rsid w:val="00044B28"/>
    <w:rsid w:val="00044F0F"/>
    <w:rsid w:val="00045040"/>
    <w:rsid w:val="00045DC4"/>
    <w:rsid w:val="0004615A"/>
    <w:rsid w:val="00046C78"/>
    <w:rsid w:val="00047D4C"/>
    <w:rsid w:val="00047D93"/>
    <w:rsid w:val="00050211"/>
    <w:rsid w:val="00050723"/>
    <w:rsid w:val="00050A48"/>
    <w:rsid w:val="0005119F"/>
    <w:rsid w:val="00051F3D"/>
    <w:rsid w:val="00053AE9"/>
    <w:rsid w:val="00053D32"/>
    <w:rsid w:val="00054779"/>
    <w:rsid w:val="00055132"/>
    <w:rsid w:val="00056220"/>
    <w:rsid w:val="00056DD1"/>
    <w:rsid w:val="00057637"/>
    <w:rsid w:val="00057645"/>
    <w:rsid w:val="00057DD1"/>
    <w:rsid w:val="00060504"/>
    <w:rsid w:val="00060CE7"/>
    <w:rsid w:val="00062815"/>
    <w:rsid w:val="0006287B"/>
    <w:rsid w:val="00064350"/>
    <w:rsid w:val="00064531"/>
    <w:rsid w:val="000652CF"/>
    <w:rsid w:val="0006538E"/>
    <w:rsid w:val="000656D1"/>
    <w:rsid w:val="000657DA"/>
    <w:rsid w:val="00065FA6"/>
    <w:rsid w:val="00065FC2"/>
    <w:rsid w:val="0006684A"/>
    <w:rsid w:val="0006695D"/>
    <w:rsid w:val="00066AA8"/>
    <w:rsid w:val="00066CE1"/>
    <w:rsid w:val="0006703A"/>
    <w:rsid w:val="00070FEE"/>
    <w:rsid w:val="0007128B"/>
    <w:rsid w:val="000724CB"/>
    <w:rsid w:val="000729DF"/>
    <w:rsid w:val="00072A4C"/>
    <w:rsid w:val="00072C1B"/>
    <w:rsid w:val="00072DC1"/>
    <w:rsid w:val="0007310F"/>
    <w:rsid w:val="00073B5B"/>
    <w:rsid w:val="00073D3C"/>
    <w:rsid w:val="0007441A"/>
    <w:rsid w:val="00074872"/>
    <w:rsid w:val="00074BD2"/>
    <w:rsid w:val="000757E2"/>
    <w:rsid w:val="00075E89"/>
    <w:rsid w:val="0007639E"/>
    <w:rsid w:val="00076622"/>
    <w:rsid w:val="0007677C"/>
    <w:rsid w:val="00076C91"/>
    <w:rsid w:val="00076FB1"/>
    <w:rsid w:val="000776C9"/>
    <w:rsid w:val="000777D6"/>
    <w:rsid w:val="00077973"/>
    <w:rsid w:val="00077E6A"/>
    <w:rsid w:val="00077FF7"/>
    <w:rsid w:val="0008040C"/>
    <w:rsid w:val="000810A2"/>
    <w:rsid w:val="000817E0"/>
    <w:rsid w:val="00082068"/>
    <w:rsid w:val="0008219E"/>
    <w:rsid w:val="00082414"/>
    <w:rsid w:val="000827C1"/>
    <w:rsid w:val="000828C6"/>
    <w:rsid w:val="00083370"/>
    <w:rsid w:val="00083511"/>
    <w:rsid w:val="000839A7"/>
    <w:rsid w:val="000839DB"/>
    <w:rsid w:val="00083CA4"/>
    <w:rsid w:val="00083CE3"/>
    <w:rsid w:val="0008413F"/>
    <w:rsid w:val="0008430D"/>
    <w:rsid w:val="00084C4B"/>
    <w:rsid w:val="00084D6A"/>
    <w:rsid w:val="00084E39"/>
    <w:rsid w:val="00085472"/>
    <w:rsid w:val="000859E8"/>
    <w:rsid w:val="00085D74"/>
    <w:rsid w:val="00086CF6"/>
    <w:rsid w:val="00086E35"/>
    <w:rsid w:val="00086FAC"/>
    <w:rsid w:val="0008740A"/>
    <w:rsid w:val="00087484"/>
    <w:rsid w:val="00087495"/>
    <w:rsid w:val="0008766B"/>
    <w:rsid w:val="00090881"/>
    <w:rsid w:val="00090D38"/>
    <w:rsid w:val="000911FF"/>
    <w:rsid w:val="00091F65"/>
    <w:rsid w:val="00092BA2"/>
    <w:rsid w:val="00092BE0"/>
    <w:rsid w:val="00092DCC"/>
    <w:rsid w:val="000933BA"/>
    <w:rsid w:val="00093C84"/>
    <w:rsid w:val="00094596"/>
    <w:rsid w:val="00094B3D"/>
    <w:rsid w:val="00094D46"/>
    <w:rsid w:val="00094F51"/>
    <w:rsid w:val="0009517A"/>
    <w:rsid w:val="00095503"/>
    <w:rsid w:val="0009563F"/>
    <w:rsid w:val="00095D2E"/>
    <w:rsid w:val="00096438"/>
    <w:rsid w:val="000964D2"/>
    <w:rsid w:val="000965F2"/>
    <w:rsid w:val="00096966"/>
    <w:rsid w:val="00097375"/>
    <w:rsid w:val="00097874"/>
    <w:rsid w:val="000A01CE"/>
    <w:rsid w:val="000A06F5"/>
    <w:rsid w:val="000A090B"/>
    <w:rsid w:val="000A09A9"/>
    <w:rsid w:val="000A0D74"/>
    <w:rsid w:val="000A0DFB"/>
    <w:rsid w:val="000A0E1D"/>
    <w:rsid w:val="000A0EA3"/>
    <w:rsid w:val="000A11B5"/>
    <w:rsid w:val="000A1266"/>
    <w:rsid w:val="000A1D47"/>
    <w:rsid w:val="000A24D2"/>
    <w:rsid w:val="000A3594"/>
    <w:rsid w:val="000A4451"/>
    <w:rsid w:val="000A524D"/>
    <w:rsid w:val="000A5360"/>
    <w:rsid w:val="000A5EB9"/>
    <w:rsid w:val="000A6404"/>
    <w:rsid w:val="000A6592"/>
    <w:rsid w:val="000A67CF"/>
    <w:rsid w:val="000A6F45"/>
    <w:rsid w:val="000A765B"/>
    <w:rsid w:val="000B14AF"/>
    <w:rsid w:val="000B2497"/>
    <w:rsid w:val="000B2D43"/>
    <w:rsid w:val="000B2D76"/>
    <w:rsid w:val="000B493F"/>
    <w:rsid w:val="000B4B16"/>
    <w:rsid w:val="000B51F0"/>
    <w:rsid w:val="000B5319"/>
    <w:rsid w:val="000B5F78"/>
    <w:rsid w:val="000B688C"/>
    <w:rsid w:val="000B6A0C"/>
    <w:rsid w:val="000B6CDD"/>
    <w:rsid w:val="000B7310"/>
    <w:rsid w:val="000B73FD"/>
    <w:rsid w:val="000C00D9"/>
    <w:rsid w:val="000C0203"/>
    <w:rsid w:val="000C06F1"/>
    <w:rsid w:val="000C0792"/>
    <w:rsid w:val="000C0B5A"/>
    <w:rsid w:val="000C0EBC"/>
    <w:rsid w:val="000C216C"/>
    <w:rsid w:val="000C2A3C"/>
    <w:rsid w:val="000C3B12"/>
    <w:rsid w:val="000C3E81"/>
    <w:rsid w:val="000C3FAD"/>
    <w:rsid w:val="000C450D"/>
    <w:rsid w:val="000C4FE8"/>
    <w:rsid w:val="000C5003"/>
    <w:rsid w:val="000C5163"/>
    <w:rsid w:val="000C574E"/>
    <w:rsid w:val="000C5830"/>
    <w:rsid w:val="000C6535"/>
    <w:rsid w:val="000C6586"/>
    <w:rsid w:val="000C6E0C"/>
    <w:rsid w:val="000C6E3E"/>
    <w:rsid w:val="000C746A"/>
    <w:rsid w:val="000C78A9"/>
    <w:rsid w:val="000C791A"/>
    <w:rsid w:val="000C7999"/>
    <w:rsid w:val="000C79D7"/>
    <w:rsid w:val="000C7DDA"/>
    <w:rsid w:val="000D0156"/>
    <w:rsid w:val="000D1242"/>
    <w:rsid w:val="000D1450"/>
    <w:rsid w:val="000D19CD"/>
    <w:rsid w:val="000D2AF8"/>
    <w:rsid w:val="000D2D37"/>
    <w:rsid w:val="000D364D"/>
    <w:rsid w:val="000D36F7"/>
    <w:rsid w:val="000D3BDD"/>
    <w:rsid w:val="000D481B"/>
    <w:rsid w:val="000D50E0"/>
    <w:rsid w:val="000D5379"/>
    <w:rsid w:val="000D5CA4"/>
    <w:rsid w:val="000D70A7"/>
    <w:rsid w:val="000D727C"/>
    <w:rsid w:val="000D7A2B"/>
    <w:rsid w:val="000D7BE3"/>
    <w:rsid w:val="000D7D04"/>
    <w:rsid w:val="000D7D7F"/>
    <w:rsid w:val="000E08F4"/>
    <w:rsid w:val="000E0B2C"/>
    <w:rsid w:val="000E11E8"/>
    <w:rsid w:val="000E135B"/>
    <w:rsid w:val="000E2678"/>
    <w:rsid w:val="000E26D0"/>
    <w:rsid w:val="000E2B54"/>
    <w:rsid w:val="000E2F7A"/>
    <w:rsid w:val="000E3B04"/>
    <w:rsid w:val="000E3F1D"/>
    <w:rsid w:val="000E3F5B"/>
    <w:rsid w:val="000E44D3"/>
    <w:rsid w:val="000E4971"/>
    <w:rsid w:val="000E4ACE"/>
    <w:rsid w:val="000E4CA5"/>
    <w:rsid w:val="000E4EC4"/>
    <w:rsid w:val="000E77A7"/>
    <w:rsid w:val="000E7F70"/>
    <w:rsid w:val="000F0C21"/>
    <w:rsid w:val="000F0C5A"/>
    <w:rsid w:val="000F1D6D"/>
    <w:rsid w:val="000F23AF"/>
    <w:rsid w:val="000F27E9"/>
    <w:rsid w:val="000F29DC"/>
    <w:rsid w:val="000F2B79"/>
    <w:rsid w:val="000F35C3"/>
    <w:rsid w:val="000F3711"/>
    <w:rsid w:val="000F3897"/>
    <w:rsid w:val="000F438E"/>
    <w:rsid w:val="000F4833"/>
    <w:rsid w:val="000F4C97"/>
    <w:rsid w:val="000F5BE7"/>
    <w:rsid w:val="000F611A"/>
    <w:rsid w:val="000F65BF"/>
    <w:rsid w:val="000F797A"/>
    <w:rsid w:val="000F7A3B"/>
    <w:rsid w:val="00100C49"/>
    <w:rsid w:val="00100F06"/>
    <w:rsid w:val="00101ACF"/>
    <w:rsid w:val="0010281D"/>
    <w:rsid w:val="00102949"/>
    <w:rsid w:val="00102B59"/>
    <w:rsid w:val="001042B6"/>
    <w:rsid w:val="0010438D"/>
    <w:rsid w:val="00105194"/>
    <w:rsid w:val="00105F3D"/>
    <w:rsid w:val="0010646C"/>
    <w:rsid w:val="0010676D"/>
    <w:rsid w:val="001078B9"/>
    <w:rsid w:val="001113C5"/>
    <w:rsid w:val="001128B2"/>
    <w:rsid w:val="00112F09"/>
    <w:rsid w:val="00113982"/>
    <w:rsid w:val="0011398F"/>
    <w:rsid w:val="00113A44"/>
    <w:rsid w:val="00113F14"/>
    <w:rsid w:val="00114246"/>
    <w:rsid w:val="00114AAF"/>
    <w:rsid w:val="00114BE5"/>
    <w:rsid w:val="001158A5"/>
    <w:rsid w:val="00115DBD"/>
    <w:rsid w:val="001168C2"/>
    <w:rsid w:val="00120025"/>
    <w:rsid w:val="0012032E"/>
    <w:rsid w:val="00120885"/>
    <w:rsid w:val="00121037"/>
    <w:rsid w:val="0012114A"/>
    <w:rsid w:val="00121A72"/>
    <w:rsid w:val="0012205D"/>
    <w:rsid w:val="001225D0"/>
    <w:rsid w:val="00122A1E"/>
    <w:rsid w:val="00123795"/>
    <w:rsid w:val="00123835"/>
    <w:rsid w:val="0012395C"/>
    <w:rsid w:val="00124721"/>
    <w:rsid w:val="0012558E"/>
    <w:rsid w:val="00125A4D"/>
    <w:rsid w:val="00125E78"/>
    <w:rsid w:val="00126083"/>
    <w:rsid w:val="001261BB"/>
    <w:rsid w:val="00127603"/>
    <w:rsid w:val="00127CFA"/>
    <w:rsid w:val="00127DAF"/>
    <w:rsid w:val="00130514"/>
    <w:rsid w:val="0013109F"/>
    <w:rsid w:val="00131605"/>
    <w:rsid w:val="00131D13"/>
    <w:rsid w:val="00131E82"/>
    <w:rsid w:val="00131F9A"/>
    <w:rsid w:val="00132A2F"/>
    <w:rsid w:val="00132BDE"/>
    <w:rsid w:val="00132DBF"/>
    <w:rsid w:val="001331EF"/>
    <w:rsid w:val="00133C02"/>
    <w:rsid w:val="0013436D"/>
    <w:rsid w:val="00134442"/>
    <w:rsid w:val="0013454C"/>
    <w:rsid w:val="001345DE"/>
    <w:rsid w:val="00134712"/>
    <w:rsid w:val="001354D1"/>
    <w:rsid w:val="0013561A"/>
    <w:rsid w:val="00135DF1"/>
    <w:rsid w:val="00135F93"/>
    <w:rsid w:val="00136B25"/>
    <w:rsid w:val="00136E72"/>
    <w:rsid w:val="001371E1"/>
    <w:rsid w:val="00137DC8"/>
    <w:rsid w:val="0014079F"/>
    <w:rsid w:val="00140948"/>
    <w:rsid w:val="00141C08"/>
    <w:rsid w:val="00141E7B"/>
    <w:rsid w:val="00142043"/>
    <w:rsid w:val="0014216C"/>
    <w:rsid w:val="00142BC0"/>
    <w:rsid w:val="00142F73"/>
    <w:rsid w:val="001434A1"/>
    <w:rsid w:val="00143B45"/>
    <w:rsid w:val="001441CF"/>
    <w:rsid w:val="001442D8"/>
    <w:rsid w:val="00144ADD"/>
    <w:rsid w:val="00144F54"/>
    <w:rsid w:val="001451E9"/>
    <w:rsid w:val="001452AB"/>
    <w:rsid w:val="001465BC"/>
    <w:rsid w:val="0014688F"/>
    <w:rsid w:val="00146CA9"/>
    <w:rsid w:val="00146D8F"/>
    <w:rsid w:val="0014749E"/>
    <w:rsid w:val="00150054"/>
    <w:rsid w:val="001501C9"/>
    <w:rsid w:val="00150C37"/>
    <w:rsid w:val="001517D5"/>
    <w:rsid w:val="00152982"/>
    <w:rsid w:val="001539B4"/>
    <w:rsid w:val="00155115"/>
    <w:rsid w:val="00155160"/>
    <w:rsid w:val="001552C5"/>
    <w:rsid w:val="001552F0"/>
    <w:rsid w:val="0015558F"/>
    <w:rsid w:val="001557A2"/>
    <w:rsid w:val="001557E6"/>
    <w:rsid w:val="0015590E"/>
    <w:rsid w:val="0015596C"/>
    <w:rsid w:val="00156963"/>
    <w:rsid w:val="00156B92"/>
    <w:rsid w:val="00156C7B"/>
    <w:rsid w:val="00156DA5"/>
    <w:rsid w:val="00157A41"/>
    <w:rsid w:val="00157BB7"/>
    <w:rsid w:val="0016037F"/>
    <w:rsid w:val="0016184E"/>
    <w:rsid w:val="001619A0"/>
    <w:rsid w:val="00161CB3"/>
    <w:rsid w:val="00162090"/>
    <w:rsid w:val="00162683"/>
    <w:rsid w:val="00162857"/>
    <w:rsid w:val="00162951"/>
    <w:rsid w:val="00162AF1"/>
    <w:rsid w:val="00164200"/>
    <w:rsid w:val="00164E5E"/>
    <w:rsid w:val="00165700"/>
    <w:rsid w:val="001662C6"/>
    <w:rsid w:val="001664FB"/>
    <w:rsid w:val="0016651D"/>
    <w:rsid w:val="00166AC5"/>
    <w:rsid w:val="001674E4"/>
    <w:rsid w:val="00167737"/>
    <w:rsid w:val="00167D56"/>
    <w:rsid w:val="00167FDF"/>
    <w:rsid w:val="001717B7"/>
    <w:rsid w:val="00171CA8"/>
    <w:rsid w:val="00171EDB"/>
    <w:rsid w:val="0017269B"/>
    <w:rsid w:val="001726C9"/>
    <w:rsid w:val="001729A7"/>
    <w:rsid w:val="001730BA"/>
    <w:rsid w:val="001743AA"/>
    <w:rsid w:val="001745D1"/>
    <w:rsid w:val="00174753"/>
    <w:rsid w:val="00174A3C"/>
    <w:rsid w:val="00174B04"/>
    <w:rsid w:val="0017522A"/>
    <w:rsid w:val="0017542B"/>
    <w:rsid w:val="001755E0"/>
    <w:rsid w:val="00175A2B"/>
    <w:rsid w:val="001765FF"/>
    <w:rsid w:val="0017671A"/>
    <w:rsid w:val="00176B7C"/>
    <w:rsid w:val="00176C05"/>
    <w:rsid w:val="00176D67"/>
    <w:rsid w:val="00177183"/>
    <w:rsid w:val="00177D3A"/>
    <w:rsid w:val="00180C10"/>
    <w:rsid w:val="00180F01"/>
    <w:rsid w:val="00182390"/>
    <w:rsid w:val="0018289C"/>
    <w:rsid w:val="00182C91"/>
    <w:rsid w:val="00182DC7"/>
    <w:rsid w:val="00182FAF"/>
    <w:rsid w:val="00183644"/>
    <w:rsid w:val="00183691"/>
    <w:rsid w:val="001838F2"/>
    <w:rsid w:val="00183F3B"/>
    <w:rsid w:val="0018401E"/>
    <w:rsid w:val="00185540"/>
    <w:rsid w:val="00186077"/>
    <w:rsid w:val="0018623E"/>
    <w:rsid w:val="00186594"/>
    <w:rsid w:val="00186EAC"/>
    <w:rsid w:val="001870A2"/>
    <w:rsid w:val="001871FD"/>
    <w:rsid w:val="001875AC"/>
    <w:rsid w:val="001878D5"/>
    <w:rsid w:val="001878E6"/>
    <w:rsid w:val="00190292"/>
    <w:rsid w:val="001902E9"/>
    <w:rsid w:val="00191294"/>
    <w:rsid w:val="00191371"/>
    <w:rsid w:val="001915E1"/>
    <w:rsid w:val="0019215E"/>
    <w:rsid w:val="001923F0"/>
    <w:rsid w:val="00192C6B"/>
    <w:rsid w:val="0019356F"/>
    <w:rsid w:val="001942F4"/>
    <w:rsid w:val="001945AB"/>
    <w:rsid w:val="001945D7"/>
    <w:rsid w:val="0019465E"/>
    <w:rsid w:val="00194C87"/>
    <w:rsid w:val="001952FC"/>
    <w:rsid w:val="001958D8"/>
    <w:rsid w:val="00195971"/>
    <w:rsid w:val="001961F8"/>
    <w:rsid w:val="001964B6"/>
    <w:rsid w:val="001964D4"/>
    <w:rsid w:val="0019670F"/>
    <w:rsid w:val="00196A6C"/>
    <w:rsid w:val="0019709C"/>
    <w:rsid w:val="001973F2"/>
    <w:rsid w:val="001974F1"/>
    <w:rsid w:val="00197722"/>
    <w:rsid w:val="0019796A"/>
    <w:rsid w:val="001A0320"/>
    <w:rsid w:val="001A0F88"/>
    <w:rsid w:val="001A1168"/>
    <w:rsid w:val="001A19BD"/>
    <w:rsid w:val="001A1A08"/>
    <w:rsid w:val="001A1BD3"/>
    <w:rsid w:val="001A1E8B"/>
    <w:rsid w:val="001A2021"/>
    <w:rsid w:val="001A2081"/>
    <w:rsid w:val="001A20DF"/>
    <w:rsid w:val="001A2D31"/>
    <w:rsid w:val="001A3184"/>
    <w:rsid w:val="001A3F1D"/>
    <w:rsid w:val="001A42C8"/>
    <w:rsid w:val="001A4D16"/>
    <w:rsid w:val="001A4D7B"/>
    <w:rsid w:val="001A4E1B"/>
    <w:rsid w:val="001A53B7"/>
    <w:rsid w:val="001A5447"/>
    <w:rsid w:val="001A5B4E"/>
    <w:rsid w:val="001A69A2"/>
    <w:rsid w:val="001A6D39"/>
    <w:rsid w:val="001A6F4E"/>
    <w:rsid w:val="001A70A1"/>
    <w:rsid w:val="001A795F"/>
    <w:rsid w:val="001B00F0"/>
    <w:rsid w:val="001B0253"/>
    <w:rsid w:val="001B0BFA"/>
    <w:rsid w:val="001B0C9F"/>
    <w:rsid w:val="001B0EAB"/>
    <w:rsid w:val="001B0F37"/>
    <w:rsid w:val="001B0F3A"/>
    <w:rsid w:val="001B0FC0"/>
    <w:rsid w:val="001B1869"/>
    <w:rsid w:val="001B1D5B"/>
    <w:rsid w:val="001B2264"/>
    <w:rsid w:val="001B25D8"/>
    <w:rsid w:val="001B25FD"/>
    <w:rsid w:val="001B2B18"/>
    <w:rsid w:val="001B325A"/>
    <w:rsid w:val="001B325D"/>
    <w:rsid w:val="001B3435"/>
    <w:rsid w:val="001B35B7"/>
    <w:rsid w:val="001B36BD"/>
    <w:rsid w:val="001B394B"/>
    <w:rsid w:val="001B3CB7"/>
    <w:rsid w:val="001B4257"/>
    <w:rsid w:val="001B4822"/>
    <w:rsid w:val="001B4A9A"/>
    <w:rsid w:val="001B4F18"/>
    <w:rsid w:val="001B4F73"/>
    <w:rsid w:val="001B58C0"/>
    <w:rsid w:val="001B5BC2"/>
    <w:rsid w:val="001B6187"/>
    <w:rsid w:val="001B645D"/>
    <w:rsid w:val="001B687A"/>
    <w:rsid w:val="001B6C9A"/>
    <w:rsid w:val="001B77F1"/>
    <w:rsid w:val="001B7A9B"/>
    <w:rsid w:val="001B7C38"/>
    <w:rsid w:val="001B7F85"/>
    <w:rsid w:val="001C06F4"/>
    <w:rsid w:val="001C07A9"/>
    <w:rsid w:val="001C08C9"/>
    <w:rsid w:val="001C1D4E"/>
    <w:rsid w:val="001C24E4"/>
    <w:rsid w:val="001C2804"/>
    <w:rsid w:val="001C2F88"/>
    <w:rsid w:val="001C46A8"/>
    <w:rsid w:val="001C47CB"/>
    <w:rsid w:val="001C4C74"/>
    <w:rsid w:val="001C4CA3"/>
    <w:rsid w:val="001C51E1"/>
    <w:rsid w:val="001C562B"/>
    <w:rsid w:val="001C5752"/>
    <w:rsid w:val="001C6D9B"/>
    <w:rsid w:val="001C6FE5"/>
    <w:rsid w:val="001C7200"/>
    <w:rsid w:val="001D03AC"/>
    <w:rsid w:val="001D0C0A"/>
    <w:rsid w:val="001D19F7"/>
    <w:rsid w:val="001D1B6B"/>
    <w:rsid w:val="001D1BAF"/>
    <w:rsid w:val="001D278D"/>
    <w:rsid w:val="001D29ED"/>
    <w:rsid w:val="001D2CD0"/>
    <w:rsid w:val="001D366E"/>
    <w:rsid w:val="001D3C8F"/>
    <w:rsid w:val="001D44F5"/>
    <w:rsid w:val="001D50B8"/>
    <w:rsid w:val="001D5355"/>
    <w:rsid w:val="001D58B2"/>
    <w:rsid w:val="001D5D6A"/>
    <w:rsid w:val="001D617D"/>
    <w:rsid w:val="001D6959"/>
    <w:rsid w:val="001E0644"/>
    <w:rsid w:val="001E1161"/>
    <w:rsid w:val="001E141B"/>
    <w:rsid w:val="001E1561"/>
    <w:rsid w:val="001E19CD"/>
    <w:rsid w:val="001E1A22"/>
    <w:rsid w:val="001E1B8A"/>
    <w:rsid w:val="001E1C3C"/>
    <w:rsid w:val="001E1DF6"/>
    <w:rsid w:val="001E217B"/>
    <w:rsid w:val="001E2A40"/>
    <w:rsid w:val="001E38BE"/>
    <w:rsid w:val="001E42B1"/>
    <w:rsid w:val="001E432C"/>
    <w:rsid w:val="001E50FA"/>
    <w:rsid w:val="001E51E8"/>
    <w:rsid w:val="001E5223"/>
    <w:rsid w:val="001E55F9"/>
    <w:rsid w:val="001E569A"/>
    <w:rsid w:val="001E5839"/>
    <w:rsid w:val="001E58E1"/>
    <w:rsid w:val="001E5CBB"/>
    <w:rsid w:val="001E5F90"/>
    <w:rsid w:val="001E69C1"/>
    <w:rsid w:val="001E6CBB"/>
    <w:rsid w:val="001E6DF0"/>
    <w:rsid w:val="001E6F42"/>
    <w:rsid w:val="001E7357"/>
    <w:rsid w:val="001E76C2"/>
    <w:rsid w:val="001E7C4E"/>
    <w:rsid w:val="001E7FEC"/>
    <w:rsid w:val="001F0275"/>
    <w:rsid w:val="001F0F74"/>
    <w:rsid w:val="001F1BB4"/>
    <w:rsid w:val="001F1CCB"/>
    <w:rsid w:val="001F1D0A"/>
    <w:rsid w:val="001F2212"/>
    <w:rsid w:val="001F28C6"/>
    <w:rsid w:val="001F2E8D"/>
    <w:rsid w:val="001F2EB1"/>
    <w:rsid w:val="001F34E4"/>
    <w:rsid w:val="001F393C"/>
    <w:rsid w:val="001F3F86"/>
    <w:rsid w:val="001F462E"/>
    <w:rsid w:val="001F5585"/>
    <w:rsid w:val="001F5682"/>
    <w:rsid w:val="001F5689"/>
    <w:rsid w:val="001F5D76"/>
    <w:rsid w:val="001F649F"/>
    <w:rsid w:val="001F69FA"/>
    <w:rsid w:val="001F7C29"/>
    <w:rsid w:val="001F7CAA"/>
    <w:rsid w:val="00200003"/>
    <w:rsid w:val="00200444"/>
    <w:rsid w:val="00200665"/>
    <w:rsid w:val="00200761"/>
    <w:rsid w:val="00200C8D"/>
    <w:rsid w:val="00200D50"/>
    <w:rsid w:val="002010A8"/>
    <w:rsid w:val="002016FD"/>
    <w:rsid w:val="0020230E"/>
    <w:rsid w:val="00202C2D"/>
    <w:rsid w:val="0020336D"/>
    <w:rsid w:val="0020337F"/>
    <w:rsid w:val="00203683"/>
    <w:rsid w:val="002047BB"/>
    <w:rsid w:val="00204AB2"/>
    <w:rsid w:val="00204D38"/>
    <w:rsid w:val="00204D6C"/>
    <w:rsid w:val="002059BD"/>
    <w:rsid w:val="00206037"/>
    <w:rsid w:val="00206ACC"/>
    <w:rsid w:val="00207F72"/>
    <w:rsid w:val="002103FF"/>
    <w:rsid w:val="002107C6"/>
    <w:rsid w:val="00212D0A"/>
    <w:rsid w:val="00213173"/>
    <w:rsid w:val="0021345D"/>
    <w:rsid w:val="00213A32"/>
    <w:rsid w:val="00213C3C"/>
    <w:rsid w:val="00213CB7"/>
    <w:rsid w:val="00214478"/>
    <w:rsid w:val="00214BBB"/>
    <w:rsid w:val="00214E97"/>
    <w:rsid w:val="00214EDB"/>
    <w:rsid w:val="0021511C"/>
    <w:rsid w:val="00215153"/>
    <w:rsid w:val="0021561B"/>
    <w:rsid w:val="0021590F"/>
    <w:rsid w:val="00216526"/>
    <w:rsid w:val="00216813"/>
    <w:rsid w:val="00216C42"/>
    <w:rsid w:val="00216F7A"/>
    <w:rsid w:val="00216FD2"/>
    <w:rsid w:val="00217937"/>
    <w:rsid w:val="00217996"/>
    <w:rsid w:val="00220358"/>
    <w:rsid w:val="00220424"/>
    <w:rsid w:val="00221B30"/>
    <w:rsid w:val="002222FA"/>
    <w:rsid w:val="00222849"/>
    <w:rsid w:val="00223054"/>
    <w:rsid w:val="00223E3E"/>
    <w:rsid w:val="00224211"/>
    <w:rsid w:val="002243C1"/>
    <w:rsid w:val="00224879"/>
    <w:rsid w:val="00224D03"/>
    <w:rsid w:val="0022501F"/>
    <w:rsid w:val="00225406"/>
    <w:rsid w:val="00225B83"/>
    <w:rsid w:val="0022746E"/>
    <w:rsid w:val="00227505"/>
    <w:rsid w:val="002307DA"/>
    <w:rsid w:val="002319B1"/>
    <w:rsid w:val="00231C22"/>
    <w:rsid w:val="002320D9"/>
    <w:rsid w:val="002330FB"/>
    <w:rsid w:val="002333C2"/>
    <w:rsid w:val="002336A6"/>
    <w:rsid w:val="002340BE"/>
    <w:rsid w:val="00234EC1"/>
    <w:rsid w:val="00235225"/>
    <w:rsid w:val="00235422"/>
    <w:rsid w:val="00235E4B"/>
    <w:rsid w:val="0023751A"/>
    <w:rsid w:val="002375B4"/>
    <w:rsid w:val="002377F7"/>
    <w:rsid w:val="0023793A"/>
    <w:rsid w:val="00237A19"/>
    <w:rsid w:val="00237A36"/>
    <w:rsid w:val="00237B98"/>
    <w:rsid w:val="0024069B"/>
    <w:rsid w:val="00240C8A"/>
    <w:rsid w:val="00240F30"/>
    <w:rsid w:val="00241379"/>
    <w:rsid w:val="00241AF2"/>
    <w:rsid w:val="00241B97"/>
    <w:rsid w:val="00242D10"/>
    <w:rsid w:val="00243813"/>
    <w:rsid w:val="00243C5B"/>
    <w:rsid w:val="002442B7"/>
    <w:rsid w:val="002442F3"/>
    <w:rsid w:val="002447C9"/>
    <w:rsid w:val="00244A6C"/>
    <w:rsid w:val="00245041"/>
    <w:rsid w:val="002459CD"/>
    <w:rsid w:val="00245A95"/>
    <w:rsid w:val="00245CD8"/>
    <w:rsid w:val="00246446"/>
    <w:rsid w:val="002464D4"/>
    <w:rsid w:val="00246545"/>
    <w:rsid w:val="002469D2"/>
    <w:rsid w:val="00246E17"/>
    <w:rsid w:val="00247473"/>
    <w:rsid w:val="0024768D"/>
    <w:rsid w:val="00247BCF"/>
    <w:rsid w:val="00247C89"/>
    <w:rsid w:val="00247DF1"/>
    <w:rsid w:val="002500D8"/>
    <w:rsid w:val="002505BF"/>
    <w:rsid w:val="00250DBB"/>
    <w:rsid w:val="00251E1F"/>
    <w:rsid w:val="002524A1"/>
    <w:rsid w:val="002527CC"/>
    <w:rsid w:val="00252C3E"/>
    <w:rsid w:val="00253311"/>
    <w:rsid w:val="00253D4A"/>
    <w:rsid w:val="002544F7"/>
    <w:rsid w:val="00254E15"/>
    <w:rsid w:val="002551C2"/>
    <w:rsid w:val="002553D6"/>
    <w:rsid w:val="00255431"/>
    <w:rsid w:val="00255787"/>
    <w:rsid w:val="002558F7"/>
    <w:rsid w:val="00255987"/>
    <w:rsid w:val="0025599C"/>
    <w:rsid w:val="002559DE"/>
    <w:rsid w:val="00255C5A"/>
    <w:rsid w:val="00255CDE"/>
    <w:rsid w:val="0025734A"/>
    <w:rsid w:val="00257404"/>
    <w:rsid w:val="00257D8A"/>
    <w:rsid w:val="00257DE2"/>
    <w:rsid w:val="00257EFB"/>
    <w:rsid w:val="00260471"/>
    <w:rsid w:val="002613D7"/>
    <w:rsid w:val="00261A46"/>
    <w:rsid w:val="00261D6A"/>
    <w:rsid w:val="00261D71"/>
    <w:rsid w:val="00261DC4"/>
    <w:rsid w:val="002631E3"/>
    <w:rsid w:val="00263228"/>
    <w:rsid w:val="00263CED"/>
    <w:rsid w:val="00263F63"/>
    <w:rsid w:val="00263FF1"/>
    <w:rsid w:val="00264066"/>
    <w:rsid w:val="0026492B"/>
    <w:rsid w:val="00265323"/>
    <w:rsid w:val="002657E2"/>
    <w:rsid w:val="00265FCF"/>
    <w:rsid w:val="0026654A"/>
    <w:rsid w:val="0026657B"/>
    <w:rsid w:val="00266737"/>
    <w:rsid w:val="00267513"/>
    <w:rsid w:val="0027000F"/>
    <w:rsid w:val="002701EF"/>
    <w:rsid w:val="00270403"/>
    <w:rsid w:val="0027055E"/>
    <w:rsid w:val="00270CEF"/>
    <w:rsid w:val="00270D74"/>
    <w:rsid w:val="00270E68"/>
    <w:rsid w:val="0027190E"/>
    <w:rsid w:val="00271C90"/>
    <w:rsid w:val="002735B0"/>
    <w:rsid w:val="00273B3F"/>
    <w:rsid w:val="00273C95"/>
    <w:rsid w:val="00273F4F"/>
    <w:rsid w:val="00274041"/>
    <w:rsid w:val="00274DC6"/>
    <w:rsid w:val="0027521F"/>
    <w:rsid w:val="00275AFD"/>
    <w:rsid w:val="00276294"/>
    <w:rsid w:val="0027657F"/>
    <w:rsid w:val="0027670A"/>
    <w:rsid w:val="00276843"/>
    <w:rsid w:val="00276D82"/>
    <w:rsid w:val="00277477"/>
    <w:rsid w:val="00277532"/>
    <w:rsid w:val="002776BC"/>
    <w:rsid w:val="00277D3E"/>
    <w:rsid w:val="00281873"/>
    <w:rsid w:val="00281957"/>
    <w:rsid w:val="00281F47"/>
    <w:rsid w:val="0028293C"/>
    <w:rsid w:val="00282A5A"/>
    <w:rsid w:val="00282BA3"/>
    <w:rsid w:val="00283BE8"/>
    <w:rsid w:val="0028450A"/>
    <w:rsid w:val="0028470E"/>
    <w:rsid w:val="00284A51"/>
    <w:rsid w:val="00284C35"/>
    <w:rsid w:val="00284EDB"/>
    <w:rsid w:val="002850EE"/>
    <w:rsid w:val="0028528D"/>
    <w:rsid w:val="00285D76"/>
    <w:rsid w:val="0028607D"/>
    <w:rsid w:val="002860D3"/>
    <w:rsid w:val="00286796"/>
    <w:rsid w:val="00286B1A"/>
    <w:rsid w:val="00286B7C"/>
    <w:rsid w:val="00286E00"/>
    <w:rsid w:val="002872EE"/>
    <w:rsid w:val="002873AB"/>
    <w:rsid w:val="002876F0"/>
    <w:rsid w:val="002877F3"/>
    <w:rsid w:val="002878BB"/>
    <w:rsid w:val="00287946"/>
    <w:rsid w:val="00287C54"/>
    <w:rsid w:val="00287C7A"/>
    <w:rsid w:val="00287DDB"/>
    <w:rsid w:val="00290E57"/>
    <w:rsid w:val="00291113"/>
    <w:rsid w:val="00291F03"/>
    <w:rsid w:val="00292CB0"/>
    <w:rsid w:val="0029311B"/>
    <w:rsid w:val="00293493"/>
    <w:rsid w:val="002936EE"/>
    <w:rsid w:val="00293940"/>
    <w:rsid w:val="00293E1D"/>
    <w:rsid w:val="00294838"/>
    <w:rsid w:val="00294C64"/>
    <w:rsid w:val="00294CF9"/>
    <w:rsid w:val="0029509C"/>
    <w:rsid w:val="002957A0"/>
    <w:rsid w:val="00296575"/>
    <w:rsid w:val="002968C9"/>
    <w:rsid w:val="00296A6E"/>
    <w:rsid w:val="00296B4D"/>
    <w:rsid w:val="00297255"/>
    <w:rsid w:val="00297283"/>
    <w:rsid w:val="00297FA8"/>
    <w:rsid w:val="002A0C9C"/>
    <w:rsid w:val="002A0D6C"/>
    <w:rsid w:val="002A1585"/>
    <w:rsid w:val="002A1EBE"/>
    <w:rsid w:val="002A21C4"/>
    <w:rsid w:val="002A2269"/>
    <w:rsid w:val="002A2307"/>
    <w:rsid w:val="002A2838"/>
    <w:rsid w:val="002A2C32"/>
    <w:rsid w:val="002A2DF1"/>
    <w:rsid w:val="002A2ED1"/>
    <w:rsid w:val="002A2FB3"/>
    <w:rsid w:val="002A3236"/>
    <w:rsid w:val="002A38F6"/>
    <w:rsid w:val="002A39C7"/>
    <w:rsid w:val="002A48CB"/>
    <w:rsid w:val="002A4A3A"/>
    <w:rsid w:val="002A53BA"/>
    <w:rsid w:val="002A5D2E"/>
    <w:rsid w:val="002A62A5"/>
    <w:rsid w:val="002A630F"/>
    <w:rsid w:val="002A6DBE"/>
    <w:rsid w:val="002A7547"/>
    <w:rsid w:val="002A7A85"/>
    <w:rsid w:val="002B018F"/>
    <w:rsid w:val="002B0273"/>
    <w:rsid w:val="002B0993"/>
    <w:rsid w:val="002B0C4A"/>
    <w:rsid w:val="002B0D19"/>
    <w:rsid w:val="002B0DCF"/>
    <w:rsid w:val="002B12D8"/>
    <w:rsid w:val="002B1BF0"/>
    <w:rsid w:val="002B1DAE"/>
    <w:rsid w:val="002B2468"/>
    <w:rsid w:val="002B2B0C"/>
    <w:rsid w:val="002B3E70"/>
    <w:rsid w:val="002B48C4"/>
    <w:rsid w:val="002B517D"/>
    <w:rsid w:val="002B66F9"/>
    <w:rsid w:val="002B6CAC"/>
    <w:rsid w:val="002B6D3B"/>
    <w:rsid w:val="002B7082"/>
    <w:rsid w:val="002B7448"/>
    <w:rsid w:val="002C0D64"/>
    <w:rsid w:val="002C138A"/>
    <w:rsid w:val="002C1786"/>
    <w:rsid w:val="002C194B"/>
    <w:rsid w:val="002C2752"/>
    <w:rsid w:val="002C2A0C"/>
    <w:rsid w:val="002C2A51"/>
    <w:rsid w:val="002C2AF6"/>
    <w:rsid w:val="002C2F47"/>
    <w:rsid w:val="002C31C6"/>
    <w:rsid w:val="002C3554"/>
    <w:rsid w:val="002C3A73"/>
    <w:rsid w:val="002C5DFE"/>
    <w:rsid w:val="002C6DC3"/>
    <w:rsid w:val="002C7920"/>
    <w:rsid w:val="002C7AA1"/>
    <w:rsid w:val="002D042E"/>
    <w:rsid w:val="002D06AC"/>
    <w:rsid w:val="002D07A0"/>
    <w:rsid w:val="002D21D5"/>
    <w:rsid w:val="002D2323"/>
    <w:rsid w:val="002D289E"/>
    <w:rsid w:val="002D2CFB"/>
    <w:rsid w:val="002D3361"/>
    <w:rsid w:val="002D3AD4"/>
    <w:rsid w:val="002D4477"/>
    <w:rsid w:val="002D4665"/>
    <w:rsid w:val="002D4D5E"/>
    <w:rsid w:val="002D5160"/>
    <w:rsid w:val="002D53DD"/>
    <w:rsid w:val="002D5569"/>
    <w:rsid w:val="002D6A40"/>
    <w:rsid w:val="002D7670"/>
    <w:rsid w:val="002E003E"/>
    <w:rsid w:val="002E0E15"/>
    <w:rsid w:val="002E1251"/>
    <w:rsid w:val="002E200C"/>
    <w:rsid w:val="002E2265"/>
    <w:rsid w:val="002E2807"/>
    <w:rsid w:val="002E322D"/>
    <w:rsid w:val="002E37A4"/>
    <w:rsid w:val="002E3BDE"/>
    <w:rsid w:val="002E4071"/>
    <w:rsid w:val="002E47E0"/>
    <w:rsid w:val="002E4D2B"/>
    <w:rsid w:val="002E5961"/>
    <w:rsid w:val="002E67CA"/>
    <w:rsid w:val="002E6F99"/>
    <w:rsid w:val="002E7F7A"/>
    <w:rsid w:val="002F0A79"/>
    <w:rsid w:val="002F0C8F"/>
    <w:rsid w:val="002F13C7"/>
    <w:rsid w:val="002F1483"/>
    <w:rsid w:val="002F19E1"/>
    <w:rsid w:val="002F20F5"/>
    <w:rsid w:val="002F229C"/>
    <w:rsid w:val="002F27E4"/>
    <w:rsid w:val="002F2894"/>
    <w:rsid w:val="002F32F8"/>
    <w:rsid w:val="002F3740"/>
    <w:rsid w:val="002F3CC5"/>
    <w:rsid w:val="002F3D51"/>
    <w:rsid w:val="002F4ACF"/>
    <w:rsid w:val="002F539C"/>
    <w:rsid w:val="002F54AE"/>
    <w:rsid w:val="002F638A"/>
    <w:rsid w:val="002F64A7"/>
    <w:rsid w:val="002F6AE8"/>
    <w:rsid w:val="002F6FB6"/>
    <w:rsid w:val="002F7500"/>
    <w:rsid w:val="002F77A1"/>
    <w:rsid w:val="002F78DC"/>
    <w:rsid w:val="002F7B64"/>
    <w:rsid w:val="002F7B6E"/>
    <w:rsid w:val="002F7E45"/>
    <w:rsid w:val="0030022E"/>
    <w:rsid w:val="00300B84"/>
    <w:rsid w:val="00300C7C"/>
    <w:rsid w:val="003015AD"/>
    <w:rsid w:val="0030168D"/>
    <w:rsid w:val="00301D43"/>
    <w:rsid w:val="00302056"/>
    <w:rsid w:val="0030288E"/>
    <w:rsid w:val="003033BC"/>
    <w:rsid w:val="00303CB2"/>
    <w:rsid w:val="00303CDE"/>
    <w:rsid w:val="00303D63"/>
    <w:rsid w:val="0030402D"/>
    <w:rsid w:val="00304199"/>
    <w:rsid w:val="003045E1"/>
    <w:rsid w:val="00304BF1"/>
    <w:rsid w:val="00304E15"/>
    <w:rsid w:val="00305232"/>
    <w:rsid w:val="00305327"/>
    <w:rsid w:val="00306078"/>
    <w:rsid w:val="003066D0"/>
    <w:rsid w:val="00306809"/>
    <w:rsid w:val="00306C9D"/>
    <w:rsid w:val="0031086F"/>
    <w:rsid w:val="00310A55"/>
    <w:rsid w:val="00310AEF"/>
    <w:rsid w:val="00310EE3"/>
    <w:rsid w:val="0031103F"/>
    <w:rsid w:val="003112AD"/>
    <w:rsid w:val="00311602"/>
    <w:rsid w:val="0031178C"/>
    <w:rsid w:val="00311982"/>
    <w:rsid w:val="00312584"/>
    <w:rsid w:val="003126F9"/>
    <w:rsid w:val="003127A2"/>
    <w:rsid w:val="00312CAF"/>
    <w:rsid w:val="00312F9B"/>
    <w:rsid w:val="00313C83"/>
    <w:rsid w:val="0031480D"/>
    <w:rsid w:val="00314B22"/>
    <w:rsid w:val="00314DB8"/>
    <w:rsid w:val="003166B3"/>
    <w:rsid w:val="003169C0"/>
    <w:rsid w:val="0031748E"/>
    <w:rsid w:val="00317CF5"/>
    <w:rsid w:val="00317E1E"/>
    <w:rsid w:val="003205A3"/>
    <w:rsid w:val="003206BB"/>
    <w:rsid w:val="00320F0F"/>
    <w:rsid w:val="0032124F"/>
    <w:rsid w:val="003216DE"/>
    <w:rsid w:val="00321806"/>
    <w:rsid w:val="003219DE"/>
    <w:rsid w:val="00321DFC"/>
    <w:rsid w:val="003223A1"/>
    <w:rsid w:val="0032266D"/>
    <w:rsid w:val="003239A3"/>
    <w:rsid w:val="00323C39"/>
    <w:rsid w:val="0032400F"/>
    <w:rsid w:val="00324681"/>
    <w:rsid w:val="003246FC"/>
    <w:rsid w:val="003250AB"/>
    <w:rsid w:val="003252F8"/>
    <w:rsid w:val="00325408"/>
    <w:rsid w:val="003262F7"/>
    <w:rsid w:val="003263A8"/>
    <w:rsid w:val="00326607"/>
    <w:rsid w:val="00326CDF"/>
    <w:rsid w:val="00326F42"/>
    <w:rsid w:val="00327560"/>
    <w:rsid w:val="0033023C"/>
    <w:rsid w:val="003302F9"/>
    <w:rsid w:val="00330BEA"/>
    <w:rsid w:val="00330C56"/>
    <w:rsid w:val="00332001"/>
    <w:rsid w:val="003320AF"/>
    <w:rsid w:val="00332108"/>
    <w:rsid w:val="003324FB"/>
    <w:rsid w:val="00332F56"/>
    <w:rsid w:val="003336CC"/>
    <w:rsid w:val="00333ADB"/>
    <w:rsid w:val="00333E01"/>
    <w:rsid w:val="0033451B"/>
    <w:rsid w:val="00334723"/>
    <w:rsid w:val="003351CB"/>
    <w:rsid w:val="00336677"/>
    <w:rsid w:val="0033669E"/>
    <w:rsid w:val="00336AD1"/>
    <w:rsid w:val="0033717E"/>
    <w:rsid w:val="00337620"/>
    <w:rsid w:val="003407E2"/>
    <w:rsid w:val="00340B6C"/>
    <w:rsid w:val="00341225"/>
    <w:rsid w:val="00341711"/>
    <w:rsid w:val="003418D1"/>
    <w:rsid w:val="00341F98"/>
    <w:rsid w:val="00342549"/>
    <w:rsid w:val="00342B5A"/>
    <w:rsid w:val="00342E33"/>
    <w:rsid w:val="00342EE1"/>
    <w:rsid w:val="003430D4"/>
    <w:rsid w:val="00343F99"/>
    <w:rsid w:val="003442B6"/>
    <w:rsid w:val="00344CCB"/>
    <w:rsid w:val="00344E81"/>
    <w:rsid w:val="003450B6"/>
    <w:rsid w:val="00345C31"/>
    <w:rsid w:val="00345CE1"/>
    <w:rsid w:val="00345DC1"/>
    <w:rsid w:val="00345E90"/>
    <w:rsid w:val="003463D2"/>
    <w:rsid w:val="003464D1"/>
    <w:rsid w:val="003464ED"/>
    <w:rsid w:val="00347D34"/>
    <w:rsid w:val="00347F84"/>
    <w:rsid w:val="00347FCE"/>
    <w:rsid w:val="0035009B"/>
    <w:rsid w:val="00350BB7"/>
    <w:rsid w:val="00350C9E"/>
    <w:rsid w:val="00350CED"/>
    <w:rsid w:val="00351576"/>
    <w:rsid w:val="00351875"/>
    <w:rsid w:val="00352063"/>
    <w:rsid w:val="00352322"/>
    <w:rsid w:val="003525A0"/>
    <w:rsid w:val="003530C0"/>
    <w:rsid w:val="00354201"/>
    <w:rsid w:val="003549BC"/>
    <w:rsid w:val="00355239"/>
    <w:rsid w:val="00355C5D"/>
    <w:rsid w:val="00355D33"/>
    <w:rsid w:val="003571DE"/>
    <w:rsid w:val="003575F6"/>
    <w:rsid w:val="00357936"/>
    <w:rsid w:val="00360206"/>
    <w:rsid w:val="0036086D"/>
    <w:rsid w:val="00361060"/>
    <w:rsid w:val="003613DC"/>
    <w:rsid w:val="00361C4E"/>
    <w:rsid w:val="00363D32"/>
    <w:rsid w:val="0036459F"/>
    <w:rsid w:val="00364B2D"/>
    <w:rsid w:val="00364C33"/>
    <w:rsid w:val="0036631B"/>
    <w:rsid w:val="00366413"/>
    <w:rsid w:val="0036729F"/>
    <w:rsid w:val="003673C0"/>
    <w:rsid w:val="0036797C"/>
    <w:rsid w:val="0037034E"/>
    <w:rsid w:val="003706BD"/>
    <w:rsid w:val="003709B7"/>
    <w:rsid w:val="00370C9C"/>
    <w:rsid w:val="00371070"/>
    <w:rsid w:val="00371389"/>
    <w:rsid w:val="00371E16"/>
    <w:rsid w:val="003723B3"/>
    <w:rsid w:val="00372492"/>
    <w:rsid w:val="00372E4D"/>
    <w:rsid w:val="003734FF"/>
    <w:rsid w:val="00373521"/>
    <w:rsid w:val="003740D7"/>
    <w:rsid w:val="0037413B"/>
    <w:rsid w:val="00374160"/>
    <w:rsid w:val="00374B38"/>
    <w:rsid w:val="00375144"/>
    <w:rsid w:val="0037520F"/>
    <w:rsid w:val="003755EA"/>
    <w:rsid w:val="00375D18"/>
    <w:rsid w:val="00375EB2"/>
    <w:rsid w:val="00376548"/>
    <w:rsid w:val="00376697"/>
    <w:rsid w:val="003766D9"/>
    <w:rsid w:val="003772F9"/>
    <w:rsid w:val="00377581"/>
    <w:rsid w:val="00377E75"/>
    <w:rsid w:val="00380188"/>
    <w:rsid w:val="0038031C"/>
    <w:rsid w:val="00380821"/>
    <w:rsid w:val="00380BDA"/>
    <w:rsid w:val="00380C67"/>
    <w:rsid w:val="00380D44"/>
    <w:rsid w:val="00380E87"/>
    <w:rsid w:val="00381628"/>
    <w:rsid w:val="00382616"/>
    <w:rsid w:val="003834DB"/>
    <w:rsid w:val="003837E1"/>
    <w:rsid w:val="00383B3E"/>
    <w:rsid w:val="00384108"/>
    <w:rsid w:val="00384549"/>
    <w:rsid w:val="00384680"/>
    <w:rsid w:val="00384862"/>
    <w:rsid w:val="00385523"/>
    <w:rsid w:val="00385DBF"/>
    <w:rsid w:val="00386171"/>
    <w:rsid w:val="00386D94"/>
    <w:rsid w:val="00386FD8"/>
    <w:rsid w:val="00387244"/>
    <w:rsid w:val="003874AC"/>
    <w:rsid w:val="0038773B"/>
    <w:rsid w:val="003877E1"/>
    <w:rsid w:val="0038788E"/>
    <w:rsid w:val="00387EDB"/>
    <w:rsid w:val="00390473"/>
    <w:rsid w:val="00390CBE"/>
    <w:rsid w:val="00391087"/>
    <w:rsid w:val="0039146F"/>
    <w:rsid w:val="00391611"/>
    <w:rsid w:val="003916C9"/>
    <w:rsid w:val="003918CE"/>
    <w:rsid w:val="0039194B"/>
    <w:rsid w:val="00391A8B"/>
    <w:rsid w:val="00391F15"/>
    <w:rsid w:val="00391FAC"/>
    <w:rsid w:val="00392093"/>
    <w:rsid w:val="003924E2"/>
    <w:rsid w:val="00392CDD"/>
    <w:rsid w:val="003939EC"/>
    <w:rsid w:val="00393D0D"/>
    <w:rsid w:val="00394034"/>
    <w:rsid w:val="00394415"/>
    <w:rsid w:val="0039473A"/>
    <w:rsid w:val="003949F3"/>
    <w:rsid w:val="00394E0E"/>
    <w:rsid w:val="00394E32"/>
    <w:rsid w:val="00394F48"/>
    <w:rsid w:val="0039592E"/>
    <w:rsid w:val="00395950"/>
    <w:rsid w:val="00395AA1"/>
    <w:rsid w:val="003962FF"/>
    <w:rsid w:val="003964CA"/>
    <w:rsid w:val="00396B12"/>
    <w:rsid w:val="00396F13"/>
    <w:rsid w:val="003972E1"/>
    <w:rsid w:val="003975B3"/>
    <w:rsid w:val="00397801"/>
    <w:rsid w:val="003A06F9"/>
    <w:rsid w:val="003A0DDA"/>
    <w:rsid w:val="003A0F47"/>
    <w:rsid w:val="003A1132"/>
    <w:rsid w:val="003A2280"/>
    <w:rsid w:val="003A2333"/>
    <w:rsid w:val="003A280B"/>
    <w:rsid w:val="003A2CB6"/>
    <w:rsid w:val="003A3465"/>
    <w:rsid w:val="003A4DCE"/>
    <w:rsid w:val="003A57CB"/>
    <w:rsid w:val="003A5D62"/>
    <w:rsid w:val="003A63F9"/>
    <w:rsid w:val="003A649E"/>
    <w:rsid w:val="003A6BD7"/>
    <w:rsid w:val="003A6BEE"/>
    <w:rsid w:val="003A7F8A"/>
    <w:rsid w:val="003B0262"/>
    <w:rsid w:val="003B0627"/>
    <w:rsid w:val="003B10D4"/>
    <w:rsid w:val="003B130E"/>
    <w:rsid w:val="003B155C"/>
    <w:rsid w:val="003B16A2"/>
    <w:rsid w:val="003B1715"/>
    <w:rsid w:val="003B256E"/>
    <w:rsid w:val="003B25BF"/>
    <w:rsid w:val="003B267E"/>
    <w:rsid w:val="003B294A"/>
    <w:rsid w:val="003B2E10"/>
    <w:rsid w:val="003B308E"/>
    <w:rsid w:val="003B3150"/>
    <w:rsid w:val="003B321E"/>
    <w:rsid w:val="003B3444"/>
    <w:rsid w:val="003B3842"/>
    <w:rsid w:val="003B393F"/>
    <w:rsid w:val="003B495E"/>
    <w:rsid w:val="003B4AB9"/>
    <w:rsid w:val="003B4F8F"/>
    <w:rsid w:val="003B4FC9"/>
    <w:rsid w:val="003B64DF"/>
    <w:rsid w:val="003B65D1"/>
    <w:rsid w:val="003B687C"/>
    <w:rsid w:val="003B7084"/>
    <w:rsid w:val="003C001F"/>
    <w:rsid w:val="003C00FF"/>
    <w:rsid w:val="003C03DB"/>
    <w:rsid w:val="003C089F"/>
    <w:rsid w:val="003C0C9E"/>
    <w:rsid w:val="003C1071"/>
    <w:rsid w:val="003C12C2"/>
    <w:rsid w:val="003C1408"/>
    <w:rsid w:val="003C1FCF"/>
    <w:rsid w:val="003C21AD"/>
    <w:rsid w:val="003C22F4"/>
    <w:rsid w:val="003C2304"/>
    <w:rsid w:val="003C24D2"/>
    <w:rsid w:val="003C2658"/>
    <w:rsid w:val="003C26E8"/>
    <w:rsid w:val="003C2802"/>
    <w:rsid w:val="003C2DD9"/>
    <w:rsid w:val="003C2F26"/>
    <w:rsid w:val="003C32D9"/>
    <w:rsid w:val="003C3432"/>
    <w:rsid w:val="003C3BD5"/>
    <w:rsid w:val="003C4E2F"/>
    <w:rsid w:val="003C4EE0"/>
    <w:rsid w:val="003C53B0"/>
    <w:rsid w:val="003C579D"/>
    <w:rsid w:val="003C6336"/>
    <w:rsid w:val="003C651D"/>
    <w:rsid w:val="003C65BB"/>
    <w:rsid w:val="003C6775"/>
    <w:rsid w:val="003C6789"/>
    <w:rsid w:val="003C6795"/>
    <w:rsid w:val="003C6A88"/>
    <w:rsid w:val="003C75D2"/>
    <w:rsid w:val="003C7C2D"/>
    <w:rsid w:val="003D06A1"/>
    <w:rsid w:val="003D09AA"/>
    <w:rsid w:val="003D0D39"/>
    <w:rsid w:val="003D1263"/>
    <w:rsid w:val="003D1C25"/>
    <w:rsid w:val="003D2177"/>
    <w:rsid w:val="003D29BA"/>
    <w:rsid w:val="003D332E"/>
    <w:rsid w:val="003D3FB8"/>
    <w:rsid w:val="003D4CFE"/>
    <w:rsid w:val="003D5176"/>
    <w:rsid w:val="003D52BE"/>
    <w:rsid w:val="003D6179"/>
    <w:rsid w:val="003D66D3"/>
    <w:rsid w:val="003D66EB"/>
    <w:rsid w:val="003D6901"/>
    <w:rsid w:val="003D6EC9"/>
    <w:rsid w:val="003D6F75"/>
    <w:rsid w:val="003D7899"/>
    <w:rsid w:val="003D79B2"/>
    <w:rsid w:val="003D79E2"/>
    <w:rsid w:val="003E00CF"/>
    <w:rsid w:val="003E030C"/>
    <w:rsid w:val="003E05F0"/>
    <w:rsid w:val="003E06ED"/>
    <w:rsid w:val="003E079F"/>
    <w:rsid w:val="003E1455"/>
    <w:rsid w:val="003E177F"/>
    <w:rsid w:val="003E1845"/>
    <w:rsid w:val="003E1F9C"/>
    <w:rsid w:val="003E24CB"/>
    <w:rsid w:val="003E2DE7"/>
    <w:rsid w:val="003E313D"/>
    <w:rsid w:val="003E3A9A"/>
    <w:rsid w:val="003E3B2B"/>
    <w:rsid w:val="003E3BC9"/>
    <w:rsid w:val="003E3C64"/>
    <w:rsid w:val="003E41A4"/>
    <w:rsid w:val="003E4568"/>
    <w:rsid w:val="003E50F0"/>
    <w:rsid w:val="003E5174"/>
    <w:rsid w:val="003E570E"/>
    <w:rsid w:val="003E5A0C"/>
    <w:rsid w:val="003E697D"/>
    <w:rsid w:val="003E726E"/>
    <w:rsid w:val="003E74A6"/>
    <w:rsid w:val="003E7CEC"/>
    <w:rsid w:val="003F01F9"/>
    <w:rsid w:val="003F05CC"/>
    <w:rsid w:val="003F0959"/>
    <w:rsid w:val="003F0B5C"/>
    <w:rsid w:val="003F0ECC"/>
    <w:rsid w:val="003F0EDD"/>
    <w:rsid w:val="003F10FE"/>
    <w:rsid w:val="003F138B"/>
    <w:rsid w:val="003F1913"/>
    <w:rsid w:val="003F19C3"/>
    <w:rsid w:val="003F28B8"/>
    <w:rsid w:val="003F2F2D"/>
    <w:rsid w:val="003F37BD"/>
    <w:rsid w:val="003F3F9B"/>
    <w:rsid w:val="003F4024"/>
    <w:rsid w:val="003F47AC"/>
    <w:rsid w:val="003F49C9"/>
    <w:rsid w:val="003F4ECF"/>
    <w:rsid w:val="003F4FF7"/>
    <w:rsid w:val="003F5064"/>
    <w:rsid w:val="003F51D3"/>
    <w:rsid w:val="003F5249"/>
    <w:rsid w:val="003F55A9"/>
    <w:rsid w:val="003F5C2F"/>
    <w:rsid w:val="003F5DC7"/>
    <w:rsid w:val="003F5E0A"/>
    <w:rsid w:val="003F63D1"/>
    <w:rsid w:val="003F6585"/>
    <w:rsid w:val="003F6D17"/>
    <w:rsid w:val="003F6E65"/>
    <w:rsid w:val="003F7306"/>
    <w:rsid w:val="003F73E1"/>
    <w:rsid w:val="003F7936"/>
    <w:rsid w:val="003F7990"/>
    <w:rsid w:val="00400221"/>
    <w:rsid w:val="004002BA"/>
    <w:rsid w:val="00400308"/>
    <w:rsid w:val="00400403"/>
    <w:rsid w:val="00400B0E"/>
    <w:rsid w:val="00400C97"/>
    <w:rsid w:val="00400FC7"/>
    <w:rsid w:val="00401D2F"/>
    <w:rsid w:val="00401E4B"/>
    <w:rsid w:val="00402B5A"/>
    <w:rsid w:val="00403A96"/>
    <w:rsid w:val="00404610"/>
    <w:rsid w:val="00404B42"/>
    <w:rsid w:val="00404ECF"/>
    <w:rsid w:val="00405210"/>
    <w:rsid w:val="004054A9"/>
    <w:rsid w:val="00405AB2"/>
    <w:rsid w:val="00405D8E"/>
    <w:rsid w:val="00405F51"/>
    <w:rsid w:val="00406019"/>
    <w:rsid w:val="0040610F"/>
    <w:rsid w:val="00406BFF"/>
    <w:rsid w:val="00406E56"/>
    <w:rsid w:val="00407384"/>
    <w:rsid w:val="00407F0A"/>
    <w:rsid w:val="00407FAE"/>
    <w:rsid w:val="004103CE"/>
    <w:rsid w:val="00410477"/>
    <w:rsid w:val="00410790"/>
    <w:rsid w:val="00410E19"/>
    <w:rsid w:val="0041106D"/>
    <w:rsid w:val="004110DF"/>
    <w:rsid w:val="00411DFA"/>
    <w:rsid w:val="00411FA0"/>
    <w:rsid w:val="00412651"/>
    <w:rsid w:val="00412959"/>
    <w:rsid w:val="004131E4"/>
    <w:rsid w:val="00413615"/>
    <w:rsid w:val="00413699"/>
    <w:rsid w:val="00413906"/>
    <w:rsid w:val="00413A7D"/>
    <w:rsid w:val="00413AE6"/>
    <w:rsid w:val="00413DB1"/>
    <w:rsid w:val="00413E59"/>
    <w:rsid w:val="00414943"/>
    <w:rsid w:val="00414E39"/>
    <w:rsid w:val="00414FCF"/>
    <w:rsid w:val="004150B4"/>
    <w:rsid w:val="00415491"/>
    <w:rsid w:val="00415721"/>
    <w:rsid w:val="00415A43"/>
    <w:rsid w:val="00415AD6"/>
    <w:rsid w:val="00415BC2"/>
    <w:rsid w:val="00415F1B"/>
    <w:rsid w:val="0041751C"/>
    <w:rsid w:val="00417FC2"/>
    <w:rsid w:val="0042050C"/>
    <w:rsid w:val="004206A2"/>
    <w:rsid w:val="004210DF"/>
    <w:rsid w:val="00421DE0"/>
    <w:rsid w:val="00421F4F"/>
    <w:rsid w:val="004229C0"/>
    <w:rsid w:val="00422BD8"/>
    <w:rsid w:val="00422E64"/>
    <w:rsid w:val="00422FE5"/>
    <w:rsid w:val="0042332F"/>
    <w:rsid w:val="004239AC"/>
    <w:rsid w:val="00423D50"/>
    <w:rsid w:val="00424541"/>
    <w:rsid w:val="004252CB"/>
    <w:rsid w:val="00425432"/>
    <w:rsid w:val="00425DB4"/>
    <w:rsid w:val="00425EB1"/>
    <w:rsid w:val="00426161"/>
    <w:rsid w:val="00426531"/>
    <w:rsid w:val="0042771C"/>
    <w:rsid w:val="00427A26"/>
    <w:rsid w:val="00427AFE"/>
    <w:rsid w:val="004311BC"/>
    <w:rsid w:val="004314AF"/>
    <w:rsid w:val="004320BF"/>
    <w:rsid w:val="004322B6"/>
    <w:rsid w:val="0043364E"/>
    <w:rsid w:val="004350EF"/>
    <w:rsid w:val="004352BD"/>
    <w:rsid w:val="0043584A"/>
    <w:rsid w:val="00436C67"/>
    <w:rsid w:val="00437455"/>
    <w:rsid w:val="00437D8B"/>
    <w:rsid w:val="004401A8"/>
    <w:rsid w:val="00440390"/>
    <w:rsid w:val="00440A25"/>
    <w:rsid w:val="00440CE3"/>
    <w:rsid w:val="00440EA5"/>
    <w:rsid w:val="00441125"/>
    <w:rsid w:val="0044115F"/>
    <w:rsid w:val="004415B9"/>
    <w:rsid w:val="004415C1"/>
    <w:rsid w:val="00441678"/>
    <w:rsid w:val="004417FA"/>
    <w:rsid w:val="00441A13"/>
    <w:rsid w:val="0044245D"/>
    <w:rsid w:val="0044247F"/>
    <w:rsid w:val="00442746"/>
    <w:rsid w:val="00442D84"/>
    <w:rsid w:val="00443E53"/>
    <w:rsid w:val="00444092"/>
    <w:rsid w:val="00444354"/>
    <w:rsid w:val="004450DE"/>
    <w:rsid w:val="004452C5"/>
    <w:rsid w:val="004455D4"/>
    <w:rsid w:val="00445682"/>
    <w:rsid w:val="0044573A"/>
    <w:rsid w:val="00445742"/>
    <w:rsid w:val="00445A0E"/>
    <w:rsid w:val="00445C02"/>
    <w:rsid w:val="00445CAD"/>
    <w:rsid w:val="00446BA2"/>
    <w:rsid w:val="00446E2F"/>
    <w:rsid w:val="0044711E"/>
    <w:rsid w:val="0044720E"/>
    <w:rsid w:val="00447570"/>
    <w:rsid w:val="0044766C"/>
    <w:rsid w:val="004478FC"/>
    <w:rsid w:val="00447A75"/>
    <w:rsid w:val="00447BE5"/>
    <w:rsid w:val="00447E39"/>
    <w:rsid w:val="004505C2"/>
    <w:rsid w:val="004505EB"/>
    <w:rsid w:val="00450872"/>
    <w:rsid w:val="00450A5C"/>
    <w:rsid w:val="00450AC8"/>
    <w:rsid w:val="00451494"/>
    <w:rsid w:val="00451708"/>
    <w:rsid w:val="0045184C"/>
    <w:rsid w:val="00451A7E"/>
    <w:rsid w:val="004528C6"/>
    <w:rsid w:val="00452AF2"/>
    <w:rsid w:val="00452B8B"/>
    <w:rsid w:val="00453539"/>
    <w:rsid w:val="0045379C"/>
    <w:rsid w:val="00453E60"/>
    <w:rsid w:val="004542BF"/>
    <w:rsid w:val="00454A59"/>
    <w:rsid w:val="004551E1"/>
    <w:rsid w:val="004559A6"/>
    <w:rsid w:val="00455A8A"/>
    <w:rsid w:val="00455D7D"/>
    <w:rsid w:val="00455E74"/>
    <w:rsid w:val="00455FD5"/>
    <w:rsid w:val="00456411"/>
    <w:rsid w:val="00456454"/>
    <w:rsid w:val="00456BA4"/>
    <w:rsid w:val="00456D76"/>
    <w:rsid w:val="00456F16"/>
    <w:rsid w:val="004579FA"/>
    <w:rsid w:val="00457AA7"/>
    <w:rsid w:val="00457D05"/>
    <w:rsid w:val="00457F10"/>
    <w:rsid w:val="0046018A"/>
    <w:rsid w:val="00460336"/>
    <w:rsid w:val="0046041E"/>
    <w:rsid w:val="0046065B"/>
    <w:rsid w:val="0046072F"/>
    <w:rsid w:val="00460AD5"/>
    <w:rsid w:val="0046164B"/>
    <w:rsid w:val="004619B5"/>
    <w:rsid w:val="00462181"/>
    <w:rsid w:val="00462A25"/>
    <w:rsid w:val="00462BE7"/>
    <w:rsid w:val="00462C3E"/>
    <w:rsid w:val="00464157"/>
    <w:rsid w:val="00464446"/>
    <w:rsid w:val="00464731"/>
    <w:rsid w:val="004654A3"/>
    <w:rsid w:val="004656BB"/>
    <w:rsid w:val="00465E37"/>
    <w:rsid w:val="004665C3"/>
    <w:rsid w:val="0046689C"/>
    <w:rsid w:val="00467364"/>
    <w:rsid w:val="004679E5"/>
    <w:rsid w:val="00467F0A"/>
    <w:rsid w:val="00467F18"/>
    <w:rsid w:val="004700FB"/>
    <w:rsid w:val="00470E71"/>
    <w:rsid w:val="00471E98"/>
    <w:rsid w:val="00471F7B"/>
    <w:rsid w:val="00472121"/>
    <w:rsid w:val="004722A7"/>
    <w:rsid w:val="00472339"/>
    <w:rsid w:val="00472989"/>
    <w:rsid w:val="00472A3D"/>
    <w:rsid w:val="00473750"/>
    <w:rsid w:val="00473F6E"/>
    <w:rsid w:val="004748FA"/>
    <w:rsid w:val="004753E8"/>
    <w:rsid w:val="0047579D"/>
    <w:rsid w:val="004763C3"/>
    <w:rsid w:val="004768A4"/>
    <w:rsid w:val="004769BC"/>
    <w:rsid w:val="00477069"/>
    <w:rsid w:val="004772E1"/>
    <w:rsid w:val="00477380"/>
    <w:rsid w:val="00477B5F"/>
    <w:rsid w:val="00477D7F"/>
    <w:rsid w:val="00480514"/>
    <w:rsid w:val="004806A5"/>
    <w:rsid w:val="00480790"/>
    <w:rsid w:val="00481B8B"/>
    <w:rsid w:val="00481BFD"/>
    <w:rsid w:val="00482137"/>
    <w:rsid w:val="004835AB"/>
    <w:rsid w:val="00483634"/>
    <w:rsid w:val="00483E40"/>
    <w:rsid w:val="00484301"/>
    <w:rsid w:val="004844B5"/>
    <w:rsid w:val="004849A9"/>
    <w:rsid w:val="00485870"/>
    <w:rsid w:val="00485B69"/>
    <w:rsid w:val="004864A8"/>
    <w:rsid w:val="00490074"/>
    <w:rsid w:val="00490B58"/>
    <w:rsid w:val="00490C19"/>
    <w:rsid w:val="00490C29"/>
    <w:rsid w:val="00490E83"/>
    <w:rsid w:val="0049105F"/>
    <w:rsid w:val="00491C05"/>
    <w:rsid w:val="00491C9E"/>
    <w:rsid w:val="0049216C"/>
    <w:rsid w:val="0049285F"/>
    <w:rsid w:val="00492F8B"/>
    <w:rsid w:val="00493442"/>
    <w:rsid w:val="0049455B"/>
    <w:rsid w:val="004948DD"/>
    <w:rsid w:val="0049664F"/>
    <w:rsid w:val="00496AB0"/>
    <w:rsid w:val="004A028B"/>
    <w:rsid w:val="004A0929"/>
    <w:rsid w:val="004A0C63"/>
    <w:rsid w:val="004A102D"/>
    <w:rsid w:val="004A1076"/>
    <w:rsid w:val="004A1376"/>
    <w:rsid w:val="004A2130"/>
    <w:rsid w:val="004A27F4"/>
    <w:rsid w:val="004A307F"/>
    <w:rsid w:val="004A33F1"/>
    <w:rsid w:val="004A3728"/>
    <w:rsid w:val="004A3799"/>
    <w:rsid w:val="004A3F3B"/>
    <w:rsid w:val="004A4E9F"/>
    <w:rsid w:val="004A52DF"/>
    <w:rsid w:val="004A5529"/>
    <w:rsid w:val="004A58B6"/>
    <w:rsid w:val="004A5C9F"/>
    <w:rsid w:val="004A6605"/>
    <w:rsid w:val="004A6634"/>
    <w:rsid w:val="004A7C60"/>
    <w:rsid w:val="004A7CE9"/>
    <w:rsid w:val="004A7F8B"/>
    <w:rsid w:val="004B06AE"/>
    <w:rsid w:val="004B0B19"/>
    <w:rsid w:val="004B0E40"/>
    <w:rsid w:val="004B1166"/>
    <w:rsid w:val="004B1313"/>
    <w:rsid w:val="004B18A3"/>
    <w:rsid w:val="004B2732"/>
    <w:rsid w:val="004B2F8B"/>
    <w:rsid w:val="004B3D83"/>
    <w:rsid w:val="004B41D7"/>
    <w:rsid w:val="004B442B"/>
    <w:rsid w:val="004B442C"/>
    <w:rsid w:val="004B461C"/>
    <w:rsid w:val="004B4839"/>
    <w:rsid w:val="004B4BD5"/>
    <w:rsid w:val="004B4F91"/>
    <w:rsid w:val="004B546E"/>
    <w:rsid w:val="004B5656"/>
    <w:rsid w:val="004B5C42"/>
    <w:rsid w:val="004B618E"/>
    <w:rsid w:val="004B63EC"/>
    <w:rsid w:val="004B68D7"/>
    <w:rsid w:val="004B7A5B"/>
    <w:rsid w:val="004B7AE8"/>
    <w:rsid w:val="004C0CDA"/>
    <w:rsid w:val="004C0FD1"/>
    <w:rsid w:val="004C163F"/>
    <w:rsid w:val="004C1D22"/>
    <w:rsid w:val="004C27D4"/>
    <w:rsid w:val="004C2AB4"/>
    <w:rsid w:val="004C2FD8"/>
    <w:rsid w:val="004C3551"/>
    <w:rsid w:val="004C3589"/>
    <w:rsid w:val="004C379C"/>
    <w:rsid w:val="004C399E"/>
    <w:rsid w:val="004C4513"/>
    <w:rsid w:val="004C486E"/>
    <w:rsid w:val="004C4B09"/>
    <w:rsid w:val="004C4BE6"/>
    <w:rsid w:val="004C4FDB"/>
    <w:rsid w:val="004C5088"/>
    <w:rsid w:val="004C5582"/>
    <w:rsid w:val="004C5715"/>
    <w:rsid w:val="004C647C"/>
    <w:rsid w:val="004C7067"/>
    <w:rsid w:val="004C7FAC"/>
    <w:rsid w:val="004D0D66"/>
    <w:rsid w:val="004D1130"/>
    <w:rsid w:val="004D1600"/>
    <w:rsid w:val="004D351C"/>
    <w:rsid w:val="004D385A"/>
    <w:rsid w:val="004D3984"/>
    <w:rsid w:val="004D4122"/>
    <w:rsid w:val="004D4226"/>
    <w:rsid w:val="004D4D03"/>
    <w:rsid w:val="004D5484"/>
    <w:rsid w:val="004D5952"/>
    <w:rsid w:val="004D69E0"/>
    <w:rsid w:val="004D6AFD"/>
    <w:rsid w:val="004D6DA6"/>
    <w:rsid w:val="004D6F81"/>
    <w:rsid w:val="004D79EB"/>
    <w:rsid w:val="004D7D5B"/>
    <w:rsid w:val="004E072B"/>
    <w:rsid w:val="004E0D9C"/>
    <w:rsid w:val="004E0DD5"/>
    <w:rsid w:val="004E1102"/>
    <w:rsid w:val="004E1903"/>
    <w:rsid w:val="004E1DC0"/>
    <w:rsid w:val="004E24DC"/>
    <w:rsid w:val="004E28ED"/>
    <w:rsid w:val="004E41A1"/>
    <w:rsid w:val="004E4660"/>
    <w:rsid w:val="004E49B0"/>
    <w:rsid w:val="004E4AD4"/>
    <w:rsid w:val="004E4DD5"/>
    <w:rsid w:val="004E5BA4"/>
    <w:rsid w:val="004E5D9C"/>
    <w:rsid w:val="004E6121"/>
    <w:rsid w:val="004E63DA"/>
    <w:rsid w:val="004E63E2"/>
    <w:rsid w:val="004E68FD"/>
    <w:rsid w:val="004E694D"/>
    <w:rsid w:val="004E699F"/>
    <w:rsid w:val="004E6AE1"/>
    <w:rsid w:val="004E6E01"/>
    <w:rsid w:val="004E6E46"/>
    <w:rsid w:val="004E6F78"/>
    <w:rsid w:val="004E6FFA"/>
    <w:rsid w:val="004E759F"/>
    <w:rsid w:val="004E768E"/>
    <w:rsid w:val="004E77E1"/>
    <w:rsid w:val="004E7941"/>
    <w:rsid w:val="004E7A59"/>
    <w:rsid w:val="004F0206"/>
    <w:rsid w:val="004F0236"/>
    <w:rsid w:val="004F036C"/>
    <w:rsid w:val="004F0787"/>
    <w:rsid w:val="004F0E07"/>
    <w:rsid w:val="004F12DD"/>
    <w:rsid w:val="004F1EA3"/>
    <w:rsid w:val="004F2AE7"/>
    <w:rsid w:val="004F3BE0"/>
    <w:rsid w:val="004F40CB"/>
    <w:rsid w:val="004F4BD8"/>
    <w:rsid w:val="004F53D7"/>
    <w:rsid w:val="004F59C1"/>
    <w:rsid w:val="004F5D1B"/>
    <w:rsid w:val="004F5D9F"/>
    <w:rsid w:val="004F5DB1"/>
    <w:rsid w:val="004F60A1"/>
    <w:rsid w:val="004F6609"/>
    <w:rsid w:val="004F6F01"/>
    <w:rsid w:val="004F7376"/>
    <w:rsid w:val="004F75A7"/>
    <w:rsid w:val="005004FA"/>
    <w:rsid w:val="00500A99"/>
    <w:rsid w:val="00500C44"/>
    <w:rsid w:val="00500CA8"/>
    <w:rsid w:val="00500D5C"/>
    <w:rsid w:val="00500DD0"/>
    <w:rsid w:val="005013F3"/>
    <w:rsid w:val="00501DB7"/>
    <w:rsid w:val="005024D9"/>
    <w:rsid w:val="005025C5"/>
    <w:rsid w:val="00502BA7"/>
    <w:rsid w:val="00502FC3"/>
    <w:rsid w:val="005032C8"/>
    <w:rsid w:val="0050448A"/>
    <w:rsid w:val="00504566"/>
    <w:rsid w:val="005053E7"/>
    <w:rsid w:val="005054AD"/>
    <w:rsid w:val="00505578"/>
    <w:rsid w:val="00506245"/>
    <w:rsid w:val="00506B9D"/>
    <w:rsid w:val="00506D82"/>
    <w:rsid w:val="00506E2B"/>
    <w:rsid w:val="00507C7B"/>
    <w:rsid w:val="00507FD3"/>
    <w:rsid w:val="0051081C"/>
    <w:rsid w:val="00510B5B"/>
    <w:rsid w:val="00511108"/>
    <w:rsid w:val="00511124"/>
    <w:rsid w:val="00511380"/>
    <w:rsid w:val="005117C6"/>
    <w:rsid w:val="00511D8C"/>
    <w:rsid w:val="00511E19"/>
    <w:rsid w:val="00511F27"/>
    <w:rsid w:val="005121A4"/>
    <w:rsid w:val="00512294"/>
    <w:rsid w:val="0051318D"/>
    <w:rsid w:val="00513383"/>
    <w:rsid w:val="005134B8"/>
    <w:rsid w:val="00513639"/>
    <w:rsid w:val="00514697"/>
    <w:rsid w:val="00514907"/>
    <w:rsid w:val="005149E3"/>
    <w:rsid w:val="005152C9"/>
    <w:rsid w:val="00515446"/>
    <w:rsid w:val="00515CC0"/>
    <w:rsid w:val="00515D21"/>
    <w:rsid w:val="00515F43"/>
    <w:rsid w:val="005169FF"/>
    <w:rsid w:val="00516C6F"/>
    <w:rsid w:val="005170A0"/>
    <w:rsid w:val="005174EA"/>
    <w:rsid w:val="00517E4A"/>
    <w:rsid w:val="00520057"/>
    <w:rsid w:val="00520386"/>
    <w:rsid w:val="00520602"/>
    <w:rsid w:val="005206F0"/>
    <w:rsid w:val="00520707"/>
    <w:rsid w:val="00520AEF"/>
    <w:rsid w:val="00520E0A"/>
    <w:rsid w:val="00521D73"/>
    <w:rsid w:val="00521E06"/>
    <w:rsid w:val="00521ECE"/>
    <w:rsid w:val="00522525"/>
    <w:rsid w:val="00522906"/>
    <w:rsid w:val="00523267"/>
    <w:rsid w:val="005237A5"/>
    <w:rsid w:val="00524E8A"/>
    <w:rsid w:val="0052508D"/>
    <w:rsid w:val="0052556E"/>
    <w:rsid w:val="005257D2"/>
    <w:rsid w:val="005259E9"/>
    <w:rsid w:val="00526812"/>
    <w:rsid w:val="0052694E"/>
    <w:rsid w:val="00527A06"/>
    <w:rsid w:val="00530017"/>
    <w:rsid w:val="0053077A"/>
    <w:rsid w:val="00530E8E"/>
    <w:rsid w:val="005311BC"/>
    <w:rsid w:val="00531C71"/>
    <w:rsid w:val="0053208D"/>
    <w:rsid w:val="005324AD"/>
    <w:rsid w:val="005324EF"/>
    <w:rsid w:val="00532513"/>
    <w:rsid w:val="00532596"/>
    <w:rsid w:val="005328FD"/>
    <w:rsid w:val="0053331B"/>
    <w:rsid w:val="005337BE"/>
    <w:rsid w:val="0053390B"/>
    <w:rsid w:val="005339A7"/>
    <w:rsid w:val="00533C1F"/>
    <w:rsid w:val="00534165"/>
    <w:rsid w:val="00534C71"/>
    <w:rsid w:val="00535708"/>
    <w:rsid w:val="00535B0F"/>
    <w:rsid w:val="00536E09"/>
    <w:rsid w:val="00537839"/>
    <w:rsid w:val="00540DBD"/>
    <w:rsid w:val="0054198B"/>
    <w:rsid w:val="00541B8C"/>
    <w:rsid w:val="00541BDB"/>
    <w:rsid w:val="00541F74"/>
    <w:rsid w:val="00542861"/>
    <w:rsid w:val="00542B2E"/>
    <w:rsid w:val="00542D5E"/>
    <w:rsid w:val="005433C5"/>
    <w:rsid w:val="00543539"/>
    <w:rsid w:val="00543863"/>
    <w:rsid w:val="005440C6"/>
    <w:rsid w:val="00544499"/>
    <w:rsid w:val="00544D20"/>
    <w:rsid w:val="00544DE6"/>
    <w:rsid w:val="00544F78"/>
    <w:rsid w:val="0054562F"/>
    <w:rsid w:val="00545A19"/>
    <w:rsid w:val="00546127"/>
    <w:rsid w:val="00546DEB"/>
    <w:rsid w:val="005502DE"/>
    <w:rsid w:val="005508C7"/>
    <w:rsid w:val="00550C4E"/>
    <w:rsid w:val="005514FE"/>
    <w:rsid w:val="005516FB"/>
    <w:rsid w:val="0055265B"/>
    <w:rsid w:val="00552E18"/>
    <w:rsid w:val="005538ED"/>
    <w:rsid w:val="00554738"/>
    <w:rsid w:val="00554BF6"/>
    <w:rsid w:val="00554D86"/>
    <w:rsid w:val="00554EAD"/>
    <w:rsid w:val="0055529B"/>
    <w:rsid w:val="005556D9"/>
    <w:rsid w:val="00555DD7"/>
    <w:rsid w:val="0055660F"/>
    <w:rsid w:val="00556F03"/>
    <w:rsid w:val="0055701E"/>
    <w:rsid w:val="0056059E"/>
    <w:rsid w:val="005605E7"/>
    <w:rsid w:val="005607A2"/>
    <w:rsid w:val="00560AF5"/>
    <w:rsid w:val="00560CB4"/>
    <w:rsid w:val="00561880"/>
    <w:rsid w:val="00561CD9"/>
    <w:rsid w:val="005624BE"/>
    <w:rsid w:val="00562754"/>
    <w:rsid w:val="00562CE0"/>
    <w:rsid w:val="00562DB4"/>
    <w:rsid w:val="00562EFB"/>
    <w:rsid w:val="0056303D"/>
    <w:rsid w:val="0056388E"/>
    <w:rsid w:val="00564045"/>
    <w:rsid w:val="005647BE"/>
    <w:rsid w:val="00564FCE"/>
    <w:rsid w:val="005657FB"/>
    <w:rsid w:val="00565BE9"/>
    <w:rsid w:val="00566026"/>
    <w:rsid w:val="005664C5"/>
    <w:rsid w:val="00566B38"/>
    <w:rsid w:val="00567A56"/>
    <w:rsid w:val="00567F13"/>
    <w:rsid w:val="0057002A"/>
    <w:rsid w:val="00570AF0"/>
    <w:rsid w:val="00570EE2"/>
    <w:rsid w:val="00572263"/>
    <w:rsid w:val="00572620"/>
    <w:rsid w:val="005732CE"/>
    <w:rsid w:val="0057385B"/>
    <w:rsid w:val="00573939"/>
    <w:rsid w:val="0057420A"/>
    <w:rsid w:val="0057491B"/>
    <w:rsid w:val="00574BEB"/>
    <w:rsid w:val="00574DAD"/>
    <w:rsid w:val="00575722"/>
    <w:rsid w:val="00576C31"/>
    <w:rsid w:val="00577023"/>
    <w:rsid w:val="00577B19"/>
    <w:rsid w:val="00577BB5"/>
    <w:rsid w:val="00580980"/>
    <w:rsid w:val="005812EE"/>
    <w:rsid w:val="005813D5"/>
    <w:rsid w:val="0058157D"/>
    <w:rsid w:val="0058190C"/>
    <w:rsid w:val="00581AF7"/>
    <w:rsid w:val="00581E5A"/>
    <w:rsid w:val="00582042"/>
    <w:rsid w:val="005823B8"/>
    <w:rsid w:val="00582571"/>
    <w:rsid w:val="00582AAE"/>
    <w:rsid w:val="00582FAF"/>
    <w:rsid w:val="0058302E"/>
    <w:rsid w:val="005835CC"/>
    <w:rsid w:val="00583A04"/>
    <w:rsid w:val="00583BAE"/>
    <w:rsid w:val="00583EBE"/>
    <w:rsid w:val="00584129"/>
    <w:rsid w:val="0058468E"/>
    <w:rsid w:val="00585C6B"/>
    <w:rsid w:val="00585E31"/>
    <w:rsid w:val="0058654B"/>
    <w:rsid w:val="00586A78"/>
    <w:rsid w:val="00587CD4"/>
    <w:rsid w:val="005901B0"/>
    <w:rsid w:val="005901FC"/>
    <w:rsid w:val="00590310"/>
    <w:rsid w:val="005904BA"/>
    <w:rsid w:val="005906D0"/>
    <w:rsid w:val="00590A22"/>
    <w:rsid w:val="00591D44"/>
    <w:rsid w:val="00592A7B"/>
    <w:rsid w:val="00593556"/>
    <w:rsid w:val="00594297"/>
    <w:rsid w:val="0059444B"/>
    <w:rsid w:val="0059542E"/>
    <w:rsid w:val="00595690"/>
    <w:rsid w:val="00595818"/>
    <w:rsid w:val="005958CF"/>
    <w:rsid w:val="00595C20"/>
    <w:rsid w:val="00595C6E"/>
    <w:rsid w:val="00596FE7"/>
    <w:rsid w:val="0059757B"/>
    <w:rsid w:val="00597FF8"/>
    <w:rsid w:val="005A01FD"/>
    <w:rsid w:val="005A068F"/>
    <w:rsid w:val="005A06F7"/>
    <w:rsid w:val="005A0939"/>
    <w:rsid w:val="005A0ACC"/>
    <w:rsid w:val="005A0C1E"/>
    <w:rsid w:val="005A173D"/>
    <w:rsid w:val="005A283C"/>
    <w:rsid w:val="005A2C22"/>
    <w:rsid w:val="005A2E9A"/>
    <w:rsid w:val="005A315C"/>
    <w:rsid w:val="005A3DB1"/>
    <w:rsid w:val="005A3FE6"/>
    <w:rsid w:val="005A426B"/>
    <w:rsid w:val="005A4592"/>
    <w:rsid w:val="005A4617"/>
    <w:rsid w:val="005A4AE2"/>
    <w:rsid w:val="005A5061"/>
    <w:rsid w:val="005A554A"/>
    <w:rsid w:val="005A564D"/>
    <w:rsid w:val="005A574D"/>
    <w:rsid w:val="005A5B55"/>
    <w:rsid w:val="005A5C80"/>
    <w:rsid w:val="005A63CA"/>
    <w:rsid w:val="005A698F"/>
    <w:rsid w:val="005A6B77"/>
    <w:rsid w:val="005A6E4A"/>
    <w:rsid w:val="005A74E5"/>
    <w:rsid w:val="005A77B8"/>
    <w:rsid w:val="005B0D03"/>
    <w:rsid w:val="005B1460"/>
    <w:rsid w:val="005B1757"/>
    <w:rsid w:val="005B2987"/>
    <w:rsid w:val="005B3103"/>
    <w:rsid w:val="005B31B5"/>
    <w:rsid w:val="005B3966"/>
    <w:rsid w:val="005B3AEA"/>
    <w:rsid w:val="005B49D8"/>
    <w:rsid w:val="005B5D7D"/>
    <w:rsid w:val="005B6A25"/>
    <w:rsid w:val="005B70B1"/>
    <w:rsid w:val="005B7448"/>
    <w:rsid w:val="005B7567"/>
    <w:rsid w:val="005B7676"/>
    <w:rsid w:val="005C0326"/>
    <w:rsid w:val="005C0D3A"/>
    <w:rsid w:val="005C1A5F"/>
    <w:rsid w:val="005C1E4C"/>
    <w:rsid w:val="005C1FB8"/>
    <w:rsid w:val="005C22D9"/>
    <w:rsid w:val="005C2547"/>
    <w:rsid w:val="005C25B5"/>
    <w:rsid w:val="005C2B72"/>
    <w:rsid w:val="005C38D2"/>
    <w:rsid w:val="005C394D"/>
    <w:rsid w:val="005C3B91"/>
    <w:rsid w:val="005C3E20"/>
    <w:rsid w:val="005C40ED"/>
    <w:rsid w:val="005C426F"/>
    <w:rsid w:val="005C4CB7"/>
    <w:rsid w:val="005C52AA"/>
    <w:rsid w:val="005C578B"/>
    <w:rsid w:val="005C5C06"/>
    <w:rsid w:val="005C5D5B"/>
    <w:rsid w:val="005C60E0"/>
    <w:rsid w:val="005C6725"/>
    <w:rsid w:val="005C729F"/>
    <w:rsid w:val="005C79F9"/>
    <w:rsid w:val="005C7AF2"/>
    <w:rsid w:val="005C7B59"/>
    <w:rsid w:val="005C7BF2"/>
    <w:rsid w:val="005C7C2A"/>
    <w:rsid w:val="005C7CFA"/>
    <w:rsid w:val="005D0650"/>
    <w:rsid w:val="005D0743"/>
    <w:rsid w:val="005D0B88"/>
    <w:rsid w:val="005D0DF7"/>
    <w:rsid w:val="005D0F0D"/>
    <w:rsid w:val="005D1392"/>
    <w:rsid w:val="005D1D6D"/>
    <w:rsid w:val="005D203E"/>
    <w:rsid w:val="005D3467"/>
    <w:rsid w:val="005D3753"/>
    <w:rsid w:val="005D384A"/>
    <w:rsid w:val="005D3FE2"/>
    <w:rsid w:val="005D4250"/>
    <w:rsid w:val="005D5A11"/>
    <w:rsid w:val="005D62CA"/>
    <w:rsid w:val="005D6398"/>
    <w:rsid w:val="005D66F2"/>
    <w:rsid w:val="005D6941"/>
    <w:rsid w:val="005D70E0"/>
    <w:rsid w:val="005D7446"/>
    <w:rsid w:val="005D7710"/>
    <w:rsid w:val="005D77F6"/>
    <w:rsid w:val="005D79CF"/>
    <w:rsid w:val="005D7D05"/>
    <w:rsid w:val="005D7E12"/>
    <w:rsid w:val="005E0011"/>
    <w:rsid w:val="005E184C"/>
    <w:rsid w:val="005E1A12"/>
    <w:rsid w:val="005E2256"/>
    <w:rsid w:val="005E2C20"/>
    <w:rsid w:val="005E2FC3"/>
    <w:rsid w:val="005E2FFC"/>
    <w:rsid w:val="005E311F"/>
    <w:rsid w:val="005E33B2"/>
    <w:rsid w:val="005E39FD"/>
    <w:rsid w:val="005E42B4"/>
    <w:rsid w:val="005E472F"/>
    <w:rsid w:val="005E49B3"/>
    <w:rsid w:val="005E4F7D"/>
    <w:rsid w:val="005E5964"/>
    <w:rsid w:val="005E596F"/>
    <w:rsid w:val="005E5DFD"/>
    <w:rsid w:val="005E6FBF"/>
    <w:rsid w:val="005E7813"/>
    <w:rsid w:val="005E78A1"/>
    <w:rsid w:val="005E7F5A"/>
    <w:rsid w:val="005F0603"/>
    <w:rsid w:val="005F0A3A"/>
    <w:rsid w:val="005F1A8E"/>
    <w:rsid w:val="005F2563"/>
    <w:rsid w:val="005F30E3"/>
    <w:rsid w:val="005F335A"/>
    <w:rsid w:val="005F3975"/>
    <w:rsid w:val="005F3A36"/>
    <w:rsid w:val="005F3ECA"/>
    <w:rsid w:val="005F3FCC"/>
    <w:rsid w:val="005F413B"/>
    <w:rsid w:val="005F415F"/>
    <w:rsid w:val="005F4CA0"/>
    <w:rsid w:val="005F5D16"/>
    <w:rsid w:val="005F5EE6"/>
    <w:rsid w:val="005F5FDE"/>
    <w:rsid w:val="005F6338"/>
    <w:rsid w:val="005F6809"/>
    <w:rsid w:val="005F6927"/>
    <w:rsid w:val="005F766A"/>
    <w:rsid w:val="005F7862"/>
    <w:rsid w:val="005F78D5"/>
    <w:rsid w:val="0060009D"/>
    <w:rsid w:val="00600774"/>
    <w:rsid w:val="00600CDF"/>
    <w:rsid w:val="00601310"/>
    <w:rsid w:val="00601408"/>
    <w:rsid w:val="00602393"/>
    <w:rsid w:val="006025C5"/>
    <w:rsid w:val="00602693"/>
    <w:rsid w:val="00602F46"/>
    <w:rsid w:val="0060337D"/>
    <w:rsid w:val="006035CB"/>
    <w:rsid w:val="00603BC9"/>
    <w:rsid w:val="006040D8"/>
    <w:rsid w:val="006047AB"/>
    <w:rsid w:val="00604A06"/>
    <w:rsid w:val="006050B2"/>
    <w:rsid w:val="00605D76"/>
    <w:rsid w:val="00606593"/>
    <w:rsid w:val="00606753"/>
    <w:rsid w:val="00606C1A"/>
    <w:rsid w:val="0060748E"/>
    <w:rsid w:val="00607F26"/>
    <w:rsid w:val="006102C9"/>
    <w:rsid w:val="00610786"/>
    <w:rsid w:val="00610E30"/>
    <w:rsid w:val="006110EC"/>
    <w:rsid w:val="00611BE9"/>
    <w:rsid w:val="00611C38"/>
    <w:rsid w:val="00612192"/>
    <w:rsid w:val="0061231F"/>
    <w:rsid w:val="006129E5"/>
    <w:rsid w:val="00612BF7"/>
    <w:rsid w:val="00613024"/>
    <w:rsid w:val="006138B0"/>
    <w:rsid w:val="00613CBC"/>
    <w:rsid w:val="00614C2B"/>
    <w:rsid w:val="00614F59"/>
    <w:rsid w:val="006153A0"/>
    <w:rsid w:val="006154AC"/>
    <w:rsid w:val="006156B2"/>
    <w:rsid w:val="006156ED"/>
    <w:rsid w:val="0061570F"/>
    <w:rsid w:val="006157A3"/>
    <w:rsid w:val="00615E23"/>
    <w:rsid w:val="0061718C"/>
    <w:rsid w:val="00617DE2"/>
    <w:rsid w:val="006200E2"/>
    <w:rsid w:val="006202A4"/>
    <w:rsid w:val="006205CF"/>
    <w:rsid w:val="006206DE"/>
    <w:rsid w:val="0062084C"/>
    <w:rsid w:val="00620B64"/>
    <w:rsid w:val="00620E18"/>
    <w:rsid w:val="00621060"/>
    <w:rsid w:val="006216A6"/>
    <w:rsid w:val="006217E4"/>
    <w:rsid w:val="00621F79"/>
    <w:rsid w:val="006229AC"/>
    <w:rsid w:val="00622C76"/>
    <w:rsid w:val="00622D8F"/>
    <w:rsid w:val="00622E6E"/>
    <w:rsid w:val="00622F0A"/>
    <w:rsid w:val="00623A70"/>
    <w:rsid w:val="00623F19"/>
    <w:rsid w:val="00624248"/>
    <w:rsid w:val="00624C6A"/>
    <w:rsid w:val="00624FF8"/>
    <w:rsid w:val="006253E4"/>
    <w:rsid w:val="0062543C"/>
    <w:rsid w:val="0062545E"/>
    <w:rsid w:val="00626337"/>
    <w:rsid w:val="00626B14"/>
    <w:rsid w:val="00626B85"/>
    <w:rsid w:val="00626D33"/>
    <w:rsid w:val="00626EC9"/>
    <w:rsid w:val="00626ED6"/>
    <w:rsid w:val="00630AA6"/>
    <w:rsid w:val="00630AD3"/>
    <w:rsid w:val="00630DD7"/>
    <w:rsid w:val="00631F23"/>
    <w:rsid w:val="0063231B"/>
    <w:rsid w:val="006327FD"/>
    <w:rsid w:val="0063320A"/>
    <w:rsid w:val="0063394C"/>
    <w:rsid w:val="006343C5"/>
    <w:rsid w:val="00634641"/>
    <w:rsid w:val="0063465D"/>
    <w:rsid w:val="00634A43"/>
    <w:rsid w:val="00634AA5"/>
    <w:rsid w:val="00635363"/>
    <w:rsid w:val="00635CC3"/>
    <w:rsid w:val="00635F2F"/>
    <w:rsid w:val="00636019"/>
    <w:rsid w:val="006363E0"/>
    <w:rsid w:val="00636551"/>
    <w:rsid w:val="00636F97"/>
    <w:rsid w:val="00637BE5"/>
    <w:rsid w:val="00637C9F"/>
    <w:rsid w:val="00640868"/>
    <w:rsid w:val="00641230"/>
    <w:rsid w:val="006413BC"/>
    <w:rsid w:val="006418BC"/>
    <w:rsid w:val="0064207F"/>
    <w:rsid w:val="0064246D"/>
    <w:rsid w:val="006426C9"/>
    <w:rsid w:val="00642863"/>
    <w:rsid w:val="00642CF6"/>
    <w:rsid w:val="00643711"/>
    <w:rsid w:val="0064396A"/>
    <w:rsid w:val="00643FCD"/>
    <w:rsid w:val="00644906"/>
    <w:rsid w:val="00644C41"/>
    <w:rsid w:val="0064518F"/>
    <w:rsid w:val="00646FA7"/>
    <w:rsid w:val="006470AD"/>
    <w:rsid w:val="00647625"/>
    <w:rsid w:val="0064780D"/>
    <w:rsid w:val="00650295"/>
    <w:rsid w:val="006506CD"/>
    <w:rsid w:val="00650923"/>
    <w:rsid w:val="00650C87"/>
    <w:rsid w:val="00650CBF"/>
    <w:rsid w:val="00651464"/>
    <w:rsid w:val="00651800"/>
    <w:rsid w:val="00651A1A"/>
    <w:rsid w:val="006524C2"/>
    <w:rsid w:val="00652611"/>
    <w:rsid w:val="00652F73"/>
    <w:rsid w:val="00653570"/>
    <w:rsid w:val="00653B80"/>
    <w:rsid w:val="00653DDC"/>
    <w:rsid w:val="006542E9"/>
    <w:rsid w:val="006546B8"/>
    <w:rsid w:val="00654783"/>
    <w:rsid w:val="00654DD5"/>
    <w:rsid w:val="00654E05"/>
    <w:rsid w:val="006554AA"/>
    <w:rsid w:val="0065691F"/>
    <w:rsid w:val="00656D65"/>
    <w:rsid w:val="00657B0B"/>
    <w:rsid w:val="0066019D"/>
    <w:rsid w:val="0066022B"/>
    <w:rsid w:val="00660885"/>
    <w:rsid w:val="00660D27"/>
    <w:rsid w:val="00660D6F"/>
    <w:rsid w:val="00661317"/>
    <w:rsid w:val="006613E0"/>
    <w:rsid w:val="006616AA"/>
    <w:rsid w:val="00661BFD"/>
    <w:rsid w:val="00661C6A"/>
    <w:rsid w:val="00661D03"/>
    <w:rsid w:val="00661E58"/>
    <w:rsid w:val="00661F4F"/>
    <w:rsid w:val="0066370C"/>
    <w:rsid w:val="006638FA"/>
    <w:rsid w:val="00664031"/>
    <w:rsid w:val="006646A2"/>
    <w:rsid w:val="00664AD5"/>
    <w:rsid w:val="0066544E"/>
    <w:rsid w:val="00665F5E"/>
    <w:rsid w:val="00666390"/>
    <w:rsid w:val="0066673B"/>
    <w:rsid w:val="00667041"/>
    <w:rsid w:val="006673C5"/>
    <w:rsid w:val="00667795"/>
    <w:rsid w:val="0066785C"/>
    <w:rsid w:val="00667D8D"/>
    <w:rsid w:val="006702F9"/>
    <w:rsid w:val="00670509"/>
    <w:rsid w:val="00670648"/>
    <w:rsid w:val="00670B9F"/>
    <w:rsid w:val="00671C92"/>
    <w:rsid w:val="0067293B"/>
    <w:rsid w:val="00672B0A"/>
    <w:rsid w:val="006737B6"/>
    <w:rsid w:val="00673F6C"/>
    <w:rsid w:val="006742A7"/>
    <w:rsid w:val="006744F2"/>
    <w:rsid w:val="00674F74"/>
    <w:rsid w:val="0067553B"/>
    <w:rsid w:val="00675D60"/>
    <w:rsid w:val="00675EF6"/>
    <w:rsid w:val="00676588"/>
    <w:rsid w:val="0067693F"/>
    <w:rsid w:val="00676E51"/>
    <w:rsid w:val="00677337"/>
    <w:rsid w:val="00677E2B"/>
    <w:rsid w:val="00680BB9"/>
    <w:rsid w:val="00681AB2"/>
    <w:rsid w:val="00681E4C"/>
    <w:rsid w:val="006821FD"/>
    <w:rsid w:val="00682C84"/>
    <w:rsid w:val="0068347F"/>
    <w:rsid w:val="006837D3"/>
    <w:rsid w:val="006840AD"/>
    <w:rsid w:val="006844D7"/>
    <w:rsid w:val="006846B8"/>
    <w:rsid w:val="00684E68"/>
    <w:rsid w:val="00685262"/>
    <w:rsid w:val="00685596"/>
    <w:rsid w:val="0068589B"/>
    <w:rsid w:val="00685ECF"/>
    <w:rsid w:val="00685EF4"/>
    <w:rsid w:val="00686397"/>
    <w:rsid w:val="0068657B"/>
    <w:rsid w:val="006868CB"/>
    <w:rsid w:val="00687BC3"/>
    <w:rsid w:val="006902CE"/>
    <w:rsid w:val="006902D1"/>
    <w:rsid w:val="00690F66"/>
    <w:rsid w:val="006923FA"/>
    <w:rsid w:val="00692564"/>
    <w:rsid w:val="006927B5"/>
    <w:rsid w:val="00692E76"/>
    <w:rsid w:val="006934F2"/>
    <w:rsid w:val="00693A6C"/>
    <w:rsid w:val="00693E34"/>
    <w:rsid w:val="00694411"/>
    <w:rsid w:val="00694B54"/>
    <w:rsid w:val="00694E58"/>
    <w:rsid w:val="00694F06"/>
    <w:rsid w:val="00695717"/>
    <w:rsid w:val="00695D78"/>
    <w:rsid w:val="0069647F"/>
    <w:rsid w:val="00696D88"/>
    <w:rsid w:val="00696E3B"/>
    <w:rsid w:val="00696E75"/>
    <w:rsid w:val="006974AE"/>
    <w:rsid w:val="00697A3F"/>
    <w:rsid w:val="006A05E7"/>
    <w:rsid w:val="006A0789"/>
    <w:rsid w:val="006A0AC0"/>
    <w:rsid w:val="006A0E79"/>
    <w:rsid w:val="006A1BF7"/>
    <w:rsid w:val="006A1FBD"/>
    <w:rsid w:val="006A25DC"/>
    <w:rsid w:val="006A2DC1"/>
    <w:rsid w:val="006A36DD"/>
    <w:rsid w:val="006A3872"/>
    <w:rsid w:val="006A5DCC"/>
    <w:rsid w:val="006A6631"/>
    <w:rsid w:val="006A6F1A"/>
    <w:rsid w:val="006A715C"/>
    <w:rsid w:val="006A7218"/>
    <w:rsid w:val="006A7911"/>
    <w:rsid w:val="006A7C0D"/>
    <w:rsid w:val="006B1998"/>
    <w:rsid w:val="006B2EE8"/>
    <w:rsid w:val="006B3502"/>
    <w:rsid w:val="006B3CF7"/>
    <w:rsid w:val="006B49A2"/>
    <w:rsid w:val="006B532A"/>
    <w:rsid w:val="006B5733"/>
    <w:rsid w:val="006B6145"/>
    <w:rsid w:val="006B71DA"/>
    <w:rsid w:val="006B7D01"/>
    <w:rsid w:val="006B7DA6"/>
    <w:rsid w:val="006B7F81"/>
    <w:rsid w:val="006C0A50"/>
    <w:rsid w:val="006C1986"/>
    <w:rsid w:val="006C326C"/>
    <w:rsid w:val="006C41D5"/>
    <w:rsid w:val="006C4428"/>
    <w:rsid w:val="006C453B"/>
    <w:rsid w:val="006C4DA5"/>
    <w:rsid w:val="006C5758"/>
    <w:rsid w:val="006C5AE0"/>
    <w:rsid w:val="006C5B96"/>
    <w:rsid w:val="006C5C79"/>
    <w:rsid w:val="006C64F8"/>
    <w:rsid w:val="006C6E82"/>
    <w:rsid w:val="006C7025"/>
    <w:rsid w:val="006C792C"/>
    <w:rsid w:val="006C799D"/>
    <w:rsid w:val="006D03C2"/>
    <w:rsid w:val="006D10D2"/>
    <w:rsid w:val="006D1697"/>
    <w:rsid w:val="006D1F32"/>
    <w:rsid w:val="006D219E"/>
    <w:rsid w:val="006D239B"/>
    <w:rsid w:val="006D363F"/>
    <w:rsid w:val="006D4BA4"/>
    <w:rsid w:val="006D4C23"/>
    <w:rsid w:val="006D50C7"/>
    <w:rsid w:val="006D5414"/>
    <w:rsid w:val="006D569D"/>
    <w:rsid w:val="006D6097"/>
    <w:rsid w:val="006D68F3"/>
    <w:rsid w:val="006D6BF5"/>
    <w:rsid w:val="006D7178"/>
    <w:rsid w:val="006D726B"/>
    <w:rsid w:val="006D72AA"/>
    <w:rsid w:val="006D73E7"/>
    <w:rsid w:val="006E059A"/>
    <w:rsid w:val="006E0F50"/>
    <w:rsid w:val="006E1169"/>
    <w:rsid w:val="006E18A8"/>
    <w:rsid w:val="006E1E7C"/>
    <w:rsid w:val="006E3F64"/>
    <w:rsid w:val="006E48FC"/>
    <w:rsid w:val="006E493B"/>
    <w:rsid w:val="006E4E33"/>
    <w:rsid w:val="006E5482"/>
    <w:rsid w:val="006E5ED8"/>
    <w:rsid w:val="006E6085"/>
    <w:rsid w:val="006E7F59"/>
    <w:rsid w:val="006F04EC"/>
    <w:rsid w:val="006F0796"/>
    <w:rsid w:val="006F081E"/>
    <w:rsid w:val="006F105E"/>
    <w:rsid w:val="006F163A"/>
    <w:rsid w:val="006F18D0"/>
    <w:rsid w:val="006F1D5F"/>
    <w:rsid w:val="006F38A6"/>
    <w:rsid w:val="006F3F47"/>
    <w:rsid w:val="006F444A"/>
    <w:rsid w:val="006F4982"/>
    <w:rsid w:val="006F4C27"/>
    <w:rsid w:val="006F55B3"/>
    <w:rsid w:val="006F582F"/>
    <w:rsid w:val="006F5D00"/>
    <w:rsid w:val="006F6EFD"/>
    <w:rsid w:val="006F7215"/>
    <w:rsid w:val="006F7933"/>
    <w:rsid w:val="00700003"/>
    <w:rsid w:val="0070037C"/>
    <w:rsid w:val="00701330"/>
    <w:rsid w:val="00701448"/>
    <w:rsid w:val="007016A1"/>
    <w:rsid w:val="00701901"/>
    <w:rsid w:val="007022EF"/>
    <w:rsid w:val="00702E1E"/>
    <w:rsid w:val="00703838"/>
    <w:rsid w:val="00703BA6"/>
    <w:rsid w:val="00703C66"/>
    <w:rsid w:val="00703D4D"/>
    <w:rsid w:val="0070499D"/>
    <w:rsid w:val="00704A91"/>
    <w:rsid w:val="00704C95"/>
    <w:rsid w:val="007066F8"/>
    <w:rsid w:val="00706D86"/>
    <w:rsid w:val="00706FEB"/>
    <w:rsid w:val="00707936"/>
    <w:rsid w:val="00710161"/>
    <w:rsid w:val="00710399"/>
    <w:rsid w:val="00710DF6"/>
    <w:rsid w:val="00710EFB"/>
    <w:rsid w:val="00711188"/>
    <w:rsid w:val="007112A0"/>
    <w:rsid w:val="007115A9"/>
    <w:rsid w:val="00711700"/>
    <w:rsid w:val="00712172"/>
    <w:rsid w:val="00712547"/>
    <w:rsid w:val="007126AF"/>
    <w:rsid w:val="00713185"/>
    <w:rsid w:val="007132B2"/>
    <w:rsid w:val="007140C5"/>
    <w:rsid w:val="00714CE4"/>
    <w:rsid w:val="00716341"/>
    <w:rsid w:val="007164B3"/>
    <w:rsid w:val="00716574"/>
    <w:rsid w:val="007167FF"/>
    <w:rsid w:val="00716A34"/>
    <w:rsid w:val="00716AE0"/>
    <w:rsid w:val="00717778"/>
    <w:rsid w:val="0071795E"/>
    <w:rsid w:val="00717E5B"/>
    <w:rsid w:val="00720422"/>
    <w:rsid w:val="007217CB"/>
    <w:rsid w:val="007230BE"/>
    <w:rsid w:val="00723921"/>
    <w:rsid w:val="00724040"/>
    <w:rsid w:val="007240A9"/>
    <w:rsid w:val="007242BE"/>
    <w:rsid w:val="0072485F"/>
    <w:rsid w:val="00724C61"/>
    <w:rsid w:val="0072571A"/>
    <w:rsid w:val="00725754"/>
    <w:rsid w:val="007268FC"/>
    <w:rsid w:val="00726C4E"/>
    <w:rsid w:val="007273F7"/>
    <w:rsid w:val="007279E9"/>
    <w:rsid w:val="00730387"/>
    <w:rsid w:val="00730992"/>
    <w:rsid w:val="00730D52"/>
    <w:rsid w:val="007310AB"/>
    <w:rsid w:val="00731110"/>
    <w:rsid w:val="00731164"/>
    <w:rsid w:val="007311BC"/>
    <w:rsid w:val="0073143F"/>
    <w:rsid w:val="007319F6"/>
    <w:rsid w:val="00731A09"/>
    <w:rsid w:val="00731EDE"/>
    <w:rsid w:val="0073284C"/>
    <w:rsid w:val="00733362"/>
    <w:rsid w:val="0073390C"/>
    <w:rsid w:val="0073402A"/>
    <w:rsid w:val="00734F08"/>
    <w:rsid w:val="007351A0"/>
    <w:rsid w:val="00735E02"/>
    <w:rsid w:val="00735FA6"/>
    <w:rsid w:val="00736019"/>
    <w:rsid w:val="0073623D"/>
    <w:rsid w:val="007371B4"/>
    <w:rsid w:val="007374DA"/>
    <w:rsid w:val="00737961"/>
    <w:rsid w:val="00737F2F"/>
    <w:rsid w:val="00740141"/>
    <w:rsid w:val="00740F35"/>
    <w:rsid w:val="0074116B"/>
    <w:rsid w:val="00741254"/>
    <w:rsid w:val="007412E2"/>
    <w:rsid w:val="00741406"/>
    <w:rsid w:val="00741B3F"/>
    <w:rsid w:val="00741C8C"/>
    <w:rsid w:val="00741FE1"/>
    <w:rsid w:val="00742B01"/>
    <w:rsid w:val="00743577"/>
    <w:rsid w:val="00744DFC"/>
    <w:rsid w:val="00745048"/>
    <w:rsid w:val="0074585E"/>
    <w:rsid w:val="00745BC8"/>
    <w:rsid w:val="00745BD3"/>
    <w:rsid w:val="00745C75"/>
    <w:rsid w:val="007462F7"/>
    <w:rsid w:val="00747AA6"/>
    <w:rsid w:val="00747C40"/>
    <w:rsid w:val="007503A1"/>
    <w:rsid w:val="007505F6"/>
    <w:rsid w:val="0075098C"/>
    <w:rsid w:val="00750AE9"/>
    <w:rsid w:val="0075117D"/>
    <w:rsid w:val="007512F6"/>
    <w:rsid w:val="00751497"/>
    <w:rsid w:val="0075187A"/>
    <w:rsid w:val="007522DF"/>
    <w:rsid w:val="007523C1"/>
    <w:rsid w:val="007525A5"/>
    <w:rsid w:val="0075322F"/>
    <w:rsid w:val="007533D5"/>
    <w:rsid w:val="00753458"/>
    <w:rsid w:val="00753AE0"/>
    <w:rsid w:val="00753E9B"/>
    <w:rsid w:val="00753ED1"/>
    <w:rsid w:val="00754902"/>
    <w:rsid w:val="0075516E"/>
    <w:rsid w:val="00755AA5"/>
    <w:rsid w:val="00755F6C"/>
    <w:rsid w:val="00756012"/>
    <w:rsid w:val="0075631D"/>
    <w:rsid w:val="00756580"/>
    <w:rsid w:val="007570D1"/>
    <w:rsid w:val="0075798D"/>
    <w:rsid w:val="007579A4"/>
    <w:rsid w:val="00757E24"/>
    <w:rsid w:val="0076093A"/>
    <w:rsid w:val="00760BFE"/>
    <w:rsid w:val="007622B9"/>
    <w:rsid w:val="0076240D"/>
    <w:rsid w:val="00762481"/>
    <w:rsid w:val="007627E7"/>
    <w:rsid w:val="007633D0"/>
    <w:rsid w:val="00763BAE"/>
    <w:rsid w:val="00763DAC"/>
    <w:rsid w:val="00763F9B"/>
    <w:rsid w:val="00763FF7"/>
    <w:rsid w:val="007643BD"/>
    <w:rsid w:val="00764739"/>
    <w:rsid w:val="00764F95"/>
    <w:rsid w:val="00765355"/>
    <w:rsid w:val="0076590C"/>
    <w:rsid w:val="00765F43"/>
    <w:rsid w:val="0076651F"/>
    <w:rsid w:val="00766573"/>
    <w:rsid w:val="0076698F"/>
    <w:rsid w:val="00766CDE"/>
    <w:rsid w:val="00766D98"/>
    <w:rsid w:val="00767686"/>
    <w:rsid w:val="00767DA3"/>
    <w:rsid w:val="007704BA"/>
    <w:rsid w:val="007707CF"/>
    <w:rsid w:val="00770C24"/>
    <w:rsid w:val="00770E29"/>
    <w:rsid w:val="00771791"/>
    <w:rsid w:val="00771997"/>
    <w:rsid w:val="00772320"/>
    <w:rsid w:val="007741CF"/>
    <w:rsid w:val="00774B46"/>
    <w:rsid w:val="0077512C"/>
    <w:rsid w:val="00775280"/>
    <w:rsid w:val="007752AD"/>
    <w:rsid w:val="00775AF7"/>
    <w:rsid w:val="0077606D"/>
    <w:rsid w:val="0077636A"/>
    <w:rsid w:val="00776520"/>
    <w:rsid w:val="00776695"/>
    <w:rsid w:val="0077680A"/>
    <w:rsid w:val="00777B80"/>
    <w:rsid w:val="007807A6"/>
    <w:rsid w:val="00780F14"/>
    <w:rsid w:val="00781C54"/>
    <w:rsid w:val="00781C95"/>
    <w:rsid w:val="007827CA"/>
    <w:rsid w:val="00782DAB"/>
    <w:rsid w:val="00783322"/>
    <w:rsid w:val="0078345A"/>
    <w:rsid w:val="007844CC"/>
    <w:rsid w:val="0078487E"/>
    <w:rsid w:val="0078499A"/>
    <w:rsid w:val="0078504A"/>
    <w:rsid w:val="0078513F"/>
    <w:rsid w:val="007857A0"/>
    <w:rsid w:val="00785A8E"/>
    <w:rsid w:val="00785B09"/>
    <w:rsid w:val="00785B3D"/>
    <w:rsid w:val="00786318"/>
    <w:rsid w:val="0078638C"/>
    <w:rsid w:val="0078672A"/>
    <w:rsid w:val="007871E8"/>
    <w:rsid w:val="00787B83"/>
    <w:rsid w:val="00787C80"/>
    <w:rsid w:val="0079088F"/>
    <w:rsid w:val="00790B91"/>
    <w:rsid w:val="00790F8D"/>
    <w:rsid w:val="007913B8"/>
    <w:rsid w:val="007919F0"/>
    <w:rsid w:val="00791EDE"/>
    <w:rsid w:val="00792742"/>
    <w:rsid w:val="00792C01"/>
    <w:rsid w:val="00792E20"/>
    <w:rsid w:val="00793205"/>
    <w:rsid w:val="007932EE"/>
    <w:rsid w:val="0079363B"/>
    <w:rsid w:val="00793B64"/>
    <w:rsid w:val="007944C7"/>
    <w:rsid w:val="00794AD5"/>
    <w:rsid w:val="00794CB7"/>
    <w:rsid w:val="00795580"/>
    <w:rsid w:val="007959C2"/>
    <w:rsid w:val="00795D71"/>
    <w:rsid w:val="0079643A"/>
    <w:rsid w:val="00796A70"/>
    <w:rsid w:val="00796D68"/>
    <w:rsid w:val="007A01B3"/>
    <w:rsid w:val="007A0481"/>
    <w:rsid w:val="007A05E2"/>
    <w:rsid w:val="007A0963"/>
    <w:rsid w:val="007A0B0E"/>
    <w:rsid w:val="007A0C20"/>
    <w:rsid w:val="007A0EF1"/>
    <w:rsid w:val="007A1093"/>
    <w:rsid w:val="007A10A8"/>
    <w:rsid w:val="007A1781"/>
    <w:rsid w:val="007A17EE"/>
    <w:rsid w:val="007A1802"/>
    <w:rsid w:val="007A4106"/>
    <w:rsid w:val="007A50F0"/>
    <w:rsid w:val="007A53F8"/>
    <w:rsid w:val="007A56A0"/>
    <w:rsid w:val="007A5ADA"/>
    <w:rsid w:val="007A5CAB"/>
    <w:rsid w:val="007A5E35"/>
    <w:rsid w:val="007A5EF1"/>
    <w:rsid w:val="007A62C0"/>
    <w:rsid w:val="007A645B"/>
    <w:rsid w:val="007A64AE"/>
    <w:rsid w:val="007A6F30"/>
    <w:rsid w:val="007A7606"/>
    <w:rsid w:val="007A7832"/>
    <w:rsid w:val="007A7A36"/>
    <w:rsid w:val="007A7A7F"/>
    <w:rsid w:val="007B09C9"/>
    <w:rsid w:val="007B0CD5"/>
    <w:rsid w:val="007B0F98"/>
    <w:rsid w:val="007B14B5"/>
    <w:rsid w:val="007B1B51"/>
    <w:rsid w:val="007B1BFC"/>
    <w:rsid w:val="007B248A"/>
    <w:rsid w:val="007B36B5"/>
    <w:rsid w:val="007B3724"/>
    <w:rsid w:val="007B43CC"/>
    <w:rsid w:val="007B4AE9"/>
    <w:rsid w:val="007B51D9"/>
    <w:rsid w:val="007B531C"/>
    <w:rsid w:val="007B53A0"/>
    <w:rsid w:val="007B68A6"/>
    <w:rsid w:val="007B6A89"/>
    <w:rsid w:val="007B6E28"/>
    <w:rsid w:val="007B6F52"/>
    <w:rsid w:val="007B71E0"/>
    <w:rsid w:val="007C0569"/>
    <w:rsid w:val="007C0D57"/>
    <w:rsid w:val="007C145D"/>
    <w:rsid w:val="007C1718"/>
    <w:rsid w:val="007C1940"/>
    <w:rsid w:val="007C24BD"/>
    <w:rsid w:val="007C2B23"/>
    <w:rsid w:val="007C2C5D"/>
    <w:rsid w:val="007C2C83"/>
    <w:rsid w:val="007C3211"/>
    <w:rsid w:val="007C38C4"/>
    <w:rsid w:val="007C38DD"/>
    <w:rsid w:val="007C3DAE"/>
    <w:rsid w:val="007C435D"/>
    <w:rsid w:val="007C4707"/>
    <w:rsid w:val="007C4C30"/>
    <w:rsid w:val="007C54C7"/>
    <w:rsid w:val="007C5E64"/>
    <w:rsid w:val="007C69C7"/>
    <w:rsid w:val="007C6F2A"/>
    <w:rsid w:val="007C73A9"/>
    <w:rsid w:val="007C7803"/>
    <w:rsid w:val="007C7CBD"/>
    <w:rsid w:val="007D04A9"/>
    <w:rsid w:val="007D0603"/>
    <w:rsid w:val="007D0900"/>
    <w:rsid w:val="007D0E26"/>
    <w:rsid w:val="007D12FD"/>
    <w:rsid w:val="007D1A1A"/>
    <w:rsid w:val="007D1ED3"/>
    <w:rsid w:val="007D2608"/>
    <w:rsid w:val="007D2ED2"/>
    <w:rsid w:val="007D31A8"/>
    <w:rsid w:val="007D38F4"/>
    <w:rsid w:val="007D396F"/>
    <w:rsid w:val="007D3A10"/>
    <w:rsid w:val="007D3AF4"/>
    <w:rsid w:val="007D411E"/>
    <w:rsid w:val="007D41B1"/>
    <w:rsid w:val="007D4F4D"/>
    <w:rsid w:val="007D55C6"/>
    <w:rsid w:val="007D5BC9"/>
    <w:rsid w:val="007D5D5E"/>
    <w:rsid w:val="007D608C"/>
    <w:rsid w:val="007D615D"/>
    <w:rsid w:val="007D6C0F"/>
    <w:rsid w:val="007D7216"/>
    <w:rsid w:val="007D7EF6"/>
    <w:rsid w:val="007D7FC5"/>
    <w:rsid w:val="007E069C"/>
    <w:rsid w:val="007E218D"/>
    <w:rsid w:val="007E2887"/>
    <w:rsid w:val="007E2BC9"/>
    <w:rsid w:val="007E32C2"/>
    <w:rsid w:val="007E35F3"/>
    <w:rsid w:val="007E37C1"/>
    <w:rsid w:val="007E3858"/>
    <w:rsid w:val="007E3F44"/>
    <w:rsid w:val="007E433B"/>
    <w:rsid w:val="007E45AC"/>
    <w:rsid w:val="007E4F92"/>
    <w:rsid w:val="007E50E9"/>
    <w:rsid w:val="007E59C4"/>
    <w:rsid w:val="007E5ABF"/>
    <w:rsid w:val="007E7BF2"/>
    <w:rsid w:val="007E7CF1"/>
    <w:rsid w:val="007E7FF3"/>
    <w:rsid w:val="007F03F0"/>
    <w:rsid w:val="007F050D"/>
    <w:rsid w:val="007F0662"/>
    <w:rsid w:val="007F204D"/>
    <w:rsid w:val="007F24A8"/>
    <w:rsid w:val="007F3084"/>
    <w:rsid w:val="007F4B8C"/>
    <w:rsid w:val="007F4D03"/>
    <w:rsid w:val="007F58C8"/>
    <w:rsid w:val="007F5C7D"/>
    <w:rsid w:val="007F5CA3"/>
    <w:rsid w:val="007F5D2D"/>
    <w:rsid w:val="007F6030"/>
    <w:rsid w:val="007F615D"/>
    <w:rsid w:val="007F6447"/>
    <w:rsid w:val="007F64A2"/>
    <w:rsid w:val="007F6608"/>
    <w:rsid w:val="007F66D2"/>
    <w:rsid w:val="007F6A5D"/>
    <w:rsid w:val="007F6E1C"/>
    <w:rsid w:val="007F731D"/>
    <w:rsid w:val="007F785D"/>
    <w:rsid w:val="00800860"/>
    <w:rsid w:val="00800912"/>
    <w:rsid w:val="00800E4B"/>
    <w:rsid w:val="008015FA"/>
    <w:rsid w:val="00801BA0"/>
    <w:rsid w:val="00802F10"/>
    <w:rsid w:val="00803190"/>
    <w:rsid w:val="0080329A"/>
    <w:rsid w:val="00803360"/>
    <w:rsid w:val="008041A6"/>
    <w:rsid w:val="0080430D"/>
    <w:rsid w:val="008045E2"/>
    <w:rsid w:val="00805253"/>
    <w:rsid w:val="008059EE"/>
    <w:rsid w:val="00805B15"/>
    <w:rsid w:val="00805ECB"/>
    <w:rsid w:val="0080613C"/>
    <w:rsid w:val="008062D7"/>
    <w:rsid w:val="008066FF"/>
    <w:rsid w:val="008067DA"/>
    <w:rsid w:val="00806872"/>
    <w:rsid w:val="00806C97"/>
    <w:rsid w:val="008079D7"/>
    <w:rsid w:val="0081030E"/>
    <w:rsid w:val="008104B8"/>
    <w:rsid w:val="00810505"/>
    <w:rsid w:val="0081151A"/>
    <w:rsid w:val="00811737"/>
    <w:rsid w:val="00811910"/>
    <w:rsid w:val="00811DA7"/>
    <w:rsid w:val="00811F49"/>
    <w:rsid w:val="008126D0"/>
    <w:rsid w:val="00812F15"/>
    <w:rsid w:val="008132EE"/>
    <w:rsid w:val="00813365"/>
    <w:rsid w:val="00813C68"/>
    <w:rsid w:val="00813CAF"/>
    <w:rsid w:val="008140C5"/>
    <w:rsid w:val="008142C5"/>
    <w:rsid w:val="008146C4"/>
    <w:rsid w:val="0081520D"/>
    <w:rsid w:val="008153D3"/>
    <w:rsid w:val="00815D7F"/>
    <w:rsid w:val="00816336"/>
    <w:rsid w:val="00816FAD"/>
    <w:rsid w:val="00817057"/>
    <w:rsid w:val="00817439"/>
    <w:rsid w:val="0081754B"/>
    <w:rsid w:val="00817ABD"/>
    <w:rsid w:val="00817B47"/>
    <w:rsid w:val="0082003B"/>
    <w:rsid w:val="0082079E"/>
    <w:rsid w:val="00820A96"/>
    <w:rsid w:val="00821916"/>
    <w:rsid w:val="008220A5"/>
    <w:rsid w:val="00822173"/>
    <w:rsid w:val="008227ED"/>
    <w:rsid w:val="00823158"/>
    <w:rsid w:val="00823835"/>
    <w:rsid w:val="00823ACB"/>
    <w:rsid w:val="00824060"/>
    <w:rsid w:val="00824CEC"/>
    <w:rsid w:val="00824D13"/>
    <w:rsid w:val="008250B5"/>
    <w:rsid w:val="00825306"/>
    <w:rsid w:val="00825532"/>
    <w:rsid w:val="00825745"/>
    <w:rsid w:val="0082598A"/>
    <w:rsid w:val="00826EC0"/>
    <w:rsid w:val="00827E17"/>
    <w:rsid w:val="00830F04"/>
    <w:rsid w:val="008311B6"/>
    <w:rsid w:val="008315FA"/>
    <w:rsid w:val="00831D90"/>
    <w:rsid w:val="008325F3"/>
    <w:rsid w:val="00832DFC"/>
    <w:rsid w:val="00833CA0"/>
    <w:rsid w:val="00833DA3"/>
    <w:rsid w:val="00834D42"/>
    <w:rsid w:val="00835EA6"/>
    <w:rsid w:val="00836215"/>
    <w:rsid w:val="0083637F"/>
    <w:rsid w:val="008365FA"/>
    <w:rsid w:val="00836984"/>
    <w:rsid w:val="008370BD"/>
    <w:rsid w:val="00837263"/>
    <w:rsid w:val="008373C1"/>
    <w:rsid w:val="008373DB"/>
    <w:rsid w:val="0084017C"/>
    <w:rsid w:val="0084042E"/>
    <w:rsid w:val="00840B04"/>
    <w:rsid w:val="00840B79"/>
    <w:rsid w:val="00840F03"/>
    <w:rsid w:val="00841491"/>
    <w:rsid w:val="00841960"/>
    <w:rsid w:val="00841D31"/>
    <w:rsid w:val="00841D70"/>
    <w:rsid w:val="008424E2"/>
    <w:rsid w:val="00842792"/>
    <w:rsid w:val="00842CA5"/>
    <w:rsid w:val="00842E66"/>
    <w:rsid w:val="0084382D"/>
    <w:rsid w:val="00843A43"/>
    <w:rsid w:val="00843B93"/>
    <w:rsid w:val="00844635"/>
    <w:rsid w:val="00844743"/>
    <w:rsid w:val="00845472"/>
    <w:rsid w:val="00845553"/>
    <w:rsid w:val="00845BDF"/>
    <w:rsid w:val="00845F74"/>
    <w:rsid w:val="00845FB8"/>
    <w:rsid w:val="008461E4"/>
    <w:rsid w:val="00846FF2"/>
    <w:rsid w:val="008477C9"/>
    <w:rsid w:val="00850031"/>
    <w:rsid w:val="00850277"/>
    <w:rsid w:val="008516A5"/>
    <w:rsid w:val="00851891"/>
    <w:rsid w:val="00851F98"/>
    <w:rsid w:val="00852104"/>
    <w:rsid w:val="0085223D"/>
    <w:rsid w:val="00852510"/>
    <w:rsid w:val="00852BD5"/>
    <w:rsid w:val="00852F59"/>
    <w:rsid w:val="00853046"/>
    <w:rsid w:val="00853298"/>
    <w:rsid w:val="00853397"/>
    <w:rsid w:val="008533FF"/>
    <w:rsid w:val="00853868"/>
    <w:rsid w:val="00853DE0"/>
    <w:rsid w:val="00853E22"/>
    <w:rsid w:val="008544F2"/>
    <w:rsid w:val="00854ABE"/>
    <w:rsid w:val="00854DB4"/>
    <w:rsid w:val="00855270"/>
    <w:rsid w:val="00856CD5"/>
    <w:rsid w:val="00856F6B"/>
    <w:rsid w:val="008573ED"/>
    <w:rsid w:val="00857405"/>
    <w:rsid w:val="00857E82"/>
    <w:rsid w:val="00860BDB"/>
    <w:rsid w:val="00860C0F"/>
    <w:rsid w:val="00861963"/>
    <w:rsid w:val="00861D31"/>
    <w:rsid w:val="00862241"/>
    <w:rsid w:val="008625E9"/>
    <w:rsid w:val="00862879"/>
    <w:rsid w:val="00862B66"/>
    <w:rsid w:val="00862E68"/>
    <w:rsid w:val="00862EA0"/>
    <w:rsid w:val="00863486"/>
    <w:rsid w:val="00863C1C"/>
    <w:rsid w:val="00863F6D"/>
    <w:rsid w:val="008640FF"/>
    <w:rsid w:val="00864DF7"/>
    <w:rsid w:val="00866451"/>
    <w:rsid w:val="008676FC"/>
    <w:rsid w:val="00867ADC"/>
    <w:rsid w:val="008702C8"/>
    <w:rsid w:val="00870E88"/>
    <w:rsid w:val="0087152E"/>
    <w:rsid w:val="00872D74"/>
    <w:rsid w:val="00872EA7"/>
    <w:rsid w:val="0087301C"/>
    <w:rsid w:val="00873487"/>
    <w:rsid w:val="0087357F"/>
    <w:rsid w:val="00873E2F"/>
    <w:rsid w:val="008750A6"/>
    <w:rsid w:val="00876591"/>
    <w:rsid w:val="00876752"/>
    <w:rsid w:val="008767EC"/>
    <w:rsid w:val="00876D60"/>
    <w:rsid w:val="00876DFE"/>
    <w:rsid w:val="00876F36"/>
    <w:rsid w:val="0087711C"/>
    <w:rsid w:val="008772C4"/>
    <w:rsid w:val="00877525"/>
    <w:rsid w:val="00877554"/>
    <w:rsid w:val="00877F59"/>
    <w:rsid w:val="0088091C"/>
    <w:rsid w:val="00880AB7"/>
    <w:rsid w:val="008835B7"/>
    <w:rsid w:val="00883A86"/>
    <w:rsid w:val="008846A1"/>
    <w:rsid w:val="00884923"/>
    <w:rsid w:val="00884A0B"/>
    <w:rsid w:val="00884A6D"/>
    <w:rsid w:val="00884B08"/>
    <w:rsid w:val="0088522E"/>
    <w:rsid w:val="00885BF6"/>
    <w:rsid w:val="00885C4D"/>
    <w:rsid w:val="008862D1"/>
    <w:rsid w:val="00886BFA"/>
    <w:rsid w:val="00886C9B"/>
    <w:rsid w:val="00886CD4"/>
    <w:rsid w:val="00887060"/>
    <w:rsid w:val="008900FB"/>
    <w:rsid w:val="0089014C"/>
    <w:rsid w:val="0089098F"/>
    <w:rsid w:val="00890A30"/>
    <w:rsid w:val="00892305"/>
    <w:rsid w:val="008924C2"/>
    <w:rsid w:val="0089293A"/>
    <w:rsid w:val="00892BAF"/>
    <w:rsid w:val="008937B1"/>
    <w:rsid w:val="00893A14"/>
    <w:rsid w:val="00893D82"/>
    <w:rsid w:val="00893FE3"/>
    <w:rsid w:val="008940E2"/>
    <w:rsid w:val="0089411C"/>
    <w:rsid w:val="008943D3"/>
    <w:rsid w:val="0089440E"/>
    <w:rsid w:val="008945C7"/>
    <w:rsid w:val="00894A95"/>
    <w:rsid w:val="00895847"/>
    <w:rsid w:val="00895A77"/>
    <w:rsid w:val="00895CE1"/>
    <w:rsid w:val="00896E1C"/>
    <w:rsid w:val="0089778E"/>
    <w:rsid w:val="008A0177"/>
    <w:rsid w:val="008A0454"/>
    <w:rsid w:val="008A0469"/>
    <w:rsid w:val="008A1648"/>
    <w:rsid w:val="008A2003"/>
    <w:rsid w:val="008A2ABC"/>
    <w:rsid w:val="008A31A1"/>
    <w:rsid w:val="008A3303"/>
    <w:rsid w:val="008A3630"/>
    <w:rsid w:val="008A3CEB"/>
    <w:rsid w:val="008A3F07"/>
    <w:rsid w:val="008A406B"/>
    <w:rsid w:val="008A4100"/>
    <w:rsid w:val="008A42DB"/>
    <w:rsid w:val="008A4830"/>
    <w:rsid w:val="008A5110"/>
    <w:rsid w:val="008A544B"/>
    <w:rsid w:val="008A5AB4"/>
    <w:rsid w:val="008A5B97"/>
    <w:rsid w:val="008A5D18"/>
    <w:rsid w:val="008A6262"/>
    <w:rsid w:val="008A6384"/>
    <w:rsid w:val="008A783F"/>
    <w:rsid w:val="008A7C8E"/>
    <w:rsid w:val="008B098D"/>
    <w:rsid w:val="008B0F1B"/>
    <w:rsid w:val="008B1149"/>
    <w:rsid w:val="008B12FC"/>
    <w:rsid w:val="008B19E9"/>
    <w:rsid w:val="008B1DD5"/>
    <w:rsid w:val="008B2231"/>
    <w:rsid w:val="008B284B"/>
    <w:rsid w:val="008B41A9"/>
    <w:rsid w:val="008B444C"/>
    <w:rsid w:val="008B4AC5"/>
    <w:rsid w:val="008B50A2"/>
    <w:rsid w:val="008B55D4"/>
    <w:rsid w:val="008B5FD8"/>
    <w:rsid w:val="008B62A0"/>
    <w:rsid w:val="008B6A06"/>
    <w:rsid w:val="008C01BC"/>
    <w:rsid w:val="008C06CA"/>
    <w:rsid w:val="008C0D3C"/>
    <w:rsid w:val="008C151B"/>
    <w:rsid w:val="008C1931"/>
    <w:rsid w:val="008C1958"/>
    <w:rsid w:val="008C2223"/>
    <w:rsid w:val="008C22BD"/>
    <w:rsid w:val="008C2313"/>
    <w:rsid w:val="008C2427"/>
    <w:rsid w:val="008C288B"/>
    <w:rsid w:val="008C40A5"/>
    <w:rsid w:val="008C443E"/>
    <w:rsid w:val="008C4889"/>
    <w:rsid w:val="008C4F3E"/>
    <w:rsid w:val="008C524B"/>
    <w:rsid w:val="008C5267"/>
    <w:rsid w:val="008C552E"/>
    <w:rsid w:val="008C68A4"/>
    <w:rsid w:val="008C7151"/>
    <w:rsid w:val="008C72D5"/>
    <w:rsid w:val="008C75A8"/>
    <w:rsid w:val="008C788B"/>
    <w:rsid w:val="008C7A7C"/>
    <w:rsid w:val="008C7C5B"/>
    <w:rsid w:val="008C7CC0"/>
    <w:rsid w:val="008C7DE5"/>
    <w:rsid w:val="008D09BF"/>
    <w:rsid w:val="008D181C"/>
    <w:rsid w:val="008D2F3D"/>
    <w:rsid w:val="008D3542"/>
    <w:rsid w:val="008D3970"/>
    <w:rsid w:val="008D42F2"/>
    <w:rsid w:val="008D42FE"/>
    <w:rsid w:val="008D504B"/>
    <w:rsid w:val="008D5072"/>
    <w:rsid w:val="008D565C"/>
    <w:rsid w:val="008D6C4A"/>
    <w:rsid w:val="008D7021"/>
    <w:rsid w:val="008D7138"/>
    <w:rsid w:val="008D7517"/>
    <w:rsid w:val="008D7E2D"/>
    <w:rsid w:val="008E0E6B"/>
    <w:rsid w:val="008E1187"/>
    <w:rsid w:val="008E11A5"/>
    <w:rsid w:val="008E3524"/>
    <w:rsid w:val="008E3857"/>
    <w:rsid w:val="008E3AFF"/>
    <w:rsid w:val="008E4684"/>
    <w:rsid w:val="008E4DAA"/>
    <w:rsid w:val="008E4EEE"/>
    <w:rsid w:val="008E5811"/>
    <w:rsid w:val="008E5869"/>
    <w:rsid w:val="008E5A9D"/>
    <w:rsid w:val="008E5AAF"/>
    <w:rsid w:val="008E5BE9"/>
    <w:rsid w:val="008E64F6"/>
    <w:rsid w:val="008E658C"/>
    <w:rsid w:val="008E6788"/>
    <w:rsid w:val="008E6999"/>
    <w:rsid w:val="008E717D"/>
    <w:rsid w:val="008E72F2"/>
    <w:rsid w:val="008E74A5"/>
    <w:rsid w:val="008E7558"/>
    <w:rsid w:val="008E7E78"/>
    <w:rsid w:val="008F0317"/>
    <w:rsid w:val="008F03E8"/>
    <w:rsid w:val="008F0599"/>
    <w:rsid w:val="008F07BF"/>
    <w:rsid w:val="008F08F7"/>
    <w:rsid w:val="008F0FB9"/>
    <w:rsid w:val="008F109B"/>
    <w:rsid w:val="008F11EE"/>
    <w:rsid w:val="008F1B87"/>
    <w:rsid w:val="008F30A4"/>
    <w:rsid w:val="008F4097"/>
    <w:rsid w:val="008F53D8"/>
    <w:rsid w:val="008F5CF5"/>
    <w:rsid w:val="008F5DD6"/>
    <w:rsid w:val="008F5EE4"/>
    <w:rsid w:val="008F66FE"/>
    <w:rsid w:val="008F6DF2"/>
    <w:rsid w:val="008F6E42"/>
    <w:rsid w:val="009001FF"/>
    <w:rsid w:val="00900543"/>
    <w:rsid w:val="00901185"/>
    <w:rsid w:val="0090252B"/>
    <w:rsid w:val="00902F68"/>
    <w:rsid w:val="0090308F"/>
    <w:rsid w:val="00903110"/>
    <w:rsid w:val="00903555"/>
    <w:rsid w:val="00903928"/>
    <w:rsid w:val="009043CD"/>
    <w:rsid w:val="0090444C"/>
    <w:rsid w:val="0090499D"/>
    <w:rsid w:val="00904DE8"/>
    <w:rsid w:val="00904F2D"/>
    <w:rsid w:val="00905000"/>
    <w:rsid w:val="00905240"/>
    <w:rsid w:val="009053DE"/>
    <w:rsid w:val="00905463"/>
    <w:rsid w:val="009055F5"/>
    <w:rsid w:val="00905C83"/>
    <w:rsid w:val="00906149"/>
    <w:rsid w:val="0090625B"/>
    <w:rsid w:val="0090678E"/>
    <w:rsid w:val="0090719F"/>
    <w:rsid w:val="009074DB"/>
    <w:rsid w:val="009078F5"/>
    <w:rsid w:val="00910104"/>
    <w:rsid w:val="00910EA9"/>
    <w:rsid w:val="009110BC"/>
    <w:rsid w:val="009122CB"/>
    <w:rsid w:val="00912B5A"/>
    <w:rsid w:val="00912E37"/>
    <w:rsid w:val="00913093"/>
    <w:rsid w:val="00913FA6"/>
    <w:rsid w:val="00913FEB"/>
    <w:rsid w:val="0091472A"/>
    <w:rsid w:val="00914AFF"/>
    <w:rsid w:val="00914D5D"/>
    <w:rsid w:val="00914E72"/>
    <w:rsid w:val="009151C0"/>
    <w:rsid w:val="00915A8B"/>
    <w:rsid w:val="00916250"/>
    <w:rsid w:val="00916519"/>
    <w:rsid w:val="009174F2"/>
    <w:rsid w:val="00917879"/>
    <w:rsid w:val="00917B96"/>
    <w:rsid w:val="00920122"/>
    <w:rsid w:val="00920BED"/>
    <w:rsid w:val="00920ECD"/>
    <w:rsid w:val="0092186A"/>
    <w:rsid w:val="00921EFD"/>
    <w:rsid w:val="00922092"/>
    <w:rsid w:val="00922373"/>
    <w:rsid w:val="009226C7"/>
    <w:rsid w:val="00922997"/>
    <w:rsid w:val="00922CB3"/>
    <w:rsid w:val="00923187"/>
    <w:rsid w:val="00923459"/>
    <w:rsid w:val="00923615"/>
    <w:rsid w:val="00923752"/>
    <w:rsid w:val="009241C7"/>
    <w:rsid w:val="00924679"/>
    <w:rsid w:val="0092480C"/>
    <w:rsid w:val="0092495E"/>
    <w:rsid w:val="009253B5"/>
    <w:rsid w:val="009255A3"/>
    <w:rsid w:val="009257C2"/>
    <w:rsid w:val="00925995"/>
    <w:rsid w:val="00926A71"/>
    <w:rsid w:val="00926AF1"/>
    <w:rsid w:val="00926E44"/>
    <w:rsid w:val="00927126"/>
    <w:rsid w:val="00927C3A"/>
    <w:rsid w:val="009303E7"/>
    <w:rsid w:val="00930500"/>
    <w:rsid w:val="00930EE6"/>
    <w:rsid w:val="0093154F"/>
    <w:rsid w:val="0093195E"/>
    <w:rsid w:val="009324D2"/>
    <w:rsid w:val="009326FC"/>
    <w:rsid w:val="00932933"/>
    <w:rsid w:val="00932BAD"/>
    <w:rsid w:val="00932D37"/>
    <w:rsid w:val="00933A31"/>
    <w:rsid w:val="00934473"/>
    <w:rsid w:val="0093561E"/>
    <w:rsid w:val="00935639"/>
    <w:rsid w:val="00935B01"/>
    <w:rsid w:val="00935B2C"/>
    <w:rsid w:val="00935DDF"/>
    <w:rsid w:val="009361B4"/>
    <w:rsid w:val="00937120"/>
    <w:rsid w:val="00937170"/>
    <w:rsid w:val="0093729C"/>
    <w:rsid w:val="00937804"/>
    <w:rsid w:val="00937A5A"/>
    <w:rsid w:val="00937BA3"/>
    <w:rsid w:val="00940BD5"/>
    <w:rsid w:val="00940D56"/>
    <w:rsid w:val="00941199"/>
    <w:rsid w:val="0094258D"/>
    <w:rsid w:val="00942D63"/>
    <w:rsid w:val="00942D7E"/>
    <w:rsid w:val="00943860"/>
    <w:rsid w:val="009445B2"/>
    <w:rsid w:val="00944758"/>
    <w:rsid w:val="009447A9"/>
    <w:rsid w:val="00944C27"/>
    <w:rsid w:val="009453B0"/>
    <w:rsid w:val="0094570A"/>
    <w:rsid w:val="00945A56"/>
    <w:rsid w:val="00945A79"/>
    <w:rsid w:val="00945C10"/>
    <w:rsid w:val="00945CCE"/>
    <w:rsid w:val="009460B3"/>
    <w:rsid w:val="009463A5"/>
    <w:rsid w:val="00946ABF"/>
    <w:rsid w:val="00947CCE"/>
    <w:rsid w:val="00947D2E"/>
    <w:rsid w:val="00947EB8"/>
    <w:rsid w:val="00950846"/>
    <w:rsid w:val="009513BA"/>
    <w:rsid w:val="00951DE0"/>
    <w:rsid w:val="00952078"/>
    <w:rsid w:val="00952240"/>
    <w:rsid w:val="009529E4"/>
    <w:rsid w:val="00952CF8"/>
    <w:rsid w:val="00952D2B"/>
    <w:rsid w:val="00952FA8"/>
    <w:rsid w:val="0095329E"/>
    <w:rsid w:val="0095333A"/>
    <w:rsid w:val="0095373C"/>
    <w:rsid w:val="00953B6E"/>
    <w:rsid w:val="00953B79"/>
    <w:rsid w:val="00953CB1"/>
    <w:rsid w:val="00953E69"/>
    <w:rsid w:val="00953E9E"/>
    <w:rsid w:val="0095448A"/>
    <w:rsid w:val="00954547"/>
    <w:rsid w:val="0095458F"/>
    <w:rsid w:val="0095481B"/>
    <w:rsid w:val="00955686"/>
    <w:rsid w:val="009559F2"/>
    <w:rsid w:val="00955C39"/>
    <w:rsid w:val="00955D6F"/>
    <w:rsid w:val="009563C9"/>
    <w:rsid w:val="00956892"/>
    <w:rsid w:val="00956FA4"/>
    <w:rsid w:val="009570B4"/>
    <w:rsid w:val="0095735C"/>
    <w:rsid w:val="009575DF"/>
    <w:rsid w:val="00957E19"/>
    <w:rsid w:val="00957E30"/>
    <w:rsid w:val="00960214"/>
    <w:rsid w:val="00960505"/>
    <w:rsid w:val="00960794"/>
    <w:rsid w:val="00960845"/>
    <w:rsid w:val="009611A6"/>
    <w:rsid w:val="00961364"/>
    <w:rsid w:val="00961C9E"/>
    <w:rsid w:val="00962433"/>
    <w:rsid w:val="009626E3"/>
    <w:rsid w:val="009628FD"/>
    <w:rsid w:val="00963118"/>
    <w:rsid w:val="009632C7"/>
    <w:rsid w:val="00963573"/>
    <w:rsid w:val="00963A82"/>
    <w:rsid w:val="00963DF1"/>
    <w:rsid w:val="00963E07"/>
    <w:rsid w:val="009642AD"/>
    <w:rsid w:val="009644F1"/>
    <w:rsid w:val="009645CC"/>
    <w:rsid w:val="00964698"/>
    <w:rsid w:val="00964D5A"/>
    <w:rsid w:val="0096500E"/>
    <w:rsid w:val="00965823"/>
    <w:rsid w:val="00965923"/>
    <w:rsid w:val="00965D92"/>
    <w:rsid w:val="0096617E"/>
    <w:rsid w:val="009663E8"/>
    <w:rsid w:val="00966AE1"/>
    <w:rsid w:val="00966D13"/>
    <w:rsid w:val="00970583"/>
    <w:rsid w:val="009708D1"/>
    <w:rsid w:val="0097109C"/>
    <w:rsid w:val="00971335"/>
    <w:rsid w:val="00971573"/>
    <w:rsid w:val="00971B48"/>
    <w:rsid w:val="009722F9"/>
    <w:rsid w:val="0097251A"/>
    <w:rsid w:val="00972FE9"/>
    <w:rsid w:val="00973B6C"/>
    <w:rsid w:val="00974008"/>
    <w:rsid w:val="009746F7"/>
    <w:rsid w:val="0097553B"/>
    <w:rsid w:val="009755EB"/>
    <w:rsid w:val="00975675"/>
    <w:rsid w:val="00975BCB"/>
    <w:rsid w:val="00975D1A"/>
    <w:rsid w:val="00975EF3"/>
    <w:rsid w:val="009761F1"/>
    <w:rsid w:val="00976204"/>
    <w:rsid w:val="0097643F"/>
    <w:rsid w:val="009772FF"/>
    <w:rsid w:val="00977640"/>
    <w:rsid w:val="0097778C"/>
    <w:rsid w:val="009779F1"/>
    <w:rsid w:val="00977C2A"/>
    <w:rsid w:val="00977F95"/>
    <w:rsid w:val="00981809"/>
    <w:rsid w:val="00981917"/>
    <w:rsid w:val="00981A53"/>
    <w:rsid w:val="00981F8F"/>
    <w:rsid w:val="00981FDC"/>
    <w:rsid w:val="00982951"/>
    <w:rsid w:val="0098363B"/>
    <w:rsid w:val="00983BF0"/>
    <w:rsid w:val="00983C10"/>
    <w:rsid w:val="00983DFA"/>
    <w:rsid w:val="00984167"/>
    <w:rsid w:val="00984D84"/>
    <w:rsid w:val="0098629A"/>
    <w:rsid w:val="009862F0"/>
    <w:rsid w:val="00986556"/>
    <w:rsid w:val="009868B0"/>
    <w:rsid w:val="00986FF2"/>
    <w:rsid w:val="0098773D"/>
    <w:rsid w:val="00987CAE"/>
    <w:rsid w:val="00987D85"/>
    <w:rsid w:val="00990929"/>
    <w:rsid w:val="00990EC8"/>
    <w:rsid w:val="00991883"/>
    <w:rsid w:val="0099230C"/>
    <w:rsid w:val="00992783"/>
    <w:rsid w:val="00992BC8"/>
    <w:rsid w:val="00992C3E"/>
    <w:rsid w:val="00992FBB"/>
    <w:rsid w:val="009932E4"/>
    <w:rsid w:val="00993408"/>
    <w:rsid w:val="009938F4"/>
    <w:rsid w:val="009944ED"/>
    <w:rsid w:val="0099492F"/>
    <w:rsid w:val="00994F17"/>
    <w:rsid w:val="00995875"/>
    <w:rsid w:val="00995969"/>
    <w:rsid w:val="00995EB3"/>
    <w:rsid w:val="00995F79"/>
    <w:rsid w:val="0099655E"/>
    <w:rsid w:val="00996789"/>
    <w:rsid w:val="009969A0"/>
    <w:rsid w:val="00996C2D"/>
    <w:rsid w:val="00996F3F"/>
    <w:rsid w:val="0099771E"/>
    <w:rsid w:val="009979C0"/>
    <w:rsid w:val="00997E18"/>
    <w:rsid w:val="009A01DC"/>
    <w:rsid w:val="009A0BED"/>
    <w:rsid w:val="009A0E9C"/>
    <w:rsid w:val="009A1B3E"/>
    <w:rsid w:val="009A1FC5"/>
    <w:rsid w:val="009A232F"/>
    <w:rsid w:val="009A23D6"/>
    <w:rsid w:val="009A271B"/>
    <w:rsid w:val="009A29BC"/>
    <w:rsid w:val="009A2B5E"/>
    <w:rsid w:val="009A33A5"/>
    <w:rsid w:val="009A3E27"/>
    <w:rsid w:val="009A48EB"/>
    <w:rsid w:val="009A49A1"/>
    <w:rsid w:val="009A4BDE"/>
    <w:rsid w:val="009A5547"/>
    <w:rsid w:val="009A55E0"/>
    <w:rsid w:val="009A59B9"/>
    <w:rsid w:val="009A5AB1"/>
    <w:rsid w:val="009A65AE"/>
    <w:rsid w:val="009A6787"/>
    <w:rsid w:val="009A6A22"/>
    <w:rsid w:val="009A6BEC"/>
    <w:rsid w:val="009A711C"/>
    <w:rsid w:val="009A71DD"/>
    <w:rsid w:val="009A7346"/>
    <w:rsid w:val="009A7D14"/>
    <w:rsid w:val="009A7DEF"/>
    <w:rsid w:val="009B19E1"/>
    <w:rsid w:val="009B1FBC"/>
    <w:rsid w:val="009B1FE7"/>
    <w:rsid w:val="009B263A"/>
    <w:rsid w:val="009B2BDB"/>
    <w:rsid w:val="009B32A3"/>
    <w:rsid w:val="009B3A19"/>
    <w:rsid w:val="009B3B57"/>
    <w:rsid w:val="009B4F49"/>
    <w:rsid w:val="009B5354"/>
    <w:rsid w:val="009B5D11"/>
    <w:rsid w:val="009B6AC5"/>
    <w:rsid w:val="009B6ECE"/>
    <w:rsid w:val="009B71DD"/>
    <w:rsid w:val="009C017C"/>
    <w:rsid w:val="009C1B09"/>
    <w:rsid w:val="009C20B0"/>
    <w:rsid w:val="009C24F2"/>
    <w:rsid w:val="009C2EC3"/>
    <w:rsid w:val="009C30DF"/>
    <w:rsid w:val="009C3324"/>
    <w:rsid w:val="009C33A5"/>
    <w:rsid w:val="009C3475"/>
    <w:rsid w:val="009C446C"/>
    <w:rsid w:val="009C450E"/>
    <w:rsid w:val="009C4E29"/>
    <w:rsid w:val="009C590D"/>
    <w:rsid w:val="009C66C3"/>
    <w:rsid w:val="009C6B5A"/>
    <w:rsid w:val="009C7044"/>
    <w:rsid w:val="009C71EA"/>
    <w:rsid w:val="009D047E"/>
    <w:rsid w:val="009D0910"/>
    <w:rsid w:val="009D09CE"/>
    <w:rsid w:val="009D0C8C"/>
    <w:rsid w:val="009D0D36"/>
    <w:rsid w:val="009D17EB"/>
    <w:rsid w:val="009D2579"/>
    <w:rsid w:val="009D29C4"/>
    <w:rsid w:val="009D2A86"/>
    <w:rsid w:val="009D2D4E"/>
    <w:rsid w:val="009D34C9"/>
    <w:rsid w:val="009D3A67"/>
    <w:rsid w:val="009D3C8C"/>
    <w:rsid w:val="009D3F7C"/>
    <w:rsid w:val="009D491F"/>
    <w:rsid w:val="009D496B"/>
    <w:rsid w:val="009D51B5"/>
    <w:rsid w:val="009D5E77"/>
    <w:rsid w:val="009D65E0"/>
    <w:rsid w:val="009E066D"/>
    <w:rsid w:val="009E0B07"/>
    <w:rsid w:val="009E1B6E"/>
    <w:rsid w:val="009E254A"/>
    <w:rsid w:val="009E26EC"/>
    <w:rsid w:val="009E27A7"/>
    <w:rsid w:val="009E2A86"/>
    <w:rsid w:val="009E3720"/>
    <w:rsid w:val="009E399A"/>
    <w:rsid w:val="009E40D3"/>
    <w:rsid w:val="009E41D2"/>
    <w:rsid w:val="009E4282"/>
    <w:rsid w:val="009E4E7A"/>
    <w:rsid w:val="009E654D"/>
    <w:rsid w:val="009E668E"/>
    <w:rsid w:val="009E6B5F"/>
    <w:rsid w:val="009E6FFC"/>
    <w:rsid w:val="009E7398"/>
    <w:rsid w:val="009E781E"/>
    <w:rsid w:val="009E7CD9"/>
    <w:rsid w:val="009E7CF6"/>
    <w:rsid w:val="009E7EB5"/>
    <w:rsid w:val="009E7F4F"/>
    <w:rsid w:val="009F086E"/>
    <w:rsid w:val="009F1156"/>
    <w:rsid w:val="009F16D1"/>
    <w:rsid w:val="009F1C39"/>
    <w:rsid w:val="009F22DD"/>
    <w:rsid w:val="009F2BC7"/>
    <w:rsid w:val="009F35EE"/>
    <w:rsid w:val="009F373F"/>
    <w:rsid w:val="009F3A61"/>
    <w:rsid w:val="009F46CE"/>
    <w:rsid w:val="009F6022"/>
    <w:rsid w:val="009F6E5F"/>
    <w:rsid w:val="009F7943"/>
    <w:rsid w:val="00A00100"/>
    <w:rsid w:val="00A01986"/>
    <w:rsid w:val="00A0280C"/>
    <w:rsid w:val="00A02A19"/>
    <w:rsid w:val="00A02EA3"/>
    <w:rsid w:val="00A035E8"/>
    <w:rsid w:val="00A03636"/>
    <w:rsid w:val="00A03A28"/>
    <w:rsid w:val="00A03F98"/>
    <w:rsid w:val="00A040E4"/>
    <w:rsid w:val="00A04A07"/>
    <w:rsid w:val="00A05483"/>
    <w:rsid w:val="00A058DB"/>
    <w:rsid w:val="00A05D34"/>
    <w:rsid w:val="00A05D8D"/>
    <w:rsid w:val="00A05DAF"/>
    <w:rsid w:val="00A05E4E"/>
    <w:rsid w:val="00A05EFC"/>
    <w:rsid w:val="00A06009"/>
    <w:rsid w:val="00A0675F"/>
    <w:rsid w:val="00A06E61"/>
    <w:rsid w:val="00A0778E"/>
    <w:rsid w:val="00A1067A"/>
    <w:rsid w:val="00A1123C"/>
    <w:rsid w:val="00A1137B"/>
    <w:rsid w:val="00A116A7"/>
    <w:rsid w:val="00A1182B"/>
    <w:rsid w:val="00A1196A"/>
    <w:rsid w:val="00A11A18"/>
    <w:rsid w:val="00A11C8C"/>
    <w:rsid w:val="00A124DD"/>
    <w:rsid w:val="00A12F73"/>
    <w:rsid w:val="00A13A7E"/>
    <w:rsid w:val="00A13EE6"/>
    <w:rsid w:val="00A146B1"/>
    <w:rsid w:val="00A146FA"/>
    <w:rsid w:val="00A1492B"/>
    <w:rsid w:val="00A14B6E"/>
    <w:rsid w:val="00A14B94"/>
    <w:rsid w:val="00A14D85"/>
    <w:rsid w:val="00A14E71"/>
    <w:rsid w:val="00A14F66"/>
    <w:rsid w:val="00A156CF"/>
    <w:rsid w:val="00A15C24"/>
    <w:rsid w:val="00A163E4"/>
    <w:rsid w:val="00A17C73"/>
    <w:rsid w:val="00A200A9"/>
    <w:rsid w:val="00A208AD"/>
    <w:rsid w:val="00A2108B"/>
    <w:rsid w:val="00A21107"/>
    <w:rsid w:val="00A212A9"/>
    <w:rsid w:val="00A213AE"/>
    <w:rsid w:val="00A21989"/>
    <w:rsid w:val="00A21B7B"/>
    <w:rsid w:val="00A21C48"/>
    <w:rsid w:val="00A22649"/>
    <w:rsid w:val="00A23A97"/>
    <w:rsid w:val="00A23F35"/>
    <w:rsid w:val="00A24FF7"/>
    <w:rsid w:val="00A25112"/>
    <w:rsid w:val="00A25749"/>
    <w:rsid w:val="00A25F48"/>
    <w:rsid w:val="00A26324"/>
    <w:rsid w:val="00A26527"/>
    <w:rsid w:val="00A26560"/>
    <w:rsid w:val="00A2664A"/>
    <w:rsid w:val="00A26699"/>
    <w:rsid w:val="00A26EA0"/>
    <w:rsid w:val="00A2769B"/>
    <w:rsid w:val="00A2787F"/>
    <w:rsid w:val="00A2798F"/>
    <w:rsid w:val="00A27D79"/>
    <w:rsid w:val="00A300E7"/>
    <w:rsid w:val="00A303C1"/>
    <w:rsid w:val="00A31631"/>
    <w:rsid w:val="00A31C92"/>
    <w:rsid w:val="00A31D8D"/>
    <w:rsid w:val="00A31EE8"/>
    <w:rsid w:val="00A32DF5"/>
    <w:rsid w:val="00A3347B"/>
    <w:rsid w:val="00A33E7D"/>
    <w:rsid w:val="00A34146"/>
    <w:rsid w:val="00A343A2"/>
    <w:rsid w:val="00A343C7"/>
    <w:rsid w:val="00A34524"/>
    <w:rsid w:val="00A34B0C"/>
    <w:rsid w:val="00A35217"/>
    <w:rsid w:val="00A357E4"/>
    <w:rsid w:val="00A35E08"/>
    <w:rsid w:val="00A3650C"/>
    <w:rsid w:val="00A3713C"/>
    <w:rsid w:val="00A3723C"/>
    <w:rsid w:val="00A3783B"/>
    <w:rsid w:val="00A3798D"/>
    <w:rsid w:val="00A37B9C"/>
    <w:rsid w:val="00A37FCD"/>
    <w:rsid w:val="00A40354"/>
    <w:rsid w:val="00A4079C"/>
    <w:rsid w:val="00A40823"/>
    <w:rsid w:val="00A409B1"/>
    <w:rsid w:val="00A40F8E"/>
    <w:rsid w:val="00A40FFE"/>
    <w:rsid w:val="00A41662"/>
    <w:rsid w:val="00A418AD"/>
    <w:rsid w:val="00A41F96"/>
    <w:rsid w:val="00A42DA1"/>
    <w:rsid w:val="00A430B5"/>
    <w:rsid w:val="00A434CA"/>
    <w:rsid w:val="00A4387F"/>
    <w:rsid w:val="00A43A92"/>
    <w:rsid w:val="00A44946"/>
    <w:rsid w:val="00A44F82"/>
    <w:rsid w:val="00A4530E"/>
    <w:rsid w:val="00A45CF8"/>
    <w:rsid w:val="00A46506"/>
    <w:rsid w:val="00A46808"/>
    <w:rsid w:val="00A46F8A"/>
    <w:rsid w:val="00A473CC"/>
    <w:rsid w:val="00A47E89"/>
    <w:rsid w:val="00A5032D"/>
    <w:rsid w:val="00A50383"/>
    <w:rsid w:val="00A5051D"/>
    <w:rsid w:val="00A50CFE"/>
    <w:rsid w:val="00A50EB0"/>
    <w:rsid w:val="00A50F45"/>
    <w:rsid w:val="00A510F2"/>
    <w:rsid w:val="00A5143F"/>
    <w:rsid w:val="00A51D92"/>
    <w:rsid w:val="00A527BB"/>
    <w:rsid w:val="00A529F3"/>
    <w:rsid w:val="00A52F25"/>
    <w:rsid w:val="00A530AF"/>
    <w:rsid w:val="00A5318C"/>
    <w:rsid w:val="00A5387D"/>
    <w:rsid w:val="00A53EB7"/>
    <w:rsid w:val="00A540FF"/>
    <w:rsid w:val="00A54B7D"/>
    <w:rsid w:val="00A5503B"/>
    <w:rsid w:val="00A556B8"/>
    <w:rsid w:val="00A55FA2"/>
    <w:rsid w:val="00A568DF"/>
    <w:rsid w:val="00A57289"/>
    <w:rsid w:val="00A57397"/>
    <w:rsid w:val="00A5761E"/>
    <w:rsid w:val="00A57A6A"/>
    <w:rsid w:val="00A57C7F"/>
    <w:rsid w:val="00A57C8D"/>
    <w:rsid w:val="00A57E49"/>
    <w:rsid w:val="00A608F5"/>
    <w:rsid w:val="00A60B19"/>
    <w:rsid w:val="00A61486"/>
    <w:rsid w:val="00A6212F"/>
    <w:rsid w:val="00A625B2"/>
    <w:rsid w:val="00A62C7F"/>
    <w:rsid w:val="00A63452"/>
    <w:rsid w:val="00A63F9A"/>
    <w:rsid w:val="00A64A22"/>
    <w:rsid w:val="00A64B30"/>
    <w:rsid w:val="00A64C38"/>
    <w:rsid w:val="00A64C3F"/>
    <w:rsid w:val="00A657B3"/>
    <w:rsid w:val="00A65B0B"/>
    <w:rsid w:val="00A65C16"/>
    <w:rsid w:val="00A66948"/>
    <w:rsid w:val="00A6757D"/>
    <w:rsid w:val="00A677CE"/>
    <w:rsid w:val="00A67B69"/>
    <w:rsid w:val="00A67FA0"/>
    <w:rsid w:val="00A701A5"/>
    <w:rsid w:val="00A70472"/>
    <w:rsid w:val="00A708CB"/>
    <w:rsid w:val="00A7091A"/>
    <w:rsid w:val="00A71C3E"/>
    <w:rsid w:val="00A72B7A"/>
    <w:rsid w:val="00A7399A"/>
    <w:rsid w:val="00A73BD3"/>
    <w:rsid w:val="00A742E7"/>
    <w:rsid w:val="00A74700"/>
    <w:rsid w:val="00A74B48"/>
    <w:rsid w:val="00A74CCB"/>
    <w:rsid w:val="00A750FF"/>
    <w:rsid w:val="00A75B74"/>
    <w:rsid w:val="00A76145"/>
    <w:rsid w:val="00A76496"/>
    <w:rsid w:val="00A76DCE"/>
    <w:rsid w:val="00A778EC"/>
    <w:rsid w:val="00A7792B"/>
    <w:rsid w:val="00A77E32"/>
    <w:rsid w:val="00A80268"/>
    <w:rsid w:val="00A807AE"/>
    <w:rsid w:val="00A807D2"/>
    <w:rsid w:val="00A80EB6"/>
    <w:rsid w:val="00A814F2"/>
    <w:rsid w:val="00A81E6B"/>
    <w:rsid w:val="00A821FF"/>
    <w:rsid w:val="00A82400"/>
    <w:rsid w:val="00A826CD"/>
    <w:rsid w:val="00A828D4"/>
    <w:rsid w:val="00A82A4D"/>
    <w:rsid w:val="00A82FF6"/>
    <w:rsid w:val="00A831AB"/>
    <w:rsid w:val="00A862A8"/>
    <w:rsid w:val="00A86BDB"/>
    <w:rsid w:val="00A86D49"/>
    <w:rsid w:val="00A87683"/>
    <w:rsid w:val="00A8768A"/>
    <w:rsid w:val="00A90D78"/>
    <w:rsid w:val="00A90EBB"/>
    <w:rsid w:val="00A91306"/>
    <w:rsid w:val="00A91F92"/>
    <w:rsid w:val="00A924F1"/>
    <w:rsid w:val="00A929F6"/>
    <w:rsid w:val="00A92E7C"/>
    <w:rsid w:val="00A9332A"/>
    <w:rsid w:val="00A93561"/>
    <w:rsid w:val="00A93977"/>
    <w:rsid w:val="00A94612"/>
    <w:rsid w:val="00A94B98"/>
    <w:rsid w:val="00A95177"/>
    <w:rsid w:val="00A95E4C"/>
    <w:rsid w:val="00A96520"/>
    <w:rsid w:val="00A966DE"/>
    <w:rsid w:val="00A96757"/>
    <w:rsid w:val="00A96901"/>
    <w:rsid w:val="00A97359"/>
    <w:rsid w:val="00AA00FF"/>
    <w:rsid w:val="00AA045D"/>
    <w:rsid w:val="00AA07BB"/>
    <w:rsid w:val="00AA0C27"/>
    <w:rsid w:val="00AA118A"/>
    <w:rsid w:val="00AA12DE"/>
    <w:rsid w:val="00AA1CE4"/>
    <w:rsid w:val="00AA2617"/>
    <w:rsid w:val="00AA4630"/>
    <w:rsid w:val="00AA471D"/>
    <w:rsid w:val="00AA47C8"/>
    <w:rsid w:val="00AA4C31"/>
    <w:rsid w:val="00AA5CAA"/>
    <w:rsid w:val="00AA5F9E"/>
    <w:rsid w:val="00AA618A"/>
    <w:rsid w:val="00AA66EF"/>
    <w:rsid w:val="00AA7387"/>
    <w:rsid w:val="00AA75F6"/>
    <w:rsid w:val="00AA791F"/>
    <w:rsid w:val="00AA7C83"/>
    <w:rsid w:val="00AB0325"/>
    <w:rsid w:val="00AB03CF"/>
    <w:rsid w:val="00AB09E6"/>
    <w:rsid w:val="00AB1323"/>
    <w:rsid w:val="00AB1471"/>
    <w:rsid w:val="00AB23E3"/>
    <w:rsid w:val="00AB2640"/>
    <w:rsid w:val="00AB2B8E"/>
    <w:rsid w:val="00AB43A1"/>
    <w:rsid w:val="00AB527E"/>
    <w:rsid w:val="00AB53ED"/>
    <w:rsid w:val="00AB549C"/>
    <w:rsid w:val="00AB5D23"/>
    <w:rsid w:val="00AB60AC"/>
    <w:rsid w:val="00AC0622"/>
    <w:rsid w:val="00AC0916"/>
    <w:rsid w:val="00AC1130"/>
    <w:rsid w:val="00AC176D"/>
    <w:rsid w:val="00AC19F1"/>
    <w:rsid w:val="00AC1C87"/>
    <w:rsid w:val="00AC244E"/>
    <w:rsid w:val="00AC2621"/>
    <w:rsid w:val="00AC2792"/>
    <w:rsid w:val="00AC2DD0"/>
    <w:rsid w:val="00AC302B"/>
    <w:rsid w:val="00AC3911"/>
    <w:rsid w:val="00AC3A68"/>
    <w:rsid w:val="00AC3AF3"/>
    <w:rsid w:val="00AC412F"/>
    <w:rsid w:val="00AC4C0C"/>
    <w:rsid w:val="00AC4D98"/>
    <w:rsid w:val="00AC5E42"/>
    <w:rsid w:val="00AC618D"/>
    <w:rsid w:val="00AC65A6"/>
    <w:rsid w:val="00AC6C47"/>
    <w:rsid w:val="00AC72E8"/>
    <w:rsid w:val="00AC75E6"/>
    <w:rsid w:val="00AC77CC"/>
    <w:rsid w:val="00AC7868"/>
    <w:rsid w:val="00AC7B0B"/>
    <w:rsid w:val="00AD041E"/>
    <w:rsid w:val="00AD0CB4"/>
    <w:rsid w:val="00AD0FF5"/>
    <w:rsid w:val="00AD110C"/>
    <w:rsid w:val="00AD140F"/>
    <w:rsid w:val="00AD18BB"/>
    <w:rsid w:val="00AD2651"/>
    <w:rsid w:val="00AD2D33"/>
    <w:rsid w:val="00AD2D75"/>
    <w:rsid w:val="00AD2E6F"/>
    <w:rsid w:val="00AD33E4"/>
    <w:rsid w:val="00AD3DEE"/>
    <w:rsid w:val="00AD3FE0"/>
    <w:rsid w:val="00AD4156"/>
    <w:rsid w:val="00AD424E"/>
    <w:rsid w:val="00AD43B4"/>
    <w:rsid w:val="00AD453A"/>
    <w:rsid w:val="00AD49DC"/>
    <w:rsid w:val="00AD53DB"/>
    <w:rsid w:val="00AD5597"/>
    <w:rsid w:val="00AD55BB"/>
    <w:rsid w:val="00AD5A69"/>
    <w:rsid w:val="00AD5F66"/>
    <w:rsid w:val="00AD6627"/>
    <w:rsid w:val="00AD7052"/>
    <w:rsid w:val="00AD7D16"/>
    <w:rsid w:val="00AE0134"/>
    <w:rsid w:val="00AE0574"/>
    <w:rsid w:val="00AE05DC"/>
    <w:rsid w:val="00AE13DA"/>
    <w:rsid w:val="00AE1670"/>
    <w:rsid w:val="00AE1E7D"/>
    <w:rsid w:val="00AE1FD1"/>
    <w:rsid w:val="00AE2C16"/>
    <w:rsid w:val="00AE3103"/>
    <w:rsid w:val="00AE31CA"/>
    <w:rsid w:val="00AE4792"/>
    <w:rsid w:val="00AE4DEC"/>
    <w:rsid w:val="00AE4F1E"/>
    <w:rsid w:val="00AE4F3D"/>
    <w:rsid w:val="00AE5454"/>
    <w:rsid w:val="00AE5987"/>
    <w:rsid w:val="00AE5A80"/>
    <w:rsid w:val="00AE5ABE"/>
    <w:rsid w:val="00AE622B"/>
    <w:rsid w:val="00AE6367"/>
    <w:rsid w:val="00AE6490"/>
    <w:rsid w:val="00AE6569"/>
    <w:rsid w:val="00AE6F0A"/>
    <w:rsid w:val="00AE73FF"/>
    <w:rsid w:val="00AE7724"/>
    <w:rsid w:val="00AF06A5"/>
    <w:rsid w:val="00AF1465"/>
    <w:rsid w:val="00AF160F"/>
    <w:rsid w:val="00AF1AF4"/>
    <w:rsid w:val="00AF206D"/>
    <w:rsid w:val="00AF22C6"/>
    <w:rsid w:val="00AF2C19"/>
    <w:rsid w:val="00AF3A6A"/>
    <w:rsid w:val="00AF3F59"/>
    <w:rsid w:val="00AF4636"/>
    <w:rsid w:val="00AF497A"/>
    <w:rsid w:val="00AF49E9"/>
    <w:rsid w:val="00AF4B09"/>
    <w:rsid w:val="00AF5828"/>
    <w:rsid w:val="00AF58C4"/>
    <w:rsid w:val="00AF5A4F"/>
    <w:rsid w:val="00AF5CF1"/>
    <w:rsid w:val="00AF6256"/>
    <w:rsid w:val="00AF62EB"/>
    <w:rsid w:val="00AF6A4C"/>
    <w:rsid w:val="00AF7145"/>
    <w:rsid w:val="00AF7388"/>
    <w:rsid w:val="00AF7505"/>
    <w:rsid w:val="00AF75B1"/>
    <w:rsid w:val="00AF76EA"/>
    <w:rsid w:val="00AF7B7C"/>
    <w:rsid w:val="00AF7F23"/>
    <w:rsid w:val="00B00167"/>
    <w:rsid w:val="00B00326"/>
    <w:rsid w:val="00B00391"/>
    <w:rsid w:val="00B004C7"/>
    <w:rsid w:val="00B0079B"/>
    <w:rsid w:val="00B008BF"/>
    <w:rsid w:val="00B00BF7"/>
    <w:rsid w:val="00B00CE4"/>
    <w:rsid w:val="00B01336"/>
    <w:rsid w:val="00B022F5"/>
    <w:rsid w:val="00B03095"/>
    <w:rsid w:val="00B03DB4"/>
    <w:rsid w:val="00B04ED1"/>
    <w:rsid w:val="00B052BE"/>
    <w:rsid w:val="00B053B0"/>
    <w:rsid w:val="00B05439"/>
    <w:rsid w:val="00B059E1"/>
    <w:rsid w:val="00B05FB2"/>
    <w:rsid w:val="00B065B5"/>
    <w:rsid w:val="00B067DE"/>
    <w:rsid w:val="00B06CFF"/>
    <w:rsid w:val="00B0754E"/>
    <w:rsid w:val="00B07BDF"/>
    <w:rsid w:val="00B07DBF"/>
    <w:rsid w:val="00B07FF0"/>
    <w:rsid w:val="00B101A7"/>
    <w:rsid w:val="00B102AF"/>
    <w:rsid w:val="00B10A7B"/>
    <w:rsid w:val="00B11088"/>
    <w:rsid w:val="00B1201C"/>
    <w:rsid w:val="00B12D15"/>
    <w:rsid w:val="00B130BE"/>
    <w:rsid w:val="00B132D2"/>
    <w:rsid w:val="00B13456"/>
    <w:rsid w:val="00B13BDF"/>
    <w:rsid w:val="00B13F09"/>
    <w:rsid w:val="00B14A7D"/>
    <w:rsid w:val="00B14D5B"/>
    <w:rsid w:val="00B15224"/>
    <w:rsid w:val="00B157C5"/>
    <w:rsid w:val="00B17F49"/>
    <w:rsid w:val="00B20311"/>
    <w:rsid w:val="00B20385"/>
    <w:rsid w:val="00B2073F"/>
    <w:rsid w:val="00B208C0"/>
    <w:rsid w:val="00B20EB7"/>
    <w:rsid w:val="00B20F9B"/>
    <w:rsid w:val="00B21642"/>
    <w:rsid w:val="00B22A27"/>
    <w:rsid w:val="00B231ED"/>
    <w:rsid w:val="00B2331F"/>
    <w:rsid w:val="00B2354C"/>
    <w:rsid w:val="00B23624"/>
    <w:rsid w:val="00B24188"/>
    <w:rsid w:val="00B24488"/>
    <w:rsid w:val="00B24D0E"/>
    <w:rsid w:val="00B25054"/>
    <w:rsid w:val="00B25119"/>
    <w:rsid w:val="00B25210"/>
    <w:rsid w:val="00B25D6C"/>
    <w:rsid w:val="00B265A0"/>
    <w:rsid w:val="00B270A1"/>
    <w:rsid w:val="00B278DB"/>
    <w:rsid w:val="00B3054B"/>
    <w:rsid w:val="00B306E8"/>
    <w:rsid w:val="00B308BB"/>
    <w:rsid w:val="00B30CC2"/>
    <w:rsid w:val="00B310D9"/>
    <w:rsid w:val="00B31BDB"/>
    <w:rsid w:val="00B31C67"/>
    <w:rsid w:val="00B322BD"/>
    <w:rsid w:val="00B329FF"/>
    <w:rsid w:val="00B32C77"/>
    <w:rsid w:val="00B3316C"/>
    <w:rsid w:val="00B33CA7"/>
    <w:rsid w:val="00B348EB"/>
    <w:rsid w:val="00B34F25"/>
    <w:rsid w:val="00B35227"/>
    <w:rsid w:val="00B356B3"/>
    <w:rsid w:val="00B356F1"/>
    <w:rsid w:val="00B35755"/>
    <w:rsid w:val="00B35A37"/>
    <w:rsid w:val="00B36121"/>
    <w:rsid w:val="00B3615B"/>
    <w:rsid w:val="00B36AFB"/>
    <w:rsid w:val="00B37313"/>
    <w:rsid w:val="00B4040F"/>
    <w:rsid w:val="00B40C50"/>
    <w:rsid w:val="00B41460"/>
    <w:rsid w:val="00B41662"/>
    <w:rsid w:val="00B42034"/>
    <w:rsid w:val="00B42C68"/>
    <w:rsid w:val="00B42E8B"/>
    <w:rsid w:val="00B42F41"/>
    <w:rsid w:val="00B4349A"/>
    <w:rsid w:val="00B43A06"/>
    <w:rsid w:val="00B44492"/>
    <w:rsid w:val="00B4481B"/>
    <w:rsid w:val="00B448A4"/>
    <w:rsid w:val="00B4546E"/>
    <w:rsid w:val="00B4558C"/>
    <w:rsid w:val="00B45E69"/>
    <w:rsid w:val="00B4696D"/>
    <w:rsid w:val="00B46DA2"/>
    <w:rsid w:val="00B470F5"/>
    <w:rsid w:val="00B4720E"/>
    <w:rsid w:val="00B50347"/>
    <w:rsid w:val="00B508FC"/>
    <w:rsid w:val="00B50D70"/>
    <w:rsid w:val="00B51CD8"/>
    <w:rsid w:val="00B51EAD"/>
    <w:rsid w:val="00B51EF1"/>
    <w:rsid w:val="00B52E0E"/>
    <w:rsid w:val="00B53A4A"/>
    <w:rsid w:val="00B54908"/>
    <w:rsid w:val="00B54BEF"/>
    <w:rsid w:val="00B550CF"/>
    <w:rsid w:val="00B55417"/>
    <w:rsid w:val="00B55788"/>
    <w:rsid w:val="00B559A6"/>
    <w:rsid w:val="00B55D60"/>
    <w:rsid w:val="00B564EC"/>
    <w:rsid w:val="00B56925"/>
    <w:rsid w:val="00B56F0B"/>
    <w:rsid w:val="00B56FB1"/>
    <w:rsid w:val="00B575BC"/>
    <w:rsid w:val="00B57606"/>
    <w:rsid w:val="00B622B2"/>
    <w:rsid w:val="00B62B50"/>
    <w:rsid w:val="00B6349A"/>
    <w:rsid w:val="00B63D94"/>
    <w:rsid w:val="00B647A7"/>
    <w:rsid w:val="00B64833"/>
    <w:rsid w:val="00B64995"/>
    <w:rsid w:val="00B64BB8"/>
    <w:rsid w:val="00B65BD0"/>
    <w:rsid w:val="00B65D5C"/>
    <w:rsid w:val="00B666DF"/>
    <w:rsid w:val="00B66EF0"/>
    <w:rsid w:val="00B67436"/>
    <w:rsid w:val="00B6778D"/>
    <w:rsid w:val="00B7028D"/>
    <w:rsid w:val="00B70A79"/>
    <w:rsid w:val="00B70D1F"/>
    <w:rsid w:val="00B70E8C"/>
    <w:rsid w:val="00B71361"/>
    <w:rsid w:val="00B71675"/>
    <w:rsid w:val="00B71FAB"/>
    <w:rsid w:val="00B72C76"/>
    <w:rsid w:val="00B73793"/>
    <w:rsid w:val="00B74062"/>
    <w:rsid w:val="00B74542"/>
    <w:rsid w:val="00B746C6"/>
    <w:rsid w:val="00B74E85"/>
    <w:rsid w:val="00B7505B"/>
    <w:rsid w:val="00B7527E"/>
    <w:rsid w:val="00B7597D"/>
    <w:rsid w:val="00B75C1C"/>
    <w:rsid w:val="00B76702"/>
    <w:rsid w:val="00B76D34"/>
    <w:rsid w:val="00B76DEE"/>
    <w:rsid w:val="00B8021D"/>
    <w:rsid w:val="00B8027A"/>
    <w:rsid w:val="00B80E2B"/>
    <w:rsid w:val="00B80E68"/>
    <w:rsid w:val="00B8138D"/>
    <w:rsid w:val="00B817F2"/>
    <w:rsid w:val="00B81B26"/>
    <w:rsid w:val="00B81D78"/>
    <w:rsid w:val="00B81F24"/>
    <w:rsid w:val="00B822F7"/>
    <w:rsid w:val="00B82C71"/>
    <w:rsid w:val="00B82CF1"/>
    <w:rsid w:val="00B834D2"/>
    <w:rsid w:val="00B8357F"/>
    <w:rsid w:val="00B83A39"/>
    <w:rsid w:val="00B83B67"/>
    <w:rsid w:val="00B844E0"/>
    <w:rsid w:val="00B84EF8"/>
    <w:rsid w:val="00B852B0"/>
    <w:rsid w:val="00B85EAF"/>
    <w:rsid w:val="00B860B3"/>
    <w:rsid w:val="00B869FE"/>
    <w:rsid w:val="00B86D8D"/>
    <w:rsid w:val="00B86F0D"/>
    <w:rsid w:val="00B874EE"/>
    <w:rsid w:val="00B87D14"/>
    <w:rsid w:val="00B90632"/>
    <w:rsid w:val="00B90E3D"/>
    <w:rsid w:val="00B90F1D"/>
    <w:rsid w:val="00B9108B"/>
    <w:rsid w:val="00B91411"/>
    <w:rsid w:val="00B91E56"/>
    <w:rsid w:val="00B9292E"/>
    <w:rsid w:val="00B932BB"/>
    <w:rsid w:val="00B93521"/>
    <w:rsid w:val="00B935D4"/>
    <w:rsid w:val="00B93D77"/>
    <w:rsid w:val="00B941DB"/>
    <w:rsid w:val="00B9435D"/>
    <w:rsid w:val="00B943B3"/>
    <w:rsid w:val="00B95664"/>
    <w:rsid w:val="00B95874"/>
    <w:rsid w:val="00B95BD7"/>
    <w:rsid w:val="00B96B51"/>
    <w:rsid w:val="00B96C60"/>
    <w:rsid w:val="00B96F76"/>
    <w:rsid w:val="00B96FF3"/>
    <w:rsid w:val="00B97482"/>
    <w:rsid w:val="00B976D3"/>
    <w:rsid w:val="00B97DE6"/>
    <w:rsid w:val="00BA0190"/>
    <w:rsid w:val="00BA01D3"/>
    <w:rsid w:val="00BA0B2C"/>
    <w:rsid w:val="00BA0C4A"/>
    <w:rsid w:val="00BA0CB6"/>
    <w:rsid w:val="00BA0D02"/>
    <w:rsid w:val="00BA0DC1"/>
    <w:rsid w:val="00BA22A3"/>
    <w:rsid w:val="00BA25C8"/>
    <w:rsid w:val="00BA318C"/>
    <w:rsid w:val="00BA3360"/>
    <w:rsid w:val="00BA3FC4"/>
    <w:rsid w:val="00BA45F6"/>
    <w:rsid w:val="00BA4B3F"/>
    <w:rsid w:val="00BA538A"/>
    <w:rsid w:val="00BA569A"/>
    <w:rsid w:val="00BA57D0"/>
    <w:rsid w:val="00BA6136"/>
    <w:rsid w:val="00BA6586"/>
    <w:rsid w:val="00BA6723"/>
    <w:rsid w:val="00BA7AC5"/>
    <w:rsid w:val="00BB05FA"/>
    <w:rsid w:val="00BB0D82"/>
    <w:rsid w:val="00BB0E6E"/>
    <w:rsid w:val="00BB0E74"/>
    <w:rsid w:val="00BB10E2"/>
    <w:rsid w:val="00BB1326"/>
    <w:rsid w:val="00BB13E8"/>
    <w:rsid w:val="00BB1414"/>
    <w:rsid w:val="00BB190A"/>
    <w:rsid w:val="00BB1C35"/>
    <w:rsid w:val="00BB26EB"/>
    <w:rsid w:val="00BB2D12"/>
    <w:rsid w:val="00BB3037"/>
    <w:rsid w:val="00BB4134"/>
    <w:rsid w:val="00BB491E"/>
    <w:rsid w:val="00BB4986"/>
    <w:rsid w:val="00BB5B18"/>
    <w:rsid w:val="00BB5C73"/>
    <w:rsid w:val="00BB6410"/>
    <w:rsid w:val="00BB6EB8"/>
    <w:rsid w:val="00BB7266"/>
    <w:rsid w:val="00BB729E"/>
    <w:rsid w:val="00BB7781"/>
    <w:rsid w:val="00BB7AB2"/>
    <w:rsid w:val="00BB7B6E"/>
    <w:rsid w:val="00BB7B79"/>
    <w:rsid w:val="00BC0AFA"/>
    <w:rsid w:val="00BC0DE2"/>
    <w:rsid w:val="00BC0F97"/>
    <w:rsid w:val="00BC1C94"/>
    <w:rsid w:val="00BC1CBD"/>
    <w:rsid w:val="00BC21B5"/>
    <w:rsid w:val="00BC29C4"/>
    <w:rsid w:val="00BC48E4"/>
    <w:rsid w:val="00BC4EFA"/>
    <w:rsid w:val="00BC50DF"/>
    <w:rsid w:val="00BC5D71"/>
    <w:rsid w:val="00BC624E"/>
    <w:rsid w:val="00BC6276"/>
    <w:rsid w:val="00BC6637"/>
    <w:rsid w:val="00BC6986"/>
    <w:rsid w:val="00BC704F"/>
    <w:rsid w:val="00BC7FA3"/>
    <w:rsid w:val="00BD03AD"/>
    <w:rsid w:val="00BD08F1"/>
    <w:rsid w:val="00BD0CF0"/>
    <w:rsid w:val="00BD0D97"/>
    <w:rsid w:val="00BD1459"/>
    <w:rsid w:val="00BD145C"/>
    <w:rsid w:val="00BD1937"/>
    <w:rsid w:val="00BD2315"/>
    <w:rsid w:val="00BD238C"/>
    <w:rsid w:val="00BD280F"/>
    <w:rsid w:val="00BD2842"/>
    <w:rsid w:val="00BD310C"/>
    <w:rsid w:val="00BD34B7"/>
    <w:rsid w:val="00BD380B"/>
    <w:rsid w:val="00BD3B15"/>
    <w:rsid w:val="00BD4421"/>
    <w:rsid w:val="00BD4497"/>
    <w:rsid w:val="00BD4995"/>
    <w:rsid w:val="00BD5A1C"/>
    <w:rsid w:val="00BD61E5"/>
    <w:rsid w:val="00BD6607"/>
    <w:rsid w:val="00BD66A2"/>
    <w:rsid w:val="00BD6CBF"/>
    <w:rsid w:val="00BD73E3"/>
    <w:rsid w:val="00BD789C"/>
    <w:rsid w:val="00BE061F"/>
    <w:rsid w:val="00BE0965"/>
    <w:rsid w:val="00BE0CC7"/>
    <w:rsid w:val="00BE0D6A"/>
    <w:rsid w:val="00BE1074"/>
    <w:rsid w:val="00BE162C"/>
    <w:rsid w:val="00BE1F55"/>
    <w:rsid w:val="00BE30F5"/>
    <w:rsid w:val="00BE35E3"/>
    <w:rsid w:val="00BE3CDA"/>
    <w:rsid w:val="00BE3FA2"/>
    <w:rsid w:val="00BE420B"/>
    <w:rsid w:val="00BE4287"/>
    <w:rsid w:val="00BE486E"/>
    <w:rsid w:val="00BE4A87"/>
    <w:rsid w:val="00BE4AC4"/>
    <w:rsid w:val="00BE56FD"/>
    <w:rsid w:val="00BE625D"/>
    <w:rsid w:val="00BE641F"/>
    <w:rsid w:val="00BE6707"/>
    <w:rsid w:val="00BE7238"/>
    <w:rsid w:val="00BE773E"/>
    <w:rsid w:val="00BE79FC"/>
    <w:rsid w:val="00BF0C96"/>
    <w:rsid w:val="00BF18F7"/>
    <w:rsid w:val="00BF1A15"/>
    <w:rsid w:val="00BF1B32"/>
    <w:rsid w:val="00BF219B"/>
    <w:rsid w:val="00BF238C"/>
    <w:rsid w:val="00BF2C95"/>
    <w:rsid w:val="00BF3007"/>
    <w:rsid w:val="00BF337D"/>
    <w:rsid w:val="00BF3751"/>
    <w:rsid w:val="00BF3FDE"/>
    <w:rsid w:val="00BF4DB9"/>
    <w:rsid w:val="00BF6B5A"/>
    <w:rsid w:val="00BF730E"/>
    <w:rsid w:val="00BF767F"/>
    <w:rsid w:val="00C0095C"/>
    <w:rsid w:val="00C009D9"/>
    <w:rsid w:val="00C016E1"/>
    <w:rsid w:val="00C01F9F"/>
    <w:rsid w:val="00C02618"/>
    <w:rsid w:val="00C0275A"/>
    <w:rsid w:val="00C028D5"/>
    <w:rsid w:val="00C02A5F"/>
    <w:rsid w:val="00C02E0E"/>
    <w:rsid w:val="00C03493"/>
    <w:rsid w:val="00C03FC2"/>
    <w:rsid w:val="00C05E93"/>
    <w:rsid w:val="00C07B72"/>
    <w:rsid w:val="00C07E05"/>
    <w:rsid w:val="00C102CE"/>
    <w:rsid w:val="00C105D6"/>
    <w:rsid w:val="00C1064F"/>
    <w:rsid w:val="00C10679"/>
    <w:rsid w:val="00C1078D"/>
    <w:rsid w:val="00C11463"/>
    <w:rsid w:val="00C118A7"/>
    <w:rsid w:val="00C11AF1"/>
    <w:rsid w:val="00C1235F"/>
    <w:rsid w:val="00C125B8"/>
    <w:rsid w:val="00C12ABD"/>
    <w:rsid w:val="00C12C34"/>
    <w:rsid w:val="00C13637"/>
    <w:rsid w:val="00C1370C"/>
    <w:rsid w:val="00C14111"/>
    <w:rsid w:val="00C1432B"/>
    <w:rsid w:val="00C143C9"/>
    <w:rsid w:val="00C14E8F"/>
    <w:rsid w:val="00C15586"/>
    <w:rsid w:val="00C15D14"/>
    <w:rsid w:val="00C15E68"/>
    <w:rsid w:val="00C1645E"/>
    <w:rsid w:val="00C16588"/>
    <w:rsid w:val="00C1671F"/>
    <w:rsid w:val="00C16BCD"/>
    <w:rsid w:val="00C16E2D"/>
    <w:rsid w:val="00C17C49"/>
    <w:rsid w:val="00C17CF9"/>
    <w:rsid w:val="00C17D68"/>
    <w:rsid w:val="00C20149"/>
    <w:rsid w:val="00C20BB7"/>
    <w:rsid w:val="00C21BD2"/>
    <w:rsid w:val="00C2250A"/>
    <w:rsid w:val="00C2283C"/>
    <w:rsid w:val="00C228BA"/>
    <w:rsid w:val="00C229EA"/>
    <w:rsid w:val="00C23161"/>
    <w:rsid w:val="00C234CB"/>
    <w:rsid w:val="00C246C2"/>
    <w:rsid w:val="00C248CA"/>
    <w:rsid w:val="00C24EEB"/>
    <w:rsid w:val="00C24F1C"/>
    <w:rsid w:val="00C25148"/>
    <w:rsid w:val="00C251A8"/>
    <w:rsid w:val="00C25232"/>
    <w:rsid w:val="00C257A3"/>
    <w:rsid w:val="00C2585A"/>
    <w:rsid w:val="00C25C33"/>
    <w:rsid w:val="00C26CCC"/>
    <w:rsid w:val="00C27159"/>
    <w:rsid w:val="00C2741B"/>
    <w:rsid w:val="00C278F5"/>
    <w:rsid w:val="00C27B42"/>
    <w:rsid w:val="00C3036D"/>
    <w:rsid w:val="00C303A5"/>
    <w:rsid w:val="00C30955"/>
    <w:rsid w:val="00C30E48"/>
    <w:rsid w:val="00C30F53"/>
    <w:rsid w:val="00C31D12"/>
    <w:rsid w:val="00C32D04"/>
    <w:rsid w:val="00C336A0"/>
    <w:rsid w:val="00C34392"/>
    <w:rsid w:val="00C34B5D"/>
    <w:rsid w:val="00C34D83"/>
    <w:rsid w:val="00C3509E"/>
    <w:rsid w:val="00C3589B"/>
    <w:rsid w:val="00C35BAD"/>
    <w:rsid w:val="00C35DB4"/>
    <w:rsid w:val="00C36E32"/>
    <w:rsid w:val="00C36FEA"/>
    <w:rsid w:val="00C3707D"/>
    <w:rsid w:val="00C37091"/>
    <w:rsid w:val="00C3733A"/>
    <w:rsid w:val="00C37D79"/>
    <w:rsid w:val="00C40624"/>
    <w:rsid w:val="00C40D3F"/>
    <w:rsid w:val="00C40F30"/>
    <w:rsid w:val="00C410D5"/>
    <w:rsid w:val="00C412DF"/>
    <w:rsid w:val="00C42087"/>
    <w:rsid w:val="00C42A0F"/>
    <w:rsid w:val="00C42EF5"/>
    <w:rsid w:val="00C43172"/>
    <w:rsid w:val="00C433C9"/>
    <w:rsid w:val="00C434F1"/>
    <w:rsid w:val="00C436A5"/>
    <w:rsid w:val="00C43ABF"/>
    <w:rsid w:val="00C43CB4"/>
    <w:rsid w:val="00C43E11"/>
    <w:rsid w:val="00C4459B"/>
    <w:rsid w:val="00C449D7"/>
    <w:rsid w:val="00C44B9E"/>
    <w:rsid w:val="00C44C9C"/>
    <w:rsid w:val="00C451C4"/>
    <w:rsid w:val="00C46CB4"/>
    <w:rsid w:val="00C47D80"/>
    <w:rsid w:val="00C5003F"/>
    <w:rsid w:val="00C50CC0"/>
    <w:rsid w:val="00C523F0"/>
    <w:rsid w:val="00C52637"/>
    <w:rsid w:val="00C52707"/>
    <w:rsid w:val="00C52FFE"/>
    <w:rsid w:val="00C53240"/>
    <w:rsid w:val="00C53CD2"/>
    <w:rsid w:val="00C5584F"/>
    <w:rsid w:val="00C55D26"/>
    <w:rsid w:val="00C55FD5"/>
    <w:rsid w:val="00C567C9"/>
    <w:rsid w:val="00C56BC2"/>
    <w:rsid w:val="00C600AD"/>
    <w:rsid w:val="00C60717"/>
    <w:rsid w:val="00C6098F"/>
    <w:rsid w:val="00C60ADF"/>
    <w:rsid w:val="00C615D6"/>
    <w:rsid w:val="00C61787"/>
    <w:rsid w:val="00C61887"/>
    <w:rsid w:val="00C61E13"/>
    <w:rsid w:val="00C6200D"/>
    <w:rsid w:val="00C621A7"/>
    <w:rsid w:val="00C6273C"/>
    <w:rsid w:val="00C62AA7"/>
    <w:rsid w:val="00C62E84"/>
    <w:rsid w:val="00C631E6"/>
    <w:rsid w:val="00C6340E"/>
    <w:rsid w:val="00C634D1"/>
    <w:rsid w:val="00C6362D"/>
    <w:rsid w:val="00C63C61"/>
    <w:rsid w:val="00C63F78"/>
    <w:rsid w:val="00C647D3"/>
    <w:rsid w:val="00C65122"/>
    <w:rsid w:val="00C6555D"/>
    <w:rsid w:val="00C656AB"/>
    <w:rsid w:val="00C65B3B"/>
    <w:rsid w:val="00C66D4D"/>
    <w:rsid w:val="00C66EB8"/>
    <w:rsid w:val="00C66FFA"/>
    <w:rsid w:val="00C6759F"/>
    <w:rsid w:val="00C676CC"/>
    <w:rsid w:val="00C67A17"/>
    <w:rsid w:val="00C7085C"/>
    <w:rsid w:val="00C7124D"/>
    <w:rsid w:val="00C71C7D"/>
    <w:rsid w:val="00C72C52"/>
    <w:rsid w:val="00C73471"/>
    <w:rsid w:val="00C7385C"/>
    <w:rsid w:val="00C7406A"/>
    <w:rsid w:val="00C746DD"/>
    <w:rsid w:val="00C74A8C"/>
    <w:rsid w:val="00C74E74"/>
    <w:rsid w:val="00C755D2"/>
    <w:rsid w:val="00C762C9"/>
    <w:rsid w:val="00C764F1"/>
    <w:rsid w:val="00C76577"/>
    <w:rsid w:val="00C77486"/>
    <w:rsid w:val="00C77AC1"/>
    <w:rsid w:val="00C77BD8"/>
    <w:rsid w:val="00C77DBA"/>
    <w:rsid w:val="00C80538"/>
    <w:rsid w:val="00C80A7D"/>
    <w:rsid w:val="00C81BCA"/>
    <w:rsid w:val="00C828E9"/>
    <w:rsid w:val="00C84721"/>
    <w:rsid w:val="00C8478A"/>
    <w:rsid w:val="00C848F9"/>
    <w:rsid w:val="00C84A01"/>
    <w:rsid w:val="00C85076"/>
    <w:rsid w:val="00C8535B"/>
    <w:rsid w:val="00C85DBE"/>
    <w:rsid w:val="00C85EB6"/>
    <w:rsid w:val="00C85FEF"/>
    <w:rsid w:val="00C86E7D"/>
    <w:rsid w:val="00C86EEE"/>
    <w:rsid w:val="00C8779D"/>
    <w:rsid w:val="00C87B77"/>
    <w:rsid w:val="00C907EB"/>
    <w:rsid w:val="00C90935"/>
    <w:rsid w:val="00C90F41"/>
    <w:rsid w:val="00C90FB8"/>
    <w:rsid w:val="00C91194"/>
    <w:rsid w:val="00C9178E"/>
    <w:rsid w:val="00C91A09"/>
    <w:rsid w:val="00C91F38"/>
    <w:rsid w:val="00C92528"/>
    <w:rsid w:val="00C92E5E"/>
    <w:rsid w:val="00C92EAC"/>
    <w:rsid w:val="00C93117"/>
    <w:rsid w:val="00C9363F"/>
    <w:rsid w:val="00C93EA6"/>
    <w:rsid w:val="00C94984"/>
    <w:rsid w:val="00C95B6F"/>
    <w:rsid w:val="00C95C9A"/>
    <w:rsid w:val="00C9685A"/>
    <w:rsid w:val="00C96A04"/>
    <w:rsid w:val="00C96A3C"/>
    <w:rsid w:val="00C96BF6"/>
    <w:rsid w:val="00C96EF8"/>
    <w:rsid w:val="00C97160"/>
    <w:rsid w:val="00CA15C2"/>
    <w:rsid w:val="00CA1D86"/>
    <w:rsid w:val="00CA1E2E"/>
    <w:rsid w:val="00CA1E6F"/>
    <w:rsid w:val="00CA23B2"/>
    <w:rsid w:val="00CA3CA3"/>
    <w:rsid w:val="00CA4021"/>
    <w:rsid w:val="00CA4219"/>
    <w:rsid w:val="00CA4436"/>
    <w:rsid w:val="00CA47CC"/>
    <w:rsid w:val="00CA47ED"/>
    <w:rsid w:val="00CA4D08"/>
    <w:rsid w:val="00CA506E"/>
    <w:rsid w:val="00CA5577"/>
    <w:rsid w:val="00CA5D6E"/>
    <w:rsid w:val="00CA61B9"/>
    <w:rsid w:val="00CA62E4"/>
    <w:rsid w:val="00CA65F2"/>
    <w:rsid w:val="00CA68F4"/>
    <w:rsid w:val="00CA6F35"/>
    <w:rsid w:val="00CA744B"/>
    <w:rsid w:val="00CA75E5"/>
    <w:rsid w:val="00CA7A1F"/>
    <w:rsid w:val="00CB02C2"/>
    <w:rsid w:val="00CB1355"/>
    <w:rsid w:val="00CB164F"/>
    <w:rsid w:val="00CB1717"/>
    <w:rsid w:val="00CB1797"/>
    <w:rsid w:val="00CB18E7"/>
    <w:rsid w:val="00CB285E"/>
    <w:rsid w:val="00CB3F60"/>
    <w:rsid w:val="00CB404D"/>
    <w:rsid w:val="00CB4253"/>
    <w:rsid w:val="00CB4B32"/>
    <w:rsid w:val="00CB4D66"/>
    <w:rsid w:val="00CB4FE1"/>
    <w:rsid w:val="00CB551B"/>
    <w:rsid w:val="00CB6112"/>
    <w:rsid w:val="00CB6570"/>
    <w:rsid w:val="00CB6CC4"/>
    <w:rsid w:val="00CB759B"/>
    <w:rsid w:val="00CC013A"/>
    <w:rsid w:val="00CC0398"/>
    <w:rsid w:val="00CC0D78"/>
    <w:rsid w:val="00CC0FF9"/>
    <w:rsid w:val="00CC1061"/>
    <w:rsid w:val="00CC157A"/>
    <w:rsid w:val="00CC1DA5"/>
    <w:rsid w:val="00CC2475"/>
    <w:rsid w:val="00CC27DC"/>
    <w:rsid w:val="00CC29AA"/>
    <w:rsid w:val="00CC2A2A"/>
    <w:rsid w:val="00CC354E"/>
    <w:rsid w:val="00CC35E1"/>
    <w:rsid w:val="00CC3FEC"/>
    <w:rsid w:val="00CC4377"/>
    <w:rsid w:val="00CC460E"/>
    <w:rsid w:val="00CC5104"/>
    <w:rsid w:val="00CC552A"/>
    <w:rsid w:val="00CC60C3"/>
    <w:rsid w:val="00CC64BA"/>
    <w:rsid w:val="00CC69DF"/>
    <w:rsid w:val="00CC6B83"/>
    <w:rsid w:val="00CC7199"/>
    <w:rsid w:val="00CC770F"/>
    <w:rsid w:val="00CD0151"/>
    <w:rsid w:val="00CD0C11"/>
    <w:rsid w:val="00CD0C97"/>
    <w:rsid w:val="00CD23E3"/>
    <w:rsid w:val="00CD2784"/>
    <w:rsid w:val="00CD2F15"/>
    <w:rsid w:val="00CD3441"/>
    <w:rsid w:val="00CD3E04"/>
    <w:rsid w:val="00CD4907"/>
    <w:rsid w:val="00CD4A5C"/>
    <w:rsid w:val="00CD4EBC"/>
    <w:rsid w:val="00CD54E3"/>
    <w:rsid w:val="00CD5539"/>
    <w:rsid w:val="00CD5D47"/>
    <w:rsid w:val="00CD6051"/>
    <w:rsid w:val="00CD60DD"/>
    <w:rsid w:val="00CD6384"/>
    <w:rsid w:val="00CD64B2"/>
    <w:rsid w:val="00CD70E9"/>
    <w:rsid w:val="00CD7126"/>
    <w:rsid w:val="00CD7642"/>
    <w:rsid w:val="00CD7ED6"/>
    <w:rsid w:val="00CE0B27"/>
    <w:rsid w:val="00CE0D68"/>
    <w:rsid w:val="00CE2620"/>
    <w:rsid w:val="00CE2A4B"/>
    <w:rsid w:val="00CE33C8"/>
    <w:rsid w:val="00CE369B"/>
    <w:rsid w:val="00CE4481"/>
    <w:rsid w:val="00CE533E"/>
    <w:rsid w:val="00CE5592"/>
    <w:rsid w:val="00CE608A"/>
    <w:rsid w:val="00CE795D"/>
    <w:rsid w:val="00CE7A29"/>
    <w:rsid w:val="00CE7EE7"/>
    <w:rsid w:val="00CF006D"/>
    <w:rsid w:val="00CF14A0"/>
    <w:rsid w:val="00CF1C18"/>
    <w:rsid w:val="00CF26F6"/>
    <w:rsid w:val="00CF362A"/>
    <w:rsid w:val="00CF3F13"/>
    <w:rsid w:val="00CF55D6"/>
    <w:rsid w:val="00CF57FE"/>
    <w:rsid w:val="00CF5BE9"/>
    <w:rsid w:val="00CF5F6F"/>
    <w:rsid w:val="00CF66DD"/>
    <w:rsid w:val="00CF6FA0"/>
    <w:rsid w:val="00CF737D"/>
    <w:rsid w:val="00CF74D7"/>
    <w:rsid w:val="00CF7E09"/>
    <w:rsid w:val="00D00A5A"/>
    <w:rsid w:val="00D0100F"/>
    <w:rsid w:val="00D011CD"/>
    <w:rsid w:val="00D01228"/>
    <w:rsid w:val="00D018B6"/>
    <w:rsid w:val="00D019D9"/>
    <w:rsid w:val="00D01B8C"/>
    <w:rsid w:val="00D01D35"/>
    <w:rsid w:val="00D01FC3"/>
    <w:rsid w:val="00D02EAE"/>
    <w:rsid w:val="00D034C0"/>
    <w:rsid w:val="00D03989"/>
    <w:rsid w:val="00D03AE1"/>
    <w:rsid w:val="00D03DC9"/>
    <w:rsid w:val="00D049F9"/>
    <w:rsid w:val="00D04A2B"/>
    <w:rsid w:val="00D04CC0"/>
    <w:rsid w:val="00D05015"/>
    <w:rsid w:val="00D061E2"/>
    <w:rsid w:val="00D0648C"/>
    <w:rsid w:val="00D06536"/>
    <w:rsid w:val="00D069C1"/>
    <w:rsid w:val="00D06CA0"/>
    <w:rsid w:val="00D06F10"/>
    <w:rsid w:val="00D0715D"/>
    <w:rsid w:val="00D074E9"/>
    <w:rsid w:val="00D07639"/>
    <w:rsid w:val="00D07CD4"/>
    <w:rsid w:val="00D10265"/>
    <w:rsid w:val="00D10599"/>
    <w:rsid w:val="00D10636"/>
    <w:rsid w:val="00D106FA"/>
    <w:rsid w:val="00D10F4B"/>
    <w:rsid w:val="00D1188C"/>
    <w:rsid w:val="00D1197F"/>
    <w:rsid w:val="00D119F0"/>
    <w:rsid w:val="00D11BDE"/>
    <w:rsid w:val="00D11E72"/>
    <w:rsid w:val="00D12740"/>
    <w:rsid w:val="00D12EE6"/>
    <w:rsid w:val="00D12F27"/>
    <w:rsid w:val="00D130B8"/>
    <w:rsid w:val="00D134AA"/>
    <w:rsid w:val="00D13756"/>
    <w:rsid w:val="00D141A9"/>
    <w:rsid w:val="00D148EA"/>
    <w:rsid w:val="00D149ED"/>
    <w:rsid w:val="00D15325"/>
    <w:rsid w:val="00D15A1C"/>
    <w:rsid w:val="00D16340"/>
    <w:rsid w:val="00D166E5"/>
    <w:rsid w:val="00D16E43"/>
    <w:rsid w:val="00D16ED5"/>
    <w:rsid w:val="00D17791"/>
    <w:rsid w:val="00D17D3A"/>
    <w:rsid w:val="00D203D6"/>
    <w:rsid w:val="00D20754"/>
    <w:rsid w:val="00D211E8"/>
    <w:rsid w:val="00D224F0"/>
    <w:rsid w:val="00D226CC"/>
    <w:rsid w:val="00D2315D"/>
    <w:rsid w:val="00D23355"/>
    <w:rsid w:val="00D234BA"/>
    <w:rsid w:val="00D23B13"/>
    <w:rsid w:val="00D23E9E"/>
    <w:rsid w:val="00D23FA2"/>
    <w:rsid w:val="00D24B13"/>
    <w:rsid w:val="00D25416"/>
    <w:rsid w:val="00D256E7"/>
    <w:rsid w:val="00D26361"/>
    <w:rsid w:val="00D26745"/>
    <w:rsid w:val="00D2674A"/>
    <w:rsid w:val="00D27128"/>
    <w:rsid w:val="00D27A4D"/>
    <w:rsid w:val="00D27B1D"/>
    <w:rsid w:val="00D27F38"/>
    <w:rsid w:val="00D30795"/>
    <w:rsid w:val="00D308AD"/>
    <w:rsid w:val="00D308B7"/>
    <w:rsid w:val="00D3096C"/>
    <w:rsid w:val="00D30D12"/>
    <w:rsid w:val="00D3113E"/>
    <w:rsid w:val="00D316F8"/>
    <w:rsid w:val="00D31912"/>
    <w:rsid w:val="00D32091"/>
    <w:rsid w:val="00D32AA0"/>
    <w:rsid w:val="00D32C39"/>
    <w:rsid w:val="00D32CC4"/>
    <w:rsid w:val="00D32D74"/>
    <w:rsid w:val="00D32E7D"/>
    <w:rsid w:val="00D3372C"/>
    <w:rsid w:val="00D34062"/>
    <w:rsid w:val="00D34270"/>
    <w:rsid w:val="00D352F6"/>
    <w:rsid w:val="00D353B7"/>
    <w:rsid w:val="00D357C6"/>
    <w:rsid w:val="00D35FA7"/>
    <w:rsid w:val="00D361CC"/>
    <w:rsid w:val="00D361CD"/>
    <w:rsid w:val="00D3623F"/>
    <w:rsid w:val="00D36254"/>
    <w:rsid w:val="00D36F86"/>
    <w:rsid w:val="00D377F1"/>
    <w:rsid w:val="00D37AB6"/>
    <w:rsid w:val="00D37AC0"/>
    <w:rsid w:val="00D37F38"/>
    <w:rsid w:val="00D405FD"/>
    <w:rsid w:val="00D40616"/>
    <w:rsid w:val="00D40DA6"/>
    <w:rsid w:val="00D411AB"/>
    <w:rsid w:val="00D4139C"/>
    <w:rsid w:val="00D41739"/>
    <w:rsid w:val="00D429CE"/>
    <w:rsid w:val="00D42DC1"/>
    <w:rsid w:val="00D42EC5"/>
    <w:rsid w:val="00D433CB"/>
    <w:rsid w:val="00D438A9"/>
    <w:rsid w:val="00D43EAC"/>
    <w:rsid w:val="00D44808"/>
    <w:rsid w:val="00D449D5"/>
    <w:rsid w:val="00D451D1"/>
    <w:rsid w:val="00D45360"/>
    <w:rsid w:val="00D45E09"/>
    <w:rsid w:val="00D46CBB"/>
    <w:rsid w:val="00D46F43"/>
    <w:rsid w:val="00D473BE"/>
    <w:rsid w:val="00D47B4E"/>
    <w:rsid w:val="00D47EE8"/>
    <w:rsid w:val="00D47EF3"/>
    <w:rsid w:val="00D5012E"/>
    <w:rsid w:val="00D501D7"/>
    <w:rsid w:val="00D504EB"/>
    <w:rsid w:val="00D506AB"/>
    <w:rsid w:val="00D50BDD"/>
    <w:rsid w:val="00D5158C"/>
    <w:rsid w:val="00D51753"/>
    <w:rsid w:val="00D51A38"/>
    <w:rsid w:val="00D52199"/>
    <w:rsid w:val="00D52CCB"/>
    <w:rsid w:val="00D53320"/>
    <w:rsid w:val="00D53681"/>
    <w:rsid w:val="00D53A0F"/>
    <w:rsid w:val="00D53B0A"/>
    <w:rsid w:val="00D54058"/>
    <w:rsid w:val="00D541A8"/>
    <w:rsid w:val="00D547EF"/>
    <w:rsid w:val="00D56217"/>
    <w:rsid w:val="00D572B5"/>
    <w:rsid w:val="00D57C7B"/>
    <w:rsid w:val="00D60724"/>
    <w:rsid w:val="00D614B2"/>
    <w:rsid w:val="00D6190C"/>
    <w:rsid w:val="00D61AC3"/>
    <w:rsid w:val="00D61FDD"/>
    <w:rsid w:val="00D620FE"/>
    <w:rsid w:val="00D623FE"/>
    <w:rsid w:val="00D62960"/>
    <w:rsid w:val="00D629E6"/>
    <w:rsid w:val="00D64067"/>
    <w:rsid w:val="00D64E18"/>
    <w:rsid w:val="00D651A3"/>
    <w:rsid w:val="00D651C5"/>
    <w:rsid w:val="00D65636"/>
    <w:rsid w:val="00D6763F"/>
    <w:rsid w:val="00D707E3"/>
    <w:rsid w:val="00D70F59"/>
    <w:rsid w:val="00D714BC"/>
    <w:rsid w:val="00D71571"/>
    <w:rsid w:val="00D71DEB"/>
    <w:rsid w:val="00D72558"/>
    <w:rsid w:val="00D72CDD"/>
    <w:rsid w:val="00D734C7"/>
    <w:rsid w:val="00D73A1D"/>
    <w:rsid w:val="00D73B47"/>
    <w:rsid w:val="00D74289"/>
    <w:rsid w:val="00D74B82"/>
    <w:rsid w:val="00D75739"/>
    <w:rsid w:val="00D75C2C"/>
    <w:rsid w:val="00D768F9"/>
    <w:rsid w:val="00D768FF"/>
    <w:rsid w:val="00D76A3B"/>
    <w:rsid w:val="00D772E7"/>
    <w:rsid w:val="00D7766F"/>
    <w:rsid w:val="00D80185"/>
    <w:rsid w:val="00D80585"/>
    <w:rsid w:val="00D80622"/>
    <w:rsid w:val="00D809E2"/>
    <w:rsid w:val="00D80CB6"/>
    <w:rsid w:val="00D81A7F"/>
    <w:rsid w:val="00D81EA1"/>
    <w:rsid w:val="00D821F3"/>
    <w:rsid w:val="00D8230F"/>
    <w:rsid w:val="00D82A3C"/>
    <w:rsid w:val="00D82C02"/>
    <w:rsid w:val="00D82DA7"/>
    <w:rsid w:val="00D8372A"/>
    <w:rsid w:val="00D84F37"/>
    <w:rsid w:val="00D850EB"/>
    <w:rsid w:val="00D8522F"/>
    <w:rsid w:val="00D85A9B"/>
    <w:rsid w:val="00D863E1"/>
    <w:rsid w:val="00D86632"/>
    <w:rsid w:val="00D869F2"/>
    <w:rsid w:val="00D86F73"/>
    <w:rsid w:val="00D87633"/>
    <w:rsid w:val="00D87AD8"/>
    <w:rsid w:val="00D87DF1"/>
    <w:rsid w:val="00D900EA"/>
    <w:rsid w:val="00D90984"/>
    <w:rsid w:val="00D91D22"/>
    <w:rsid w:val="00D9207B"/>
    <w:rsid w:val="00D92317"/>
    <w:rsid w:val="00D92D88"/>
    <w:rsid w:val="00D93135"/>
    <w:rsid w:val="00D931D2"/>
    <w:rsid w:val="00D9375F"/>
    <w:rsid w:val="00D93B4D"/>
    <w:rsid w:val="00D940FB"/>
    <w:rsid w:val="00D94643"/>
    <w:rsid w:val="00D94823"/>
    <w:rsid w:val="00D95093"/>
    <w:rsid w:val="00D9512E"/>
    <w:rsid w:val="00D95691"/>
    <w:rsid w:val="00D96516"/>
    <w:rsid w:val="00D9673F"/>
    <w:rsid w:val="00D973F8"/>
    <w:rsid w:val="00D97B11"/>
    <w:rsid w:val="00D97C2B"/>
    <w:rsid w:val="00D97E4B"/>
    <w:rsid w:val="00DA03DF"/>
    <w:rsid w:val="00DA0673"/>
    <w:rsid w:val="00DA06F6"/>
    <w:rsid w:val="00DA0D8C"/>
    <w:rsid w:val="00DA1460"/>
    <w:rsid w:val="00DA1C27"/>
    <w:rsid w:val="00DA27C0"/>
    <w:rsid w:val="00DA2B60"/>
    <w:rsid w:val="00DA2F9D"/>
    <w:rsid w:val="00DA3685"/>
    <w:rsid w:val="00DA3FEE"/>
    <w:rsid w:val="00DA4210"/>
    <w:rsid w:val="00DA6046"/>
    <w:rsid w:val="00DA625C"/>
    <w:rsid w:val="00DA677A"/>
    <w:rsid w:val="00DA6A6D"/>
    <w:rsid w:val="00DA6A70"/>
    <w:rsid w:val="00DA6F5A"/>
    <w:rsid w:val="00DA73C9"/>
    <w:rsid w:val="00DA7A2E"/>
    <w:rsid w:val="00DA7CA4"/>
    <w:rsid w:val="00DB011F"/>
    <w:rsid w:val="00DB0348"/>
    <w:rsid w:val="00DB06D7"/>
    <w:rsid w:val="00DB131E"/>
    <w:rsid w:val="00DB140E"/>
    <w:rsid w:val="00DB221D"/>
    <w:rsid w:val="00DB2AB8"/>
    <w:rsid w:val="00DB2ED6"/>
    <w:rsid w:val="00DB3161"/>
    <w:rsid w:val="00DB38C3"/>
    <w:rsid w:val="00DB3A89"/>
    <w:rsid w:val="00DB4339"/>
    <w:rsid w:val="00DB47BB"/>
    <w:rsid w:val="00DB4D62"/>
    <w:rsid w:val="00DB4E3D"/>
    <w:rsid w:val="00DB4E75"/>
    <w:rsid w:val="00DB54BA"/>
    <w:rsid w:val="00DB6523"/>
    <w:rsid w:val="00DB680E"/>
    <w:rsid w:val="00DB6827"/>
    <w:rsid w:val="00DB6E82"/>
    <w:rsid w:val="00DB7ABC"/>
    <w:rsid w:val="00DB7D7A"/>
    <w:rsid w:val="00DC0384"/>
    <w:rsid w:val="00DC073B"/>
    <w:rsid w:val="00DC0761"/>
    <w:rsid w:val="00DC1E47"/>
    <w:rsid w:val="00DC27A9"/>
    <w:rsid w:val="00DC3D59"/>
    <w:rsid w:val="00DC4235"/>
    <w:rsid w:val="00DC43D2"/>
    <w:rsid w:val="00DC49F9"/>
    <w:rsid w:val="00DC4DD2"/>
    <w:rsid w:val="00DC5453"/>
    <w:rsid w:val="00DC56B8"/>
    <w:rsid w:val="00DC637E"/>
    <w:rsid w:val="00DC698E"/>
    <w:rsid w:val="00DC6F1B"/>
    <w:rsid w:val="00DC74A0"/>
    <w:rsid w:val="00DC750F"/>
    <w:rsid w:val="00DC77D6"/>
    <w:rsid w:val="00DC78A6"/>
    <w:rsid w:val="00DC7CB0"/>
    <w:rsid w:val="00DC7EA6"/>
    <w:rsid w:val="00DC7FB6"/>
    <w:rsid w:val="00DD03FF"/>
    <w:rsid w:val="00DD0AE3"/>
    <w:rsid w:val="00DD0CB3"/>
    <w:rsid w:val="00DD1EDC"/>
    <w:rsid w:val="00DD208C"/>
    <w:rsid w:val="00DD230C"/>
    <w:rsid w:val="00DD2930"/>
    <w:rsid w:val="00DD39A7"/>
    <w:rsid w:val="00DD39CA"/>
    <w:rsid w:val="00DD3E8B"/>
    <w:rsid w:val="00DD5234"/>
    <w:rsid w:val="00DD5966"/>
    <w:rsid w:val="00DD6D0D"/>
    <w:rsid w:val="00DD76E3"/>
    <w:rsid w:val="00DD77D8"/>
    <w:rsid w:val="00DE05E5"/>
    <w:rsid w:val="00DE0B37"/>
    <w:rsid w:val="00DE1472"/>
    <w:rsid w:val="00DE158A"/>
    <w:rsid w:val="00DE1C35"/>
    <w:rsid w:val="00DE1C7A"/>
    <w:rsid w:val="00DE229B"/>
    <w:rsid w:val="00DE24BB"/>
    <w:rsid w:val="00DE31D5"/>
    <w:rsid w:val="00DE3632"/>
    <w:rsid w:val="00DE3AB0"/>
    <w:rsid w:val="00DE3DB3"/>
    <w:rsid w:val="00DE4194"/>
    <w:rsid w:val="00DE536D"/>
    <w:rsid w:val="00DE60D9"/>
    <w:rsid w:val="00DE661A"/>
    <w:rsid w:val="00DE6A57"/>
    <w:rsid w:val="00DE7BA3"/>
    <w:rsid w:val="00DE7F6F"/>
    <w:rsid w:val="00DF007F"/>
    <w:rsid w:val="00DF0163"/>
    <w:rsid w:val="00DF0663"/>
    <w:rsid w:val="00DF1604"/>
    <w:rsid w:val="00DF2C4D"/>
    <w:rsid w:val="00DF32B8"/>
    <w:rsid w:val="00DF34B8"/>
    <w:rsid w:val="00DF438A"/>
    <w:rsid w:val="00DF4695"/>
    <w:rsid w:val="00DF4763"/>
    <w:rsid w:val="00DF4995"/>
    <w:rsid w:val="00DF4A3E"/>
    <w:rsid w:val="00DF4D21"/>
    <w:rsid w:val="00DF5A2F"/>
    <w:rsid w:val="00DF62EC"/>
    <w:rsid w:val="00DF726C"/>
    <w:rsid w:val="00DF773B"/>
    <w:rsid w:val="00DF79E3"/>
    <w:rsid w:val="00DF7B14"/>
    <w:rsid w:val="00E0021F"/>
    <w:rsid w:val="00E0078C"/>
    <w:rsid w:val="00E019D5"/>
    <w:rsid w:val="00E01C49"/>
    <w:rsid w:val="00E01CC2"/>
    <w:rsid w:val="00E0274B"/>
    <w:rsid w:val="00E02C81"/>
    <w:rsid w:val="00E02DD6"/>
    <w:rsid w:val="00E0355E"/>
    <w:rsid w:val="00E03727"/>
    <w:rsid w:val="00E038D2"/>
    <w:rsid w:val="00E038EC"/>
    <w:rsid w:val="00E03C79"/>
    <w:rsid w:val="00E03FB8"/>
    <w:rsid w:val="00E04038"/>
    <w:rsid w:val="00E048EE"/>
    <w:rsid w:val="00E04FD7"/>
    <w:rsid w:val="00E05061"/>
    <w:rsid w:val="00E06390"/>
    <w:rsid w:val="00E06457"/>
    <w:rsid w:val="00E067D0"/>
    <w:rsid w:val="00E06AF2"/>
    <w:rsid w:val="00E07156"/>
    <w:rsid w:val="00E07162"/>
    <w:rsid w:val="00E0752D"/>
    <w:rsid w:val="00E0793C"/>
    <w:rsid w:val="00E1087C"/>
    <w:rsid w:val="00E10EC8"/>
    <w:rsid w:val="00E11D24"/>
    <w:rsid w:val="00E11EA9"/>
    <w:rsid w:val="00E12697"/>
    <w:rsid w:val="00E126C6"/>
    <w:rsid w:val="00E1273B"/>
    <w:rsid w:val="00E13531"/>
    <w:rsid w:val="00E136B5"/>
    <w:rsid w:val="00E136C3"/>
    <w:rsid w:val="00E13DC3"/>
    <w:rsid w:val="00E13FF6"/>
    <w:rsid w:val="00E15236"/>
    <w:rsid w:val="00E15491"/>
    <w:rsid w:val="00E154F4"/>
    <w:rsid w:val="00E1609F"/>
    <w:rsid w:val="00E16CA5"/>
    <w:rsid w:val="00E17312"/>
    <w:rsid w:val="00E203B9"/>
    <w:rsid w:val="00E207B0"/>
    <w:rsid w:val="00E20C0F"/>
    <w:rsid w:val="00E21371"/>
    <w:rsid w:val="00E21BAE"/>
    <w:rsid w:val="00E22B76"/>
    <w:rsid w:val="00E23451"/>
    <w:rsid w:val="00E236CA"/>
    <w:rsid w:val="00E23966"/>
    <w:rsid w:val="00E23A1A"/>
    <w:rsid w:val="00E260CD"/>
    <w:rsid w:val="00E26683"/>
    <w:rsid w:val="00E2672D"/>
    <w:rsid w:val="00E2696D"/>
    <w:rsid w:val="00E26DE5"/>
    <w:rsid w:val="00E26E6A"/>
    <w:rsid w:val="00E26F71"/>
    <w:rsid w:val="00E30C9C"/>
    <w:rsid w:val="00E30EE4"/>
    <w:rsid w:val="00E31602"/>
    <w:rsid w:val="00E31756"/>
    <w:rsid w:val="00E31F78"/>
    <w:rsid w:val="00E32012"/>
    <w:rsid w:val="00E3227B"/>
    <w:rsid w:val="00E322F6"/>
    <w:rsid w:val="00E330E1"/>
    <w:rsid w:val="00E343B3"/>
    <w:rsid w:val="00E347D4"/>
    <w:rsid w:val="00E34F7E"/>
    <w:rsid w:val="00E34FCB"/>
    <w:rsid w:val="00E361A5"/>
    <w:rsid w:val="00E36C47"/>
    <w:rsid w:val="00E36F69"/>
    <w:rsid w:val="00E37A42"/>
    <w:rsid w:val="00E4034A"/>
    <w:rsid w:val="00E403BE"/>
    <w:rsid w:val="00E40AC3"/>
    <w:rsid w:val="00E4143E"/>
    <w:rsid w:val="00E41F44"/>
    <w:rsid w:val="00E4286E"/>
    <w:rsid w:val="00E42ED9"/>
    <w:rsid w:val="00E432E9"/>
    <w:rsid w:val="00E443AA"/>
    <w:rsid w:val="00E4498E"/>
    <w:rsid w:val="00E449F8"/>
    <w:rsid w:val="00E44E77"/>
    <w:rsid w:val="00E44F12"/>
    <w:rsid w:val="00E4535B"/>
    <w:rsid w:val="00E45430"/>
    <w:rsid w:val="00E455BC"/>
    <w:rsid w:val="00E457AD"/>
    <w:rsid w:val="00E45DD8"/>
    <w:rsid w:val="00E45F33"/>
    <w:rsid w:val="00E46352"/>
    <w:rsid w:val="00E46946"/>
    <w:rsid w:val="00E46B48"/>
    <w:rsid w:val="00E46DD9"/>
    <w:rsid w:val="00E47331"/>
    <w:rsid w:val="00E47573"/>
    <w:rsid w:val="00E4783A"/>
    <w:rsid w:val="00E47CD6"/>
    <w:rsid w:val="00E5106B"/>
    <w:rsid w:val="00E519AF"/>
    <w:rsid w:val="00E519BC"/>
    <w:rsid w:val="00E519CD"/>
    <w:rsid w:val="00E51B55"/>
    <w:rsid w:val="00E51F3D"/>
    <w:rsid w:val="00E52050"/>
    <w:rsid w:val="00E52345"/>
    <w:rsid w:val="00E52708"/>
    <w:rsid w:val="00E529D4"/>
    <w:rsid w:val="00E5310E"/>
    <w:rsid w:val="00E53228"/>
    <w:rsid w:val="00E536E8"/>
    <w:rsid w:val="00E53FDB"/>
    <w:rsid w:val="00E54B26"/>
    <w:rsid w:val="00E54BFB"/>
    <w:rsid w:val="00E551B4"/>
    <w:rsid w:val="00E558C7"/>
    <w:rsid w:val="00E55B67"/>
    <w:rsid w:val="00E569F2"/>
    <w:rsid w:val="00E577DF"/>
    <w:rsid w:val="00E5797C"/>
    <w:rsid w:val="00E57B16"/>
    <w:rsid w:val="00E606C2"/>
    <w:rsid w:val="00E608EF"/>
    <w:rsid w:val="00E60BC5"/>
    <w:rsid w:val="00E61109"/>
    <w:rsid w:val="00E61131"/>
    <w:rsid w:val="00E61EA4"/>
    <w:rsid w:val="00E62311"/>
    <w:rsid w:val="00E6238E"/>
    <w:rsid w:val="00E626B4"/>
    <w:rsid w:val="00E62937"/>
    <w:rsid w:val="00E62B74"/>
    <w:rsid w:val="00E62BA8"/>
    <w:rsid w:val="00E633CE"/>
    <w:rsid w:val="00E63582"/>
    <w:rsid w:val="00E6508E"/>
    <w:rsid w:val="00E650D3"/>
    <w:rsid w:val="00E6546A"/>
    <w:rsid w:val="00E65944"/>
    <w:rsid w:val="00E65BDE"/>
    <w:rsid w:val="00E65C8F"/>
    <w:rsid w:val="00E66525"/>
    <w:rsid w:val="00E66BE0"/>
    <w:rsid w:val="00E66D46"/>
    <w:rsid w:val="00E66F4C"/>
    <w:rsid w:val="00E66F9A"/>
    <w:rsid w:val="00E678CE"/>
    <w:rsid w:val="00E67AAB"/>
    <w:rsid w:val="00E70611"/>
    <w:rsid w:val="00E70AA9"/>
    <w:rsid w:val="00E70C29"/>
    <w:rsid w:val="00E70D92"/>
    <w:rsid w:val="00E71314"/>
    <w:rsid w:val="00E71681"/>
    <w:rsid w:val="00E72885"/>
    <w:rsid w:val="00E72A60"/>
    <w:rsid w:val="00E73976"/>
    <w:rsid w:val="00E73F43"/>
    <w:rsid w:val="00E74ABC"/>
    <w:rsid w:val="00E74CE5"/>
    <w:rsid w:val="00E750D6"/>
    <w:rsid w:val="00E75221"/>
    <w:rsid w:val="00E75654"/>
    <w:rsid w:val="00E75A74"/>
    <w:rsid w:val="00E75A8E"/>
    <w:rsid w:val="00E75E62"/>
    <w:rsid w:val="00E760AA"/>
    <w:rsid w:val="00E760EA"/>
    <w:rsid w:val="00E77109"/>
    <w:rsid w:val="00E80013"/>
    <w:rsid w:val="00E805BF"/>
    <w:rsid w:val="00E81244"/>
    <w:rsid w:val="00E8127E"/>
    <w:rsid w:val="00E81D29"/>
    <w:rsid w:val="00E82632"/>
    <w:rsid w:val="00E827CD"/>
    <w:rsid w:val="00E82B50"/>
    <w:rsid w:val="00E83A98"/>
    <w:rsid w:val="00E84074"/>
    <w:rsid w:val="00E84131"/>
    <w:rsid w:val="00E8512E"/>
    <w:rsid w:val="00E853EF"/>
    <w:rsid w:val="00E85586"/>
    <w:rsid w:val="00E858CA"/>
    <w:rsid w:val="00E86C78"/>
    <w:rsid w:val="00E87979"/>
    <w:rsid w:val="00E90B90"/>
    <w:rsid w:val="00E90D80"/>
    <w:rsid w:val="00E90E28"/>
    <w:rsid w:val="00E913DA"/>
    <w:rsid w:val="00E9152D"/>
    <w:rsid w:val="00E91635"/>
    <w:rsid w:val="00E91B43"/>
    <w:rsid w:val="00E91D8D"/>
    <w:rsid w:val="00E923AC"/>
    <w:rsid w:val="00E929B2"/>
    <w:rsid w:val="00E92A0F"/>
    <w:rsid w:val="00E92D2A"/>
    <w:rsid w:val="00E935BB"/>
    <w:rsid w:val="00E93626"/>
    <w:rsid w:val="00E9400C"/>
    <w:rsid w:val="00E94478"/>
    <w:rsid w:val="00E9452E"/>
    <w:rsid w:val="00E947EA"/>
    <w:rsid w:val="00E94808"/>
    <w:rsid w:val="00E9535E"/>
    <w:rsid w:val="00E9539A"/>
    <w:rsid w:val="00E95C10"/>
    <w:rsid w:val="00E95DAF"/>
    <w:rsid w:val="00E96022"/>
    <w:rsid w:val="00E962C2"/>
    <w:rsid w:val="00E96445"/>
    <w:rsid w:val="00E966F1"/>
    <w:rsid w:val="00E96961"/>
    <w:rsid w:val="00E96B71"/>
    <w:rsid w:val="00E97059"/>
    <w:rsid w:val="00E97174"/>
    <w:rsid w:val="00E9732C"/>
    <w:rsid w:val="00EA00B7"/>
    <w:rsid w:val="00EA05E8"/>
    <w:rsid w:val="00EA0A14"/>
    <w:rsid w:val="00EA132F"/>
    <w:rsid w:val="00EA2349"/>
    <w:rsid w:val="00EA25F9"/>
    <w:rsid w:val="00EA2ED0"/>
    <w:rsid w:val="00EA2FFE"/>
    <w:rsid w:val="00EA3612"/>
    <w:rsid w:val="00EA3F5B"/>
    <w:rsid w:val="00EA4608"/>
    <w:rsid w:val="00EA493D"/>
    <w:rsid w:val="00EA4FE1"/>
    <w:rsid w:val="00EA54B7"/>
    <w:rsid w:val="00EA581F"/>
    <w:rsid w:val="00EA5A63"/>
    <w:rsid w:val="00EA5D55"/>
    <w:rsid w:val="00EA621F"/>
    <w:rsid w:val="00EA6EE9"/>
    <w:rsid w:val="00EA726B"/>
    <w:rsid w:val="00EA772A"/>
    <w:rsid w:val="00EA7BFE"/>
    <w:rsid w:val="00EA7E4F"/>
    <w:rsid w:val="00EA7E67"/>
    <w:rsid w:val="00EB113E"/>
    <w:rsid w:val="00EB163D"/>
    <w:rsid w:val="00EB174E"/>
    <w:rsid w:val="00EB17FF"/>
    <w:rsid w:val="00EB1AF3"/>
    <w:rsid w:val="00EB1B27"/>
    <w:rsid w:val="00EB1DA3"/>
    <w:rsid w:val="00EB1DCA"/>
    <w:rsid w:val="00EB283B"/>
    <w:rsid w:val="00EB2DDB"/>
    <w:rsid w:val="00EB2ECC"/>
    <w:rsid w:val="00EB33EA"/>
    <w:rsid w:val="00EB39C2"/>
    <w:rsid w:val="00EB3C1A"/>
    <w:rsid w:val="00EB3FDF"/>
    <w:rsid w:val="00EB40CC"/>
    <w:rsid w:val="00EB47FD"/>
    <w:rsid w:val="00EB48C0"/>
    <w:rsid w:val="00EB4C5D"/>
    <w:rsid w:val="00EB4C69"/>
    <w:rsid w:val="00EB55A7"/>
    <w:rsid w:val="00EB5D74"/>
    <w:rsid w:val="00EB66AF"/>
    <w:rsid w:val="00EB6AD0"/>
    <w:rsid w:val="00EB6E19"/>
    <w:rsid w:val="00EC0AD6"/>
    <w:rsid w:val="00EC0E77"/>
    <w:rsid w:val="00EC144F"/>
    <w:rsid w:val="00EC266F"/>
    <w:rsid w:val="00EC2932"/>
    <w:rsid w:val="00EC2B49"/>
    <w:rsid w:val="00EC2DF1"/>
    <w:rsid w:val="00EC2E56"/>
    <w:rsid w:val="00EC3BBD"/>
    <w:rsid w:val="00EC4207"/>
    <w:rsid w:val="00EC49DC"/>
    <w:rsid w:val="00EC4B05"/>
    <w:rsid w:val="00EC4B6C"/>
    <w:rsid w:val="00EC4CF0"/>
    <w:rsid w:val="00EC4DC6"/>
    <w:rsid w:val="00EC5089"/>
    <w:rsid w:val="00EC558D"/>
    <w:rsid w:val="00EC56BF"/>
    <w:rsid w:val="00EC6776"/>
    <w:rsid w:val="00EC6879"/>
    <w:rsid w:val="00EC68EB"/>
    <w:rsid w:val="00EC6F94"/>
    <w:rsid w:val="00EC706B"/>
    <w:rsid w:val="00EC7827"/>
    <w:rsid w:val="00EC79D8"/>
    <w:rsid w:val="00EC7B8B"/>
    <w:rsid w:val="00ED0714"/>
    <w:rsid w:val="00ED0F36"/>
    <w:rsid w:val="00ED0FEF"/>
    <w:rsid w:val="00ED106B"/>
    <w:rsid w:val="00ED1D43"/>
    <w:rsid w:val="00ED2464"/>
    <w:rsid w:val="00ED2BA7"/>
    <w:rsid w:val="00ED2BCC"/>
    <w:rsid w:val="00ED39A4"/>
    <w:rsid w:val="00ED4271"/>
    <w:rsid w:val="00ED5260"/>
    <w:rsid w:val="00ED5F59"/>
    <w:rsid w:val="00ED6304"/>
    <w:rsid w:val="00ED6ADA"/>
    <w:rsid w:val="00ED6F5E"/>
    <w:rsid w:val="00ED7636"/>
    <w:rsid w:val="00ED767E"/>
    <w:rsid w:val="00ED77EC"/>
    <w:rsid w:val="00ED77FE"/>
    <w:rsid w:val="00ED78BA"/>
    <w:rsid w:val="00ED7ACA"/>
    <w:rsid w:val="00ED7AE7"/>
    <w:rsid w:val="00EE0EA3"/>
    <w:rsid w:val="00EE1925"/>
    <w:rsid w:val="00EE19BC"/>
    <w:rsid w:val="00EE1ACE"/>
    <w:rsid w:val="00EE2CD8"/>
    <w:rsid w:val="00EE30CC"/>
    <w:rsid w:val="00EE3269"/>
    <w:rsid w:val="00EE348A"/>
    <w:rsid w:val="00EE39F1"/>
    <w:rsid w:val="00EE3AE5"/>
    <w:rsid w:val="00EE4C4F"/>
    <w:rsid w:val="00EE4D53"/>
    <w:rsid w:val="00EE5108"/>
    <w:rsid w:val="00EE58C7"/>
    <w:rsid w:val="00EE5D65"/>
    <w:rsid w:val="00EE6B93"/>
    <w:rsid w:val="00EF0572"/>
    <w:rsid w:val="00EF157E"/>
    <w:rsid w:val="00EF195F"/>
    <w:rsid w:val="00EF207B"/>
    <w:rsid w:val="00EF2CC6"/>
    <w:rsid w:val="00EF2E74"/>
    <w:rsid w:val="00EF2EE9"/>
    <w:rsid w:val="00EF3072"/>
    <w:rsid w:val="00EF31A1"/>
    <w:rsid w:val="00EF4CEA"/>
    <w:rsid w:val="00EF4EB6"/>
    <w:rsid w:val="00EF506A"/>
    <w:rsid w:val="00EF5783"/>
    <w:rsid w:val="00EF57D8"/>
    <w:rsid w:val="00EF5885"/>
    <w:rsid w:val="00EF66EC"/>
    <w:rsid w:val="00EF6A9D"/>
    <w:rsid w:val="00EF6B78"/>
    <w:rsid w:val="00EF6F3B"/>
    <w:rsid w:val="00EF70C5"/>
    <w:rsid w:val="00EF7606"/>
    <w:rsid w:val="00EF7765"/>
    <w:rsid w:val="00EF7ECC"/>
    <w:rsid w:val="00EF7FB4"/>
    <w:rsid w:val="00F01B84"/>
    <w:rsid w:val="00F01C5F"/>
    <w:rsid w:val="00F02601"/>
    <w:rsid w:val="00F02C70"/>
    <w:rsid w:val="00F03C1A"/>
    <w:rsid w:val="00F042C3"/>
    <w:rsid w:val="00F042EE"/>
    <w:rsid w:val="00F0472F"/>
    <w:rsid w:val="00F0526F"/>
    <w:rsid w:val="00F0564E"/>
    <w:rsid w:val="00F059B9"/>
    <w:rsid w:val="00F06139"/>
    <w:rsid w:val="00F071DD"/>
    <w:rsid w:val="00F074D9"/>
    <w:rsid w:val="00F07BBB"/>
    <w:rsid w:val="00F07F0D"/>
    <w:rsid w:val="00F10243"/>
    <w:rsid w:val="00F10DB6"/>
    <w:rsid w:val="00F119C5"/>
    <w:rsid w:val="00F11F48"/>
    <w:rsid w:val="00F12130"/>
    <w:rsid w:val="00F123A9"/>
    <w:rsid w:val="00F12BB4"/>
    <w:rsid w:val="00F12E67"/>
    <w:rsid w:val="00F12F33"/>
    <w:rsid w:val="00F130C9"/>
    <w:rsid w:val="00F13645"/>
    <w:rsid w:val="00F136A8"/>
    <w:rsid w:val="00F13829"/>
    <w:rsid w:val="00F1440A"/>
    <w:rsid w:val="00F144C9"/>
    <w:rsid w:val="00F14637"/>
    <w:rsid w:val="00F15CBA"/>
    <w:rsid w:val="00F1650B"/>
    <w:rsid w:val="00F1670A"/>
    <w:rsid w:val="00F16C67"/>
    <w:rsid w:val="00F16EF8"/>
    <w:rsid w:val="00F170BD"/>
    <w:rsid w:val="00F171E5"/>
    <w:rsid w:val="00F17A8B"/>
    <w:rsid w:val="00F17C27"/>
    <w:rsid w:val="00F2021E"/>
    <w:rsid w:val="00F208A4"/>
    <w:rsid w:val="00F209BF"/>
    <w:rsid w:val="00F20AF8"/>
    <w:rsid w:val="00F20CFF"/>
    <w:rsid w:val="00F20DB0"/>
    <w:rsid w:val="00F21717"/>
    <w:rsid w:val="00F220DF"/>
    <w:rsid w:val="00F225EF"/>
    <w:rsid w:val="00F235A7"/>
    <w:rsid w:val="00F244D6"/>
    <w:rsid w:val="00F2486A"/>
    <w:rsid w:val="00F249E7"/>
    <w:rsid w:val="00F24FCA"/>
    <w:rsid w:val="00F252AB"/>
    <w:rsid w:val="00F2553B"/>
    <w:rsid w:val="00F25EF9"/>
    <w:rsid w:val="00F26343"/>
    <w:rsid w:val="00F26DE7"/>
    <w:rsid w:val="00F26E7E"/>
    <w:rsid w:val="00F278D2"/>
    <w:rsid w:val="00F304FF"/>
    <w:rsid w:val="00F30A6B"/>
    <w:rsid w:val="00F30A73"/>
    <w:rsid w:val="00F30E9F"/>
    <w:rsid w:val="00F311B9"/>
    <w:rsid w:val="00F31202"/>
    <w:rsid w:val="00F316E2"/>
    <w:rsid w:val="00F31976"/>
    <w:rsid w:val="00F31F2C"/>
    <w:rsid w:val="00F3223D"/>
    <w:rsid w:val="00F323C6"/>
    <w:rsid w:val="00F32946"/>
    <w:rsid w:val="00F3309E"/>
    <w:rsid w:val="00F333D0"/>
    <w:rsid w:val="00F33A23"/>
    <w:rsid w:val="00F3450F"/>
    <w:rsid w:val="00F34F69"/>
    <w:rsid w:val="00F356E4"/>
    <w:rsid w:val="00F360EB"/>
    <w:rsid w:val="00F36105"/>
    <w:rsid w:val="00F3669C"/>
    <w:rsid w:val="00F3673C"/>
    <w:rsid w:val="00F36A6A"/>
    <w:rsid w:val="00F3701D"/>
    <w:rsid w:val="00F370EE"/>
    <w:rsid w:val="00F37DCC"/>
    <w:rsid w:val="00F37EC6"/>
    <w:rsid w:val="00F40381"/>
    <w:rsid w:val="00F40680"/>
    <w:rsid w:val="00F414A4"/>
    <w:rsid w:val="00F419BA"/>
    <w:rsid w:val="00F41F3E"/>
    <w:rsid w:val="00F421B9"/>
    <w:rsid w:val="00F421E7"/>
    <w:rsid w:val="00F42AFF"/>
    <w:rsid w:val="00F42C97"/>
    <w:rsid w:val="00F42D2C"/>
    <w:rsid w:val="00F42E78"/>
    <w:rsid w:val="00F43148"/>
    <w:rsid w:val="00F43B53"/>
    <w:rsid w:val="00F442A5"/>
    <w:rsid w:val="00F44B20"/>
    <w:rsid w:val="00F44E5C"/>
    <w:rsid w:val="00F45334"/>
    <w:rsid w:val="00F4560B"/>
    <w:rsid w:val="00F45903"/>
    <w:rsid w:val="00F459E2"/>
    <w:rsid w:val="00F45A92"/>
    <w:rsid w:val="00F45B6D"/>
    <w:rsid w:val="00F4676D"/>
    <w:rsid w:val="00F46AFD"/>
    <w:rsid w:val="00F46C13"/>
    <w:rsid w:val="00F46C60"/>
    <w:rsid w:val="00F47744"/>
    <w:rsid w:val="00F4778A"/>
    <w:rsid w:val="00F478A2"/>
    <w:rsid w:val="00F50654"/>
    <w:rsid w:val="00F50AD7"/>
    <w:rsid w:val="00F50D7A"/>
    <w:rsid w:val="00F50E9F"/>
    <w:rsid w:val="00F5187F"/>
    <w:rsid w:val="00F51D22"/>
    <w:rsid w:val="00F51EDF"/>
    <w:rsid w:val="00F5330C"/>
    <w:rsid w:val="00F53439"/>
    <w:rsid w:val="00F54AC5"/>
    <w:rsid w:val="00F5519E"/>
    <w:rsid w:val="00F551D9"/>
    <w:rsid w:val="00F55FC0"/>
    <w:rsid w:val="00F563D8"/>
    <w:rsid w:val="00F56611"/>
    <w:rsid w:val="00F56709"/>
    <w:rsid w:val="00F57823"/>
    <w:rsid w:val="00F57AB2"/>
    <w:rsid w:val="00F57AFF"/>
    <w:rsid w:val="00F6004A"/>
    <w:rsid w:val="00F601CB"/>
    <w:rsid w:val="00F60377"/>
    <w:rsid w:val="00F60C03"/>
    <w:rsid w:val="00F60C51"/>
    <w:rsid w:val="00F61FE0"/>
    <w:rsid w:val="00F63135"/>
    <w:rsid w:val="00F6313D"/>
    <w:rsid w:val="00F6381E"/>
    <w:rsid w:val="00F63B5B"/>
    <w:rsid w:val="00F63BD0"/>
    <w:rsid w:val="00F63BDF"/>
    <w:rsid w:val="00F63D56"/>
    <w:rsid w:val="00F6437B"/>
    <w:rsid w:val="00F6455B"/>
    <w:rsid w:val="00F64705"/>
    <w:rsid w:val="00F648C7"/>
    <w:rsid w:val="00F64AE2"/>
    <w:rsid w:val="00F65536"/>
    <w:rsid w:val="00F65E52"/>
    <w:rsid w:val="00F66A15"/>
    <w:rsid w:val="00F6736D"/>
    <w:rsid w:val="00F679A0"/>
    <w:rsid w:val="00F7069D"/>
    <w:rsid w:val="00F7091E"/>
    <w:rsid w:val="00F70CB0"/>
    <w:rsid w:val="00F714B0"/>
    <w:rsid w:val="00F7192F"/>
    <w:rsid w:val="00F7263F"/>
    <w:rsid w:val="00F72665"/>
    <w:rsid w:val="00F7322C"/>
    <w:rsid w:val="00F7333F"/>
    <w:rsid w:val="00F73BB6"/>
    <w:rsid w:val="00F73F6D"/>
    <w:rsid w:val="00F74656"/>
    <w:rsid w:val="00F775B1"/>
    <w:rsid w:val="00F80099"/>
    <w:rsid w:val="00F8052B"/>
    <w:rsid w:val="00F80D12"/>
    <w:rsid w:val="00F81D91"/>
    <w:rsid w:val="00F823C5"/>
    <w:rsid w:val="00F83000"/>
    <w:rsid w:val="00F835C5"/>
    <w:rsid w:val="00F83FB5"/>
    <w:rsid w:val="00F845D1"/>
    <w:rsid w:val="00F84BD3"/>
    <w:rsid w:val="00F85913"/>
    <w:rsid w:val="00F85BE8"/>
    <w:rsid w:val="00F86AB9"/>
    <w:rsid w:val="00F86F63"/>
    <w:rsid w:val="00F873C2"/>
    <w:rsid w:val="00F87F10"/>
    <w:rsid w:val="00F9027B"/>
    <w:rsid w:val="00F906DF"/>
    <w:rsid w:val="00F907B8"/>
    <w:rsid w:val="00F9153E"/>
    <w:rsid w:val="00F91581"/>
    <w:rsid w:val="00F91D65"/>
    <w:rsid w:val="00F920DE"/>
    <w:rsid w:val="00F9238B"/>
    <w:rsid w:val="00F92741"/>
    <w:rsid w:val="00F93521"/>
    <w:rsid w:val="00F93D77"/>
    <w:rsid w:val="00F94DAE"/>
    <w:rsid w:val="00F95548"/>
    <w:rsid w:val="00F95680"/>
    <w:rsid w:val="00F957D3"/>
    <w:rsid w:val="00F963E6"/>
    <w:rsid w:val="00F9646A"/>
    <w:rsid w:val="00F96DE6"/>
    <w:rsid w:val="00F96E45"/>
    <w:rsid w:val="00F974A3"/>
    <w:rsid w:val="00F97883"/>
    <w:rsid w:val="00F979AE"/>
    <w:rsid w:val="00FA0A5F"/>
    <w:rsid w:val="00FA103F"/>
    <w:rsid w:val="00FA121A"/>
    <w:rsid w:val="00FA1653"/>
    <w:rsid w:val="00FA2144"/>
    <w:rsid w:val="00FA2DA7"/>
    <w:rsid w:val="00FA2FCD"/>
    <w:rsid w:val="00FA3430"/>
    <w:rsid w:val="00FA369C"/>
    <w:rsid w:val="00FA4397"/>
    <w:rsid w:val="00FA4B73"/>
    <w:rsid w:val="00FA4DCC"/>
    <w:rsid w:val="00FA5A85"/>
    <w:rsid w:val="00FA5CB9"/>
    <w:rsid w:val="00FA5D05"/>
    <w:rsid w:val="00FA791C"/>
    <w:rsid w:val="00FA7A7C"/>
    <w:rsid w:val="00FB0FEC"/>
    <w:rsid w:val="00FB10C0"/>
    <w:rsid w:val="00FB112D"/>
    <w:rsid w:val="00FB1BFC"/>
    <w:rsid w:val="00FB1DC8"/>
    <w:rsid w:val="00FB2130"/>
    <w:rsid w:val="00FB2493"/>
    <w:rsid w:val="00FB24A7"/>
    <w:rsid w:val="00FB2939"/>
    <w:rsid w:val="00FB2CC2"/>
    <w:rsid w:val="00FB3513"/>
    <w:rsid w:val="00FB38A6"/>
    <w:rsid w:val="00FB3909"/>
    <w:rsid w:val="00FB3E93"/>
    <w:rsid w:val="00FB4578"/>
    <w:rsid w:val="00FB490F"/>
    <w:rsid w:val="00FB4E85"/>
    <w:rsid w:val="00FB5460"/>
    <w:rsid w:val="00FB56BE"/>
    <w:rsid w:val="00FB57DC"/>
    <w:rsid w:val="00FB5C55"/>
    <w:rsid w:val="00FB63A4"/>
    <w:rsid w:val="00FB654A"/>
    <w:rsid w:val="00FB7C05"/>
    <w:rsid w:val="00FC003B"/>
    <w:rsid w:val="00FC0BC3"/>
    <w:rsid w:val="00FC0DF6"/>
    <w:rsid w:val="00FC1223"/>
    <w:rsid w:val="00FC1396"/>
    <w:rsid w:val="00FC1590"/>
    <w:rsid w:val="00FC1720"/>
    <w:rsid w:val="00FC17D1"/>
    <w:rsid w:val="00FC267D"/>
    <w:rsid w:val="00FC269B"/>
    <w:rsid w:val="00FC277C"/>
    <w:rsid w:val="00FC2CF2"/>
    <w:rsid w:val="00FC2F11"/>
    <w:rsid w:val="00FC376B"/>
    <w:rsid w:val="00FC3C23"/>
    <w:rsid w:val="00FC3FA1"/>
    <w:rsid w:val="00FC4D38"/>
    <w:rsid w:val="00FC535C"/>
    <w:rsid w:val="00FC5382"/>
    <w:rsid w:val="00FC5FC2"/>
    <w:rsid w:val="00FC7553"/>
    <w:rsid w:val="00FC755D"/>
    <w:rsid w:val="00FC763F"/>
    <w:rsid w:val="00FC7A7C"/>
    <w:rsid w:val="00FD0042"/>
    <w:rsid w:val="00FD0195"/>
    <w:rsid w:val="00FD05A8"/>
    <w:rsid w:val="00FD12BC"/>
    <w:rsid w:val="00FD165F"/>
    <w:rsid w:val="00FD1BB2"/>
    <w:rsid w:val="00FD2180"/>
    <w:rsid w:val="00FD2726"/>
    <w:rsid w:val="00FD2901"/>
    <w:rsid w:val="00FD3207"/>
    <w:rsid w:val="00FD347D"/>
    <w:rsid w:val="00FD3AE2"/>
    <w:rsid w:val="00FD3D9E"/>
    <w:rsid w:val="00FD3E45"/>
    <w:rsid w:val="00FD4EB9"/>
    <w:rsid w:val="00FD5824"/>
    <w:rsid w:val="00FD5CF1"/>
    <w:rsid w:val="00FD62B9"/>
    <w:rsid w:val="00FD6A1E"/>
    <w:rsid w:val="00FD6B1E"/>
    <w:rsid w:val="00FD6E2F"/>
    <w:rsid w:val="00FD7165"/>
    <w:rsid w:val="00FD71C8"/>
    <w:rsid w:val="00FD742E"/>
    <w:rsid w:val="00FD762A"/>
    <w:rsid w:val="00FD77C2"/>
    <w:rsid w:val="00FD7E40"/>
    <w:rsid w:val="00FD7F59"/>
    <w:rsid w:val="00FE0ABA"/>
    <w:rsid w:val="00FE0C43"/>
    <w:rsid w:val="00FE15A3"/>
    <w:rsid w:val="00FE179E"/>
    <w:rsid w:val="00FE17D6"/>
    <w:rsid w:val="00FE19F0"/>
    <w:rsid w:val="00FE1C30"/>
    <w:rsid w:val="00FE2254"/>
    <w:rsid w:val="00FE2713"/>
    <w:rsid w:val="00FE29B3"/>
    <w:rsid w:val="00FE2A7F"/>
    <w:rsid w:val="00FE2DCD"/>
    <w:rsid w:val="00FE3464"/>
    <w:rsid w:val="00FE3878"/>
    <w:rsid w:val="00FE3966"/>
    <w:rsid w:val="00FE39A7"/>
    <w:rsid w:val="00FE3AA7"/>
    <w:rsid w:val="00FE3D2F"/>
    <w:rsid w:val="00FE3FF6"/>
    <w:rsid w:val="00FE44E4"/>
    <w:rsid w:val="00FE4ED4"/>
    <w:rsid w:val="00FE57F3"/>
    <w:rsid w:val="00FE6298"/>
    <w:rsid w:val="00FE62F0"/>
    <w:rsid w:val="00FE64C6"/>
    <w:rsid w:val="00FE6C62"/>
    <w:rsid w:val="00FF00B7"/>
    <w:rsid w:val="00FF0278"/>
    <w:rsid w:val="00FF0B42"/>
    <w:rsid w:val="00FF15A1"/>
    <w:rsid w:val="00FF16C4"/>
    <w:rsid w:val="00FF220B"/>
    <w:rsid w:val="00FF232E"/>
    <w:rsid w:val="00FF2FED"/>
    <w:rsid w:val="00FF3849"/>
    <w:rsid w:val="00FF392D"/>
    <w:rsid w:val="00FF3D7E"/>
    <w:rsid w:val="00FF3E56"/>
    <w:rsid w:val="00FF3EA8"/>
    <w:rsid w:val="00FF4507"/>
    <w:rsid w:val="00FF487B"/>
    <w:rsid w:val="00FF4916"/>
    <w:rsid w:val="00FF499C"/>
    <w:rsid w:val="00FF4D3D"/>
    <w:rsid w:val="00FF4FC2"/>
    <w:rsid w:val="00FF5906"/>
    <w:rsid w:val="00FF59B8"/>
    <w:rsid w:val="00FF59FD"/>
    <w:rsid w:val="00FF690B"/>
    <w:rsid w:val="00FF7884"/>
    <w:rsid w:val="00FF7F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8E3F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AT" w:eastAsia="de-AT"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24018"/>
    <w:pPr>
      <w:spacing w:before="120" w:line="312" w:lineRule="auto"/>
      <w:jc w:val="both"/>
    </w:pPr>
    <w:rPr>
      <w:sz w:val="26"/>
      <w:szCs w:val="24"/>
      <w:lang w:val="en-GB" w:eastAsia="en-GB"/>
    </w:rPr>
  </w:style>
  <w:style w:type="paragraph" w:styleId="Heading1">
    <w:name w:val="heading 1"/>
    <w:basedOn w:val="Normal"/>
    <w:next w:val="Normal"/>
    <w:link w:val="Heading1Char1"/>
    <w:uiPriority w:val="9"/>
    <w:qFormat/>
    <w:rsid w:val="00ED5260"/>
    <w:pPr>
      <w:keepNext/>
      <w:numPr>
        <w:numId w:val="2"/>
      </w:numPr>
      <w:spacing w:before="240" w:after="240"/>
      <w:outlineLvl w:val="0"/>
    </w:pPr>
    <w:rPr>
      <w:b/>
      <w:bCs/>
      <w:color w:val="000000" w:themeColor="text1"/>
      <w:kern w:val="32"/>
      <w:sz w:val="34"/>
      <w:szCs w:val="34"/>
      <w:lang w:eastAsia="de-AT"/>
    </w:rPr>
  </w:style>
  <w:style w:type="paragraph" w:styleId="Heading2">
    <w:name w:val="heading 2"/>
    <w:basedOn w:val="Normal"/>
    <w:next w:val="Normal"/>
    <w:link w:val="Heading2Char1"/>
    <w:uiPriority w:val="9"/>
    <w:qFormat/>
    <w:rsid w:val="003F55A9"/>
    <w:pPr>
      <w:keepNext/>
      <w:numPr>
        <w:ilvl w:val="1"/>
        <w:numId w:val="2"/>
      </w:numPr>
      <w:outlineLvl w:val="1"/>
    </w:pPr>
    <w:rPr>
      <w:rFonts w:cs="Arial"/>
      <w:b/>
      <w:bCs/>
      <w:iCs/>
      <w:sz w:val="30"/>
      <w:szCs w:val="30"/>
      <w:lang w:eastAsia="de-AT"/>
    </w:rPr>
  </w:style>
  <w:style w:type="paragraph" w:styleId="Heading3">
    <w:name w:val="heading 3"/>
    <w:basedOn w:val="Normal"/>
    <w:next w:val="Normal"/>
    <w:link w:val="Heading3Char1"/>
    <w:uiPriority w:val="9"/>
    <w:qFormat/>
    <w:rsid w:val="00FC2F11"/>
    <w:pPr>
      <w:keepNext/>
      <w:numPr>
        <w:ilvl w:val="2"/>
        <w:numId w:val="2"/>
      </w:numPr>
      <w:outlineLvl w:val="2"/>
    </w:pPr>
    <w:rPr>
      <w:rFonts w:cs="Arial"/>
      <w:b/>
      <w:bCs/>
      <w:szCs w:val="26"/>
      <w:lang w:eastAsia="de-AT"/>
    </w:rPr>
  </w:style>
  <w:style w:type="paragraph" w:styleId="Heading4">
    <w:name w:val="heading 4"/>
    <w:basedOn w:val="Normal"/>
    <w:next w:val="Normal"/>
    <w:link w:val="Heading4Char1"/>
    <w:uiPriority w:val="9"/>
    <w:qFormat/>
    <w:rsid w:val="003C6775"/>
    <w:pPr>
      <w:keepNext/>
      <w:outlineLvl w:val="3"/>
    </w:pPr>
    <w:rPr>
      <w:bCs/>
      <w:i/>
      <w:szCs w:val="28"/>
    </w:rPr>
  </w:style>
  <w:style w:type="paragraph" w:styleId="Heading5">
    <w:name w:val="heading 5"/>
    <w:basedOn w:val="Normal"/>
    <w:next w:val="Normal"/>
    <w:link w:val="Heading5Char"/>
    <w:uiPriority w:val="9"/>
    <w:qFormat/>
    <w:rsid w:val="0027190E"/>
    <w:pPr>
      <w:numPr>
        <w:ilvl w:val="4"/>
        <w:numId w:val="2"/>
      </w:numPr>
      <w:spacing w:before="240" w:after="60"/>
      <w:outlineLvl w:val="4"/>
    </w:pPr>
    <w:rPr>
      <w:b/>
      <w:bCs/>
      <w:i/>
      <w:iCs/>
      <w:szCs w:val="26"/>
    </w:rPr>
  </w:style>
  <w:style w:type="paragraph" w:styleId="Heading6">
    <w:name w:val="heading 6"/>
    <w:basedOn w:val="Normal"/>
    <w:next w:val="Normal"/>
    <w:link w:val="Heading6Char"/>
    <w:uiPriority w:val="9"/>
    <w:qFormat/>
    <w:rsid w:val="0027190E"/>
    <w:pPr>
      <w:numPr>
        <w:ilvl w:val="5"/>
        <w:numId w:val="2"/>
      </w:numPr>
      <w:spacing w:before="240" w:after="60"/>
      <w:outlineLvl w:val="5"/>
    </w:pPr>
    <w:rPr>
      <w:b/>
      <w:bCs/>
      <w:szCs w:val="22"/>
    </w:rPr>
  </w:style>
  <w:style w:type="paragraph" w:styleId="Heading7">
    <w:name w:val="heading 7"/>
    <w:basedOn w:val="Normal"/>
    <w:next w:val="Normal"/>
    <w:link w:val="Heading7Char"/>
    <w:uiPriority w:val="9"/>
    <w:qFormat/>
    <w:rsid w:val="0027190E"/>
    <w:pPr>
      <w:numPr>
        <w:ilvl w:val="6"/>
        <w:numId w:val="2"/>
      </w:numPr>
      <w:spacing w:before="240" w:after="60"/>
      <w:outlineLvl w:val="6"/>
    </w:pPr>
    <w:rPr>
      <w:sz w:val="24"/>
    </w:rPr>
  </w:style>
  <w:style w:type="paragraph" w:styleId="Heading8">
    <w:name w:val="heading 8"/>
    <w:basedOn w:val="Normal"/>
    <w:next w:val="Normal"/>
    <w:link w:val="Heading8Char"/>
    <w:uiPriority w:val="9"/>
    <w:qFormat/>
    <w:rsid w:val="0027190E"/>
    <w:pPr>
      <w:numPr>
        <w:ilvl w:val="7"/>
        <w:numId w:val="2"/>
      </w:numPr>
      <w:spacing w:before="240" w:after="60"/>
      <w:outlineLvl w:val="7"/>
    </w:pPr>
    <w:rPr>
      <w:i/>
      <w:iCs/>
      <w:sz w:val="24"/>
    </w:rPr>
  </w:style>
  <w:style w:type="paragraph" w:styleId="Heading9">
    <w:name w:val="heading 9"/>
    <w:basedOn w:val="Normal"/>
    <w:next w:val="Normal"/>
    <w:link w:val="Heading9Char"/>
    <w:uiPriority w:val="9"/>
    <w:qFormat/>
    <w:rsid w:val="0027190E"/>
    <w:pPr>
      <w:numPr>
        <w:ilvl w:val="8"/>
        <w:numId w:val="2"/>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locked/>
    <w:rPr>
      <w:rFonts w:ascii="Cambria" w:hAnsi="Cambria" w:cs="Times New Roman"/>
      <w:b/>
      <w:bCs/>
      <w:kern w:val="32"/>
      <w:sz w:val="32"/>
      <w:szCs w:val="32"/>
      <w:lang w:val="en-GB" w:eastAsia="de-DE"/>
    </w:rPr>
  </w:style>
  <w:style w:type="character" w:customStyle="1" w:styleId="Heading2Char">
    <w:name w:val="Heading 2 Char"/>
    <w:basedOn w:val="DefaultParagraphFont"/>
    <w:uiPriority w:val="9"/>
    <w:locked/>
    <w:rPr>
      <w:rFonts w:ascii="Cambria" w:hAnsi="Cambria" w:cs="Times New Roman"/>
      <w:b/>
      <w:bCs/>
      <w:i/>
      <w:iCs/>
      <w:sz w:val="28"/>
      <w:szCs w:val="28"/>
      <w:lang w:val="en-GB" w:eastAsia="de-DE"/>
    </w:rPr>
  </w:style>
  <w:style w:type="character" w:customStyle="1" w:styleId="Heading3Char">
    <w:name w:val="Heading 3 Char"/>
    <w:basedOn w:val="DefaultParagraphFont"/>
    <w:uiPriority w:val="9"/>
    <w:locked/>
    <w:rPr>
      <w:rFonts w:ascii="Cambria" w:hAnsi="Cambria" w:cs="Times New Roman"/>
      <w:b/>
      <w:bCs/>
      <w:sz w:val="26"/>
      <w:szCs w:val="26"/>
      <w:lang w:val="en-GB" w:eastAsia="de-DE"/>
    </w:rPr>
  </w:style>
  <w:style w:type="character" w:customStyle="1" w:styleId="Heading4Char">
    <w:name w:val="Heading 4 Char"/>
    <w:basedOn w:val="DefaultParagraphFont"/>
    <w:uiPriority w:val="9"/>
    <w:semiHidden/>
    <w:locked/>
    <w:rPr>
      <w:rFonts w:ascii="Calibri" w:hAnsi="Calibri" w:cs="Times New Roman"/>
      <w:b/>
      <w:bCs/>
      <w:sz w:val="28"/>
      <w:szCs w:val="28"/>
      <w:lang w:val="en-GB" w:eastAsia="de-DE"/>
    </w:rPr>
  </w:style>
  <w:style w:type="character" w:customStyle="1" w:styleId="Heading5Char">
    <w:name w:val="Heading 5 Char"/>
    <w:basedOn w:val="DefaultParagraphFont"/>
    <w:link w:val="Heading5"/>
    <w:uiPriority w:val="9"/>
    <w:locked/>
    <w:rsid w:val="00DE7F6F"/>
    <w:rPr>
      <w:b/>
      <w:bCs/>
      <w:i/>
      <w:iCs/>
      <w:sz w:val="26"/>
      <w:szCs w:val="26"/>
      <w:lang w:val="en-GB" w:eastAsia="en-GB"/>
    </w:rPr>
  </w:style>
  <w:style w:type="character" w:customStyle="1" w:styleId="Heading6Char">
    <w:name w:val="Heading 6 Char"/>
    <w:basedOn w:val="DefaultParagraphFont"/>
    <w:link w:val="Heading6"/>
    <w:uiPriority w:val="9"/>
    <w:locked/>
    <w:rsid w:val="00DE7F6F"/>
    <w:rPr>
      <w:b/>
      <w:bCs/>
      <w:sz w:val="26"/>
      <w:lang w:val="en-GB" w:eastAsia="en-GB"/>
    </w:rPr>
  </w:style>
  <w:style w:type="character" w:customStyle="1" w:styleId="Heading7Char">
    <w:name w:val="Heading 7 Char"/>
    <w:basedOn w:val="DefaultParagraphFont"/>
    <w:link w:val="Heading7"/>
    <w:uiPriority w:val="9"/>
    <w:locked/>
    <w:rsid w:val="00DE7F6F"/>
    <w:rPr>
      <w:sz w:val="24"/>
      <w:szCs w:val="24"/>
      <w:lang w:val="en-GB" w:eastAsia="en-GB"/>
    </w:rPr>
  </w:style>
  <w:style w:type="character" w:customStyle="1" w:styleId="Heading8Char">
    <w:name w:val="Heading 8 Char"/>
    <w:basedOn w:val="DefaultParagraphFont"/>
    <w:link w:val="Heading8"/>
    <w:uiPriority w:val="9"/>
    <w:locked/>
    <w:rsid w:val="00DE7F6F"/>
    <w:rPr>
      <w:i/>
      <w:iCs/>
      <w:sz w:val="24"/>
      <w:szCs w:val="24"/>
      <w:lang w:val="en-GB" w:eastAsia="en-GB"/>
    </w:rPr>
  </w:style>
  <w:style w:type="character" w:customStyle="1" w:styleId="Heading9Char">
    <w:name w:val="Heading 9 Char"/>
    <w:basedOn w:val="DefaultParagraphFont"/>
    <w:link w:val="Heading9"/>
    <w:uiPriority w:val="9"/>
    <w:locked/>
    <w:rsid w:val="00DE7F6F"/>
    <w:rPr>
      <w:rFonts w:ascii="Arial" w:hAnsi="Arial" w:cs="Arial"/>
      <w:sz w:val="26"/>
      <w:lang w:val="en-GB" w:eastAsia="en-GB"/>
    </w:rPr>
  </w:style>
  <w:style w:type="character" w:customStyle="1" w:styleId="Heading1Char1">
    <w:name w:val="Heading 1 Char1"/>
    <w:basedOn w:val="DefaultParagraphFont"/>
    <w:link w:val="Heading1"/>
    <w:uiPriority w:val="9"/>
    <w:locked/>
    <w:rsid w:val="00ED5260"/>
    <w:rPr>
      <w:b/>
      <w:bCs/>
      <w:color w:val="000000" w:themeColor="text1"/>
      <w:kern w:val="32"/>
      <w:sz w:val="34"/>
      <w:szCs w:val="34"/>
      <w:lang w:val="en-GB"/>
    </w:rPr>
  </w:style>
  <w:style w:type="character" w:customStyle="1" w:styleId="Heading2Char1">
    <w:name w:val="Heading 2 Char1"/>
    <w:basedOn w:val="DefaultParagraphFont"/>
    <w:link w:val="Heading2"/>
    <w:uiPriority w:val="9"/>
    <w:locked/>
    <w:rsid w:val="003F55A9"/>
    <w:rPr>
      <w:rFonts w:cs="Arial"/>
      <w:b/>
      <w:bCs/>
      <w:iCs/>
      <w:sz w:val="30"/>
      <w:szCs w:val="30"/>
      <w:lang w:val="en-GB"/>
    </w:rPr>
  </w:style>
  <w:style w:type="character" w:customStyle="1" w:styleId="Heading3Char1">
    <w:name w:val="Heading 3 Char1"/>
    <w:basedOn w:val="DefaultParagraphFont"/>
    <w:link w:val="Heading3"/>
    <w:uiPriority w:val="9"/>
    <w:locked/>
    <w:rsid w:val="00FC2F11"/>
    <w:rPr>
      <w:rFonts w:cs="Arial"/>
      <w:b/>
      <w:bCs/>
      <w:sz w:val="26"/>
      <w:szCs w:val="26"/>
      <w:lang w:val="en-GB"/>
    </w:rPr>
  </w:style>
  <w:style w:type="character" w:customStyle="1" w:styleId="Heading4Char1">
    <w:name w:val="Heading 4 Char1"/>
    <w:basedOn w:val="DefaultParagraphFont"/>
    <w:link w:val="Heading4"/>
    <w:uiPriority w:val="9"/>
    <w:locked/>
    <w:rsid w:val="003C6775"/>
    <w:rPr>
      <w:bCs/>
      <w:i/>
      <w:sz w:val="26"/>
      <w:szCs w:val="28"/>
      <w:lang w:val="en-GB" w:eastAsia="en-GB"/>
    </w:rPr>
  </w:style>
  <w:style w:type="paragraph" w:styleId="Header">
    <w:name w:val="header"/>
    <w:basedOn w:val="Normal"/>
    <w:link w:val="HeaderChar1"/>
    <w:uiPriority w:val="99"/>
    <w:rsid w:val="006E7F59"/>
    <w:pPr>
      <w:tabs>
        <w:tab w:val="center" w:pos="4536"/>
        <w:tab w:val="right" w:pos="9072"/>
      </w:tabs>
    </w:pPr>
    <w:rPr>
      <w:sz w:val="18"/>
    </w:rPr>
  </w:style>
  <w:style w:type="character" w:customStyle="1" w:styleId="HeaderChar">
    <w:name w:val="Header Char"/>
    <w:basedOn w:val="DefaultParagraphFont"/>
    <w:uiPriority w:val="99"/>
    <w:locked/>
    <w:rPr>
      <w:rFonts w:cs="Times New Roman"/>
      <w:sz w:val="24"/>
      <w:szCs w:val="24"/>
      <w:lang w:val="en-GB" w:eastAsia="de-DE"/>
    </w:rPr>
  </w:style>
  <w:style w:type="character" w:customStyle="1" w:styleId="HeaderChar1">
    <w:name w:val="Header Char1"/>
    <w:basedOn w:val="DefaultParagraphFont"/>
    <w:link w:val="Header"/>
    <w:uiPriority w:val="99"/>
    <w:semiHidden/>
    <w:locked/>
    <w:rsid w:val="00DE7F6F"/>
    <w:rPr>
      <w:rFonts w:cs="Times New Roman"/>
      <w:sz w:val="24"/>
      <w:szCs w:val="24"/>
      <w:lang w:val="de-CH" w:eastAsia="de-DE"/>
    </w:rPr>
  </w:style>
  <w:style w:type="paragraph" w:styleId="Footer">
    <w:name w:val="footer"/>
    <w:basedOn w:val="Normal"/>
    <w:link w:val="FooterChar1"/>
    <w:uiPriority w:val="99"/>
    <w:rsid w:val="006E7F59"/>
    <w:pPr>
      <w:tabs>
        <w:tab w:val="center" w:pos="4536"/>
        <w:tab w:val="right" w:pos="9072"/>
      </w:tabs>
    </w:pPr>
    <w:rPr>
      <w:sz w:val="18"/>
    </w:rPr>
  </w:style>
  <w:style w:type="character" w:customStyle="1" w:styleId="FooterChar">
    <w:name w:val="Footer Char"/>
    <w:basedOn w:val="DefaultParagraphFont"/>
    <w:uiPriority w:val="99"/>
    <w:locked/>
    <w:rPr>
      <w:rFonts w:cs="Times New Roman"/>
      <w:sz w:val="24"/>
      <w:szCs w:val="24"/>
      <w:lang w:val="en-GB" w:eastAsia="de-DE"/>
    </w:rPr>
  </w:style>
  <w:style w:type="character" w:customStyle="1" w:styleId="FooterChar1">
    <w:name w:val="Footer Char1"/>
    <w:basedOn w:val="DefaultParagraphFont"/>
    <w:link w:val="Footer"/>
    <w:uiPriority w:val="99"/>
    <w:locked/>
    <w:rsid w:val="00DE7F6F"/>
    <w:rPr>
      <w:rFonts w:cs="Times New Roman"/>
      <w:sz w:val="24"/>
      <w:szCs w:val="24"/>
      <w:lang w:val="de-CH" w:eastAsia="de-DE"/>
    </w:rPr>
  </w:style>
  <w:style w:type="paragraph" w:styleId="FootnoteText">
    <w:name w:val="footnote text"/>
    <w:aliases w:val="Footnote"/>
    <w:basedOn w:val="Normal"/>
    <w:link w:val="FootnoteTextChar1"/>
    <w:uiPriority w:val="99"/>
    <w:rsid w:val="004B1313"/>
    <w:rPr>
      <w:sz w:val="18"/>
      <w:szCs w:val="20"/>
    </w:rPr>
  </w:style>
  <w:style w:type="character" w:customStyle="1" w:styleId="FootnoteTextChar">
    <w:name w:val="Footnote Text Char"/>
    <w:aliases w:val="Footnote Char"/>
    <w:basedOn w:val="DefaultParagraphFont"/>
    <w:uiPriority w:val="99"/>
    <w:locked/>
    <w:rPr>
      <w:rFonts w:cs="Times New Roman"/>
      <w:sz w:val="20"/>
      <w:szCs w:val="20"/>
      <w:lang w:val="en-GB" w:eastAsia="de-DE"/>
    </w:rPr>
  </w:style>
  <w:style w:type="character" w:customStyle="1" w:styleId="FootnoteTextChar1">
    <w:name w:val="Footnote Text Char1"/>
    <w:aliases w:val="Footnote Char1"/>
    <w:basedOn w:val="DefaultParagraphFont"/>
    <w:link w:val="FootnoteText"/>
    <w:uiPriority w:val="99"/>
    <w:semiHidden/>
    <w:locked/>
    <w:rsid w:val="00DE7F6F"/>
    <w:rPr>
      <w:rFonts w:cs="Times New Roman"/>
      <w:sz w:val="20"/>
      <w:szCs w:val="20"/>
      <w:lang w:val="de-CH" w:eastAsia="de-DE"/>
    </w:rPr>
  </w:style>
  <w:style w:type="character" w:styleId="FootnoteReference">
    <w:name w:val="footnote reference"/>
    <w:basedOn w:val="DefaultParagraphFont"/>
    <w:uiPriority w:val="99"/>
    <w:rsid w:val="004B1313"/>
    <w:rPr>
      <w:rFonts w:cs="Times New Roman"/>
      <w:vertAlign w:val="superscript"/>
    </w:rPr>
  </w:style>
  <w:style w:type="character" w:styleId="PageNumber">
    <w:name w:val="page number"/>
    <w:basedOn w:val="DefaultParagraphFont"/>
    <w:uiPriority w:val="99"/>
    <w:semiHidden/>
    <w:rsid w:val="006E7F59"/>
    <w:rPr>
      <w:rFonts w:ascii="Times New Roman" w:hAnsi="Times New Roman" w:cs="Times New Roman"/>
      <w:sz w:val="18"/>
    </w:rPr>
  </w:style>
  <w:style w:type="paragraph" w:customStyle="1" w:styleId="DirektesZitat">
    <w:name w:val="Direktes Zitat"/>
    <w:basedOn w:val="Normal"/>
    <w:uiPriority w:val="99"/>
    <w:rsid w:val="00EF2E74"/>
    <w:pPr>
      <w:ind w:left="567"/>
      <w:jc w:val="left"/>
    </w:pPr>
    <w:rPr>
      <w:lang w:val="en-US"/>
    </w:rPr>
  </w:style>
  <w:style w:type="character" w:styleId="Hyperlink">
    <w:name w:val="Hyperlink"/>
    <w:basedOn w:val="DefaultParagraphFont"/>
    <w:uiPriority w:val="99"/>
    <w:rsid w:val="00ED1D43"/>
    <w:rPr>
      <w:rFonts w:cs="Times New Roman"/>
      <w:color w:val="0000FF"/>
      <w:u w:val="single"/>
    </w:rPr>
  </w:style>
  <w:style w:type="paragraph" w:styleId="TOC1">
    <w:name w:val="toc 1"/>
    <w:basedOn w:val="Normal"/>
    <w:next w:val="Normal"/>
    <w:autoRedefine/>
    <w:uiPriority w:val="39"/>
    <w:rsid w:val="007505F6"/>
    <w:pPr>
      <w:jc w:val="left"/>
    </w:pPr>
    <w:rPr>
      <w:b/>
      <w:bCs/>
      <w:color w:val="000000" w:themeColor="text1"/>
      <w:sz w:val="30"/>
    </w:rPr>
  </w:style>
  <w:style w:type="paragraph" w:styleId="TOC2">
    <w:name w:val="toc 2"/>
    <w:basedOn w:val="Normal"/>
    <w:next w:val="Normal"/>
    <w:autoRedefine/>
    <w:uiPriority w:val="39"/>
    <w:rsid w:val="007505F6"/>
    <w:pPr>
      <w:spacing w:before="0"/>
      <w:ind w:left="220"/>
      <w:jc w:val="left"/>
    </w:pPr>
    <w:rPr>
      <w:bCs/>
      <w:szCs w:val="22"/>
    </w:rPr>
  </w:style>
  <w:style w:type="paragraph" w:styleId="TOC3">
    <w:name w:val="toc 3"/>
    <w:basedOn w:val="Normal"/>
    <w:next w:val="Normal"/>
    <w:autoRedefine/>
    <w:uiPriority w:val="39"/>
    <w:rsid w:val="00144ADD"/>
    <w:pPr>
      <w:spacing w:before="0"/>
      <w:ind w:left="440"/>
      <w:jc w:val="left"/>
    </w:pPr>
    <w:rPr>
      <w:szCs w:val="22"/>
    </w:rPr>
  </w:style>
  <w:style w:type="character" w:styleId="CommentReference">
    <w:name w:val="annotation reference"/>
    <w:basedOn w:val="DefaultParagraphFont"/>
    <w:uiPriority w:val="99"/>
    <w:semiHidden/>
    <w:rsid w:val="00C336A0"/>
    <w:rPr>
      <w:rFonts w:cs="Times New Roman"/>
      <w:sz w:val="16"/>
      <w:szCs w:val="16"/>
    </w:rPr>
  </w:style>
  <w:style w:type="paragraph" w:styleId="CommentText">
    <w:name w:val="annotation text"/>
    <w:basedOn w:val="Normal"/>
    <w:link w:val="CommentTextChar"/>
    <w:uiPriority w:val="99"/>
    <w:semiHidden/>
    <w:rsid w:val="00C336A0"/>
    <w:rPr>
      <w:sz w:val="20"/>
      <w:szCs w:val="20"/>
    </w:rPr>
  </w:style>
  <w:style w:type="character" w:customStyle="1" w:styleId="CommentTextChar">
    <w:name w:val="Comment Text Char"/>
    <w:basedOn w:val="DefaultParagraphFont"/>
    <w:link w:val="CommentText"/>
    <w:uiPriority w:val="99"/>
    <w:semiHidden/>
    <w:locked/>
    <w:rsid w:val="00DE7F6F"/>
    <w:rPr>
      <w:rFonts w:cs="Times New Roman"/>
      <w:sz w:val="20"/>
      <w:szCs w:val="20"/>
      <w:lang w:val="de-CH" w:eastAsia="de-DE"/>
    </w:rPr>
  </w:style>
  <w:style w:type="paragraph" w:styleId="CommentSubject">
    <w:name w:val="annotation subject"/>
    <w:basedOn w:val="CommentText"/>
    <w:next w:val="CommentText"/>
    <w:link w:val="CommentSubjectChar"/>
    <w:uiPriority w:val="99"/>
    <w:semiHidden/>
    <w:rsid w:val="00C336A0"/>
    <w:rPr>
      <w:b/>
      <w:bCs/>
    </w:rPr>
  </w:style>
  <w:style w:type="character" w:customStyle="1" w:styleId="CommentSubjectChar">
    <w:name w:val="Comment Subject Char"/>
    <w:basedOn w:val="CommentTextChar"/>
    <w:link w:val="CommentSubject"/>
    <w:uiPriority w:val="99"/>
    <w:semiHidden/>
    <w:locked/>
    <w:rsid w:val="00DE7F6F"/>
    <w:rPr>
      <w:rFonts w:cs="Times New Roman"/>
      <w:b/>
      <w:bCs/>
      <w:sz w:val="20"/>
      <w:szCs w:val="20"/>
      <w:lang w:val="de-CH" w:eastAsia="de-DE"/>
    </w:rPr>
  </w:style>
  <w:style w:type="paragraph" w:styleId="BalloonText">
    <w:name w:val="Balloon Text"/>
    <w:basedOn w:val="Normal"/>
    <w:link w:val="BalloonTextChar"/>
    <w:uiPriority w:val="99"/>
    <w:semiHidden/>
    <w:rsid w:val="00C336A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E7F6F"/>
    <w:rPr>
      <w:rFonts w:cs="Times New Roman"/>
      <w:sz w:val="2"/>
      <w:lang w:val="de-CH" w:eastAsia="de-DE"/>
    </w:rPr>
  </w:style>
  <w:style w:type="paragraph" w:styleId="Index1">
    <w:name w:val="index 1"/>
    <w:basedOn w:val="Normal"/>
    <w:next w:val="Normal"/>
    <w:autoRedefine/>
    <w:uiPriority w:val="99"/>
    <w:semiHidden/>
    <w:rsid w:val="00342549"/>
    <w:pPr>
      <w:ind w:left="220" w:hanging="220"/>
    </w:pPr>
  </w:style>
  <w:style w:type="paragraph" w:styleId="Index2">
    <w:name w:val="index 2"/>
    <w:basedOn w:val="Normal"/>
    <w:next w:val="Normal"/>
    <w:autoRedefine/>
    <w:uiPriority w:val="99"/>
    <w:semiHidden/>
    <w:rsid w:val="00342549"/>
    <w:pPr>
      <w:ind w:left="440" w:hanging="220"/>
    </w:pPr>
  </w:style>
  <w:style w:type="character" w:customStyle="1" w:styleId="BibliographyChar">
    <w:name w:val="Bibliography Char"/>
    <w:basedOn w:val="DefaultParagraphFont"/>
    <w:link w:val="Bibliography"/>
    <w:uiPriority w:val="99"/>
    <w:locked/>
    <w:rsid w:val="00E73976"/>
    <w:rPr>
      <w:rFonts w:cs="Times New Roman"/>
      <w:sz w:val="22"/>
      <w:lang w:val="de-CH" w:eastAsia="ja-JP" w:bidi="ar-SA"/>
    </w:rPr>
  </w:style>
  <w:style w:type="paragraph" w:styleId="Bibliography">
    <w:name w:val="Bibliography"/>
    <w:basedOn w:val="Normal"/>
    <w:link w:val="BibliographyChar"/>
    <w:uiPriority w:val="37"/>
    <w:rsid w:val="00E73976"/>
    <w:pPr>
      <w:autoSpaceDE w:val="0"/>
      <w:autoSpaceDN w:val="0"/>
      <w:adjustRightInd w:val="0"/>
      <w:ind w:left="284" w:hanging="284"/>
    </w:pPr>
    <w:rPr>
      <w:szCs w:val="20"/>
      <w:lang w:eastAsia="ja-JP"/>
    </w:rPr>
  </w:style>
  <w:style w:type="paragraph" w:customStyle="1" w:styleId="Formatvorlage12ptboldcentered">
    <w:name w:val="Formatvorlage 12 pt bold centered"/>
    <w:basedOn w:val="Normal"/>
    <w:uiPriority w:val="99"/>
    <w:rsid w:val="00703D4D"/>
    <w:pPr>
      <w:jc w:val="center"/>
    </w:pPr>
    <w:rPr>
      <w:b/>
      <w:bCs/>
      <w:sz w:val="24"/>
      <w:szCs w:val="20"/>
    </w:rPr>
  </w:style>
  <w:style w:type="paragraph" w:styleId="TableofFigures">
    <w:name w:val="table of figures"/>
    <w:basedOn w:val="Normal"/>
    <w:next w:val="Normal"/>
    <w:uiPriority w:val="99"/>
    <w:locked/>
    <w:rsid w:val="00C66FFA"/>
  </w:style>
  <w:style w:type="character" w:customStyle="1" w:styleId="Red">
    <w:name w:val="Red"/>
    <w:basedOn w:val="DefaultParagraphFont"/>
    <w:uiPriority w:val="99"/>
    <w:rsid w:val="00703D4D"/>
    <w:rPr>
      <w:rFonts w:cs="Times New Roman"/>
      <w:color w:val="FF0000"/>
    </w:rPr>
  </w:style>
  <w:style w:type="paragraph" w:customStyle="1" w:styleId="Centered">
    <w:name w:val="Centered"/>
    <w:basedOn w:val="Normal"/>
    <w:uiPriority w:val="99"/>
    <w:rsid w:val="00703D4D"/>
    <w:pPr>
      <w:jc w:val="center"/>
    </w:pPr>
    <w:rPr>
      <w:szCs w:val="20"/>
    </w:rPr>
  </w:style>
  <w:style w:type="character" w:customStyle="1" w:styleId="Formatvorlage12ptbold">
    <w:name w:val="Formatvorlage 12 pt bold"/>
    <w:basedOn w:val="DefaultParagraphFont"/>
    <w:uiPriority w:val="99"/>
    <w:rsid w:val="00703D4D"/>
    <w:rPr>
      <w:rFonts w:cs="Times New Roman"/>
      <w:b/>
      <w:bCs/>
      <w:sz w:val="24"/>
    </w:rPr>
  </w:style>
  <w:style w:type="character" w:customStyle="1" w:styleId="FormatvorlageBold">
    <w:name w:val="Formatvorlage Bold"/>
    <w:basedOn w:val="DefaultParagraphFont"/>
    <w:uiPriority w:val="99"/>
    <w:rsid w:val="00703D4D"/>
    <w:rPr>
      <w:rFonts w:cs="Times New Roman"/>
      <w:b/>
      <w:bCs/>
    </w:rPr>
  </w:style>
  <w:style w:type="paragraph" w:customStyle="1" w:styleId="FormatvorlageBibliographyitalic">
    <w:name w:val="Formatvorlage Bibliography + italic"/>
    <w:basedOn w:val="Bibliography"/>
    <w:link w:val="FormatvorlageBibliographyitalicZchn"/>
    <w:uiPriority w:val="99"/>
    <w:rsid w:val="00703D4D"/>
    <w:rPr>
      <w:i/>
      <w:iCs/>
    </w:rPr>
  </w:style>
  <w:style w:type="character" w:customStyle="1" w:styleId="FormatvorlageBibliographyitalicZchn">
    <w:name w:val="Formatvorlage Bibliography + italic Zchn"/>
    <w:basedOn w:val="BibliographyChar"/>
    <w:link w:val="FormatvorlageBibliographyitalic"/>
    <w:uiPriority w:val="99"/>
    <w:locked/>
    <w:rsid w:val="00703D4D"/>
    <w:rPr>
      <w:rFonts w:cs="Times New Roman"/>
      <w:i/>
      <w:iCs/>
      <w:sz w:val="22"/>
      <w:lang w:val="de-CH" w:eastAsia="ja-JP" w:bidi="ar-SA"/>
    </w:rPr>
  </w:style>
  <w:style w:type="numbering" w:customStyle="1" w:styleId="BulletedList">
    <w:name w:val="Bulleted List"/>
    <w:rsid w:val="00D95798"/>
    <w:pPr>
      <w:numPr>
        <w:numId w:val="1"/>
      </w:numPr>
    </w:pPr>
  </w:style>
  <w:style w:type="character" w:customStyle="1" w:styleId="hps">
    <w:name w:val="hps"/>
    <w:basedOn w:val="DefaultParagraphFont"/>
    <w:rsid w:val="00B70A79"/>
  </w:style>
  <w:style w:type="paragraph" w:styleId="ListParagraph">
    <w:name w:val="List Paragraph"/>
    <w:basedOn w:val="Normal"/>
    <w:qFormat/>
    <w:rsid w:val="006A2DC1"/>
    <w:pPr>
      <w:spacing w:after="120"/>
      <w:ind w:left="720"/>
      <w:contextualSpacing/>
    </w:pPr>
    <w:rPr>
      <w:lang w:val="de-CH"/>
    </w:rPr>
  </w:style>
  <w:style w:type="paragraph" w:customStyle="1" w:styleId="CitaviBibliographyEntry">
    <w:name w:val="Citavi Bibliography Entry"/>
    <w:basedOn w:val="Normal"/>
    <w:link w:val="CitaviBibliographyEntryChar"/>
    <w:rsid w:val="00257EFB"/>
    <w:pPr>
      <w:tabs>
        <w:tab w:val="left" w:pos="283"/>
      </w:tabs>
      <w:spacing w:after="60"/>
      <w:ind w:left="283" w:hanging="283"/>
      <w:jc w:val="left"/>
    </w:pPr>
  </w:style>
  <w:style w:type="character" w:customStyle="1" w:styleId="CitaviBibliographyEntryChar">
    <w:name w:val="Citavi Bibliography Entry Char"/>
    <w:basedOn w:val="DefaultParagraphFont"/>
    <w:link w:val="CitaviBibliographyEntry"/>
    <w:rsid w:val="00257EFB"/>
    <w:rPr>
      <w:szCs w:val="24"/>
      <w:lang w:val="en-GB" w:eastAsia="de-DE"/>
    </w:rPr>
  </w:style>
  <w:style w:type="paragraph" w:customStyle="1" w:styleId="CitaviBibliographyHeading">
    <w:name w:val="Citavi Bibliography Heading"/>
    <w:basedOn w:val="Heading1"/>
    <w:link w:val="CitaviBibliographyHeadingChar"/>
    <w:rsid w:val="00257EFB"/>
    <w:pPr>
      <w:jc w:val="left"/>
    </w:pPr>
  </w:style>
  <w:style w:type="character" w:customStyle="1" w:styleId="CitaviBibliographyHeadingChar">
    <w:name w:val="Citavi Bibliography Heading Char"/>
    <w:basedOn w:val="DefaultParagraphFont"/>
    <w:link w:val="CitaviBibliographyHeading"/>
    <w:rsid w:val="00257EFB"/>
    <w:rPr>
      <w:b/>
      <w:bCs/>
      <w:color w:val="000000" w:themeColor="text1"/>
      <w:kern w:val="32"/>
      <w:sz w:val="34"/>
      <w:szCs w:val="34"/>
      <w:lang w:val="en-GB"/>
    </w:rPr>
  </w:style>
  <w:style w:type="character" w:styleId="PlaceholderText">
    <w:name w:val="Placeholder Text"/>
    <w:basedOn w:val="DefaultParagraphFont"/>
    <w:uiPriority w:val="99"/>
    <w:semiHidden/>
    <w:rsid w:val="00257EFB"/>
    <w:rPr>
      <w:color w:val="808080"/>
    </w:rPr>
  </w:style>
  <w:style w:type="paragraph" w:styleId="TOCHeading">
    <w:name w:val="TOC Heading"/>
    <w:basedOn w:val="Heading1"/>
    <w:next w:val="Normal"/>
    <w:uiPriority w:val="39"/>
    <w:unhideWhenUsed/>
    <w:qFormat/>
    <w:rsid w:val="00144ADD"/>
    <w:pPr>
      <w:keepLines/>
      <w:numPr>
        <w:numId w:val="0"/>
      </w:numPr>
      <w:outlineLvl w:val="9"/>
    </w:pPr>
    <w:rPr>
      <w:rFonts w:eastAsiaTheme="majorEastAsia" w:cstheme="majorBidi"/>
      <w:b w:val="0"/>
      <w:bCs w:val="0"/>
      <w:kern w:val="0"/>
      <w:lang w:eastAsia="de-DE"/>
    </w:rPr>
  </w:style>
  <w:style w:type="character" w:styleId="BookTitle">
    <w:name w:val="Book Title"/>
    <w:basedOn w:val="DefaultParagraphFont"/>
    <w:uiPriority w:val="33"/>
    <w:qFormat/>
    <w:rsid w:val="00257EFB"/>
    <w:rPr>
      <w:b/>
      <w:bCs/>
      <w:i/>
      <w:iCs/>
      <w:spacing w:val="5"/>
    </w:rPr>
  </w:style>
  <w:style w:type="character" w:styleId="IntenseReference">
    <w:name w:val="Intense Reference"/>
    <w:basedOn w:val="DefaultParagraphFont"/>
    <w:uiPriority w:val="32"/>
    <w:qFormat/>
    <w:rsid w:val="00257EFB"/>
    <w:rPr>
      <w:b/>
      <w:bCs/>
      <w:smallCaps/>
      <w:color w:val="4F81BD" w:themeColor="accent1"/>
      <w:spacing w:val="5"/>
    </w:rPr>
  </w:style>
  <w:style w:type="character" w:styleId="SubtleReference">
    <w:name w:val="Subtle Reference"/>
    <w:basedOn w:val="DefaultParagraphFont"/>
    <w:uiPriority w:val="31"/>
    <w:qFormat/>
    <w:rsid w:val="00257EFB"/>
    <w:rPr>
      <w:smallCaps/>
      <w:color w:val="5A5A5A" w:themeColor="text1" w:themeTint="A5"/>
    </w:rPr>
  </w:style>
  <w:style w:type="character" w:styleId="IntenseEmphasis">
    <w:name w:val="Intense Emphasis"/>
    <w:basedOn w:val="DefaultParagraphFont"/>
    <w:uiPriority w:val="21"/>
    <w:qFormat/>
    <w:rsid w:val="00257EFB"/>
    <w:rPr>
      <w:i/>
      <w:iCs/>
      <w:color w:val="4F81BD" w:themeColor="accent1"/>
    </w:rPr>
  </w:style>
  <w:style w:type="character" w:styleId="SubtleEmphasis">
    <w:name w:val="Subtle Emphasis"/>
    <w:basedOn w:val="DefaultParagraphFont"/>
    <w:uiPriority w:val="19"/>
    <w:qFormat/>
    <w:rsid w:val="00257EFB"/>
    <w:rPr>
      <w:i/>
      <w:iCs/>
      <w:color w:val="404040" w:themeColor="text1" w:themeTint="BF"/>
    </w:rPr>
  </w:style>
  <w:style w:type="paragraph" w:styleId="IntenseQuote">
    <w:name w:val="Intense Quote"/>
    <w:basedOn w:val="Normal"/>
    <w:next w:val="Normal"/>
    <w:link w:val="IntenseQuoteChar"/>
    <w:uiPriority w:val="30"/>
    <w:qFormat/>
    <w:rsid w:val="00257EF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57EFB"/>
    <w:rPr>
      <w:i/>
      <w:iCs/>
      <w:color w:val="4F81BD" w:themeColor="accent1"/>
      <w:szCs w:val="24"/>
      <w:lang w:val="en-GB" w:eastAsia="de-DE"/>
    </w:rPr>
  </w:style>
  <w:style w:type="paragraph" w:styleId="Quote">
    <w:name w:val="Quote"/>
    <w:basedOn w:val="Normal"/>
    <w:next w:val="Normal"/>
    <w:link w:val="QuoteChar"/>
    <w:uiPriority w:val="29"/>
    <w:qFormat/>
    <w:rsid w:val="00930EE6"/>
    <w:pPr>
      <w:spacing w:before="200" w:after="160"/>
      <w:ind w:left="864" w:right="864"/>
    </w:pPr>
    <w:rPr>
      <w:i/>
      <w:iCs/>
      <w:color w:val="000000" w:themeColor="text1"/>
    </w:rPr>
  </w:style>
  <w:style w:type="character" w:customStyle="1" w:styleId="QuoteChar">
    <w:name w:val="Quote Char"/>
    <w:basedOn w:val="DefaultParagraphFont"/>
    <w:link w:val="Quote"/>
    <w:uiPriority w:val="29"/>
    <w:rsid w:val="00930EE6"/>
    <w:rPr>
      <w:i/>
      <w:iCs/>
      <w:color w:val="000000" w:themeColor="text1"/>
      <w:szCs w:val="24"/>
      <w:lang w:val="en-GB" w:eastAsia="en-GB"/>
    </w:rPr>
  </w:style>
  <w:style w:type="table" w:styleId="MediumList1-Accent1">
    <w:name w:val="Medium List 1 Accent 1"/>
    <w:basedOn w:val="TableNormal"/>
    <w:uiPriority w:val="65"/>
    <w:semiHidden/>
    <w:unhideWhenUsed/>
    <w:rsid w:val="00257EFB"/>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2-Accent1">
    <w:name w:val="Medium Shading 2 Accent 1"/>
    <w:basedOn w:val="TableNormal"/>
    <w:uiPriority w:val="64"/>
    <w:semiHidden/>
    <w:unhideWhenUsed/>
    <w:rsid w:val="00257E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semiHidden/>
    <w:unhideWhenUsed/>
    <w:rsid w:val="00257EF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257EF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semiHidden/>
    <w:unhideWhenUsed/>
    <w:rsid w:val="00257EF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semiHidden/>
    <w:unhideWhenUsed/>
    <w:rsid w:val="00257EFB"/>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ColorfulGrid">
    <w:name w:val="Colorful Grid"/>
    <w:basedOn w:val="TableNormal"/>
    <w:uiPriority w:val="73"/>
    <w:semiHidden/>
    <w:unhideWhenUsed/>
    <w:rsid w:val="00257EFB"/>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List">
    <w:name w:val="Colorful List"/>
    <w:basedOn w:val="TableNormal"/>
    <w:uiPriority w:val="72"/>
    <w:semiHidden/>
    <w:unhideWhenUsed/>
    <w:rsid w:val="00257EF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Shading">
    <w:name w:val="Colorful Shading"/>
    <w:basedOn w:val="TableNormal"/>
    <w:uiPriority w:val="71"/>
    <w:semiHidden/>
    <w:unhideWhenUsed/>
    <w:rsid w:val="00257EFB"/>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57EFB"/>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ediumGrid3">
    <w:name w:val="Medium Grid 3"/>
    <w:basedOn w:val="TableNormal"/>
    <w:uiPriority w:val="69"/>
    <w:semiHidden/>
    <w:unhideWhenUsed/>
    <w:rsid w:val="00257EF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2">
    <w:name w:val="Medium Grid 2"/>
    <w:basedOn w:val="TableNormal"/>
    <w:uiPriority w:val="68"/>
    <w:semiHidden/>
    <w:unhideWhenUsed/>
    <w:rsid w:val="00257E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
    <w:name w:val="Medium Grid 1"/>
    <w:basedOn w:val="TableNormal"/>
    <w:uiPriority w:val="67"/>
    <w:semiHidden/>
    <w:unhideWhenUsed/>
    <w:rsid w:val="00257E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List2">
    <w:name w:val="Medium List 2"/>
    <w:basedOn w:val="TableNormal"/>
    <w:uiPriority w:val="66"/>
    <w:semiHidden/>
    <w:unhideWhenUsed/>
    <w:rsid w:val="00257E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
    <w:name w:val="Medium List 1"/>
    <w:basedOn w:val="TableNormal"/>
    <w:uiPriority w:val="65"/>
    <w:semiHidden/>
    <w:unhideWhenUsed/>
    <w:rsid w:val="00257EF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2">
    <w:name w:val="Medium Shading 2"/>
    <w:basedOn w:val="TableNormal"/>
    <w:uiPriority w:val="64"/>
    <w:semiHidden/>
    <w:unhideWhenUsed/>
    <w:rsid w:val="00257E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
    <w:name w:val="Medium Shading 1"/>
    <w:basedOn w:val="TableNormal"/>
    <w:uiPriority w:val="63"/>
    <w:semiHidden/>
    <w:unhideWhenUsed/>
    <w:rsid w:val="00257E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Grid">
    <w:name w:val="Light Grid"/>
    <w:basedOn w:val="TableNormal"/>
    <w:uiPriority w:val="62"/>
    <w:semiHidden/>
    <w:unhideWhenUsed/>
    <w:rsid w:val="00257E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
    <w:name w:val="Light List"/>
    <w:basedOn w:val="TableNormal"/>
    <w:uiPriority w:val="61"/>
    <w:semiHidden/>
    <w:unhideWhenUsed/>
    <w:rsid w:val="00257E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semiHidden/>
    <w:unhideWhenUsed/>
    <w:rsid w:val="00257EF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257EFB"/>
    <w:pPr>
      <w:jc w:val="both"/>
    </w:pPr>
    <w:rPr>
      <w:szCs w:val="24"/>
      <w:lang w:val="en-GB" w:eastAsia="de-DE"/>
    </w:rPr>
  </w:style>
  <w:style w:type="character" w:styleId="HTMLVariable">
    <w:name w:val="HTML Variable"/>
    <w:basedOn w:val="DefaultParagraphFont"/>
    <w:uiPriority w:val="99"/>
    <w:semiHidden/>
    <w:unhideWhenUsed/>
    <w:locked/>
    <w:rsid w:val="00257EFB"/>
    <w:rPr>
      <w:i/>
      <w:iCs/>
    </w:rPr>
  </w:style>
  <w:style w:type="character" w:styleId="HTMLTypewriter">
    <w:name w:val="HTML Typewriter"/>
    <w:basedOn w:val="DefaultParagraphFont"/>
    <w:uiPriority w:val="99"/>
    <w:semiHidden/>
    <w:unhideWhenUsed/>
    <w:locked/>
    <w:rsid w:val="00257EFB"/>
    <w:rPr>
      <w:rFonts w:ascii="Consolas" w:hAnsi="Consolas"/>
      <w:sz w:val="20"/>
      <w:szCs w:val="20"/>
    </w:rPr>
  </w:style>
  <w:style w:type="character" w:styleId="HTMLSample">
    <w:name w:val="HTML Sample"/>
    <w:basedOn w:val="DefaultParagraphFont"/>
    <w:uiPriority w:val="99"/>
    <w:semiHidden/>
    <w:unhideWhenUsed/>
    <w:locked/>
    <w:rsid w:val="00257EFB"/>
    <w:rPr>
      <w:rFonts w:ascii="Consolas" w:hAnsi="Consolas"/>
      <w:sz w:val="24"/>
      <w:szCs w:val="24"/>
    </w:rPr>
  </w:style>
  <w:style w:type="paragraph" w:styleId="HTMLPreformatted">
    <w:name w:val="HTML Preformatted"/>
    <w:basedOn w:val="Normal"/>
    <w:link w:val="HTMLPreformattedChar"/>
    <w:uiPriority w:val="99"/>
    <w:semiHidden/>
    <w:unhideWhenUsed/>
    <w:locked/>
    <w:rsid w:val="00257EFB"/>
    <w:pPr>
      <w:spacing w:before="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57EFB"/>
    <w:rPr>
      <w:rFonts w:ascii="Consolas" w:hAnsi="Consolas"/>
      <w:sz w:val="20"/>
      <w:szCs w:val="20"/>
      <w:lang w:val="en-GB" w:eastAsia="de-DE"/>
    </w:rPr>
  </w:style>
  <w:style w:type="character" w:styleId="HTMLKeyboard">
    <w:name w:val="HTML Keyboard"/>
    <w:basedOn w:val="DefaultParagraphFont"/>
    <w:uiPriority w:val="99"/>
    <w:semiHidden/>
    <w:unhideWhenUsed/>
    <w:locked/>
    <w:rsid w:val="00257EFB"/>
    <w:rPr>
      <w:rFonts w:ascii="Consolas" w:hAnsi="Consolas"/>
      <w:sz w:val="20"/>
      <w:szCs w:val="20"/>
    </w:rPr>
  </w:style>
  <w:style w:type="character" w:styleId="HTMLDefinition">
    <w:name w:val="HTML Definition"/>
    <w:basedOn w:val="DefaultParagraphFont"/>
    <w:uiPriority w:val="99"/>
    <w:semiHidden/>
    <w:unhideWhenUsed/>
    <w:locked/>
    <w:rsid w:val="00257EFB"/>
    <w:rPr>
      <w:i/>
      <w:iCs/>
    </w:rPr>
  </w:style>
  <w:style w:type="character" w:styleId="HTMLCode">
    <w:name w:val="HTML Code"/>
    <w:basedOn w:val="DefaultParagraphFont"/>
    <w:uiPriority w:val="99"/>
    <w:semiHidden/>
    <w:unhideWhenUsed/>
    <w:locked/>
    <w:rsid w:val="00257EFB"/>
    <w:rPr>
      <w:rFonts w:ascii="Consolas" w:hAnsi="Consolas"/>
      <w:sz w:val="20"/>
      <w:szCs w:val="20"/>
    </w:rPr>
  </w:style>
  <w:style w:type="character" w:styleId="HTMLCite">
    <w:name w:val="HTML Cite"/>
    <w:basedOn w:val="DefaultParagraphFont"/>
    <w:uiPriority w:val="99"/>
    <w:semiHidden/>
    <w:unhideWhenUsed/>
    <w:locked/>
    <w:rsid w:val="00257EFB"/>
    <w:rPr>
      <w:i/>
      <w:iCs/>
    </w:rPr>
  </w:style>
  <w:style w:type="paragraph" w:styleId="HTMLAddress">
    <w:name w:val="HTML Address"/>
    <w:basedOn w:val="Normal"/>
    <w:link w:val="HTMLAddressChar"/>
    <w:uiPriority w:val="99"/>
    <w:semiHidden/>
    <w:unhideWhenUsed/>
    <w:locked/>
    <w:rsid w:val="00257EFB"/>
    <w:pPr>
      <w:spacing w:before="0" w:line="240" w:lineRule="auto"/>
    </w:pPr>
    <w:rPr>
      <w:i/>
      <w:iCs/>
    </w:rPr>
  </w:style>
  <w:style w:type="character" w:customStyle="1" w:styleId="HTMLAddressChar">
    <w:name w:val="HTML Address Char"/>
    <w:basedOn w:val="DefaultParagraphFont"/>
    <w:link w:val="HTMLAddress"/>
    <w:uiPriority w:val="99"/>
    <w:semiHidden/>
    <w:rsid w:val="00257EFB"/>
    <w:rPr>
      <w:i/>
      <w:iCs/>
      <w:szCs w:val="24"/>
      <w:lang w:val="en-GB" w:eastAsia="de-DE"/>
    </w:rPr>
  </w:style>
  <w:style w:type="character" w:styleId="HTMLAcronym">
    <w:name w:val="HTML Acronym"/>
    <w:basedOn w:val="DefaultParagraphFont"/>
    <w:uiPriority w:val="99"/>
    <w:semiHidden/>
    <w:unhideWhenUsed/>
    <w:locked/>
    <w:rsid w:val="00257EFB"/>
  </w:style>
  <w:style w:type="paragraph" w:styleId="NormalWeb">
    <w:name w:val="Normal (Web)"/>
    <w:basedOn w:val="Normal"/>
    <w:uiPriority w:val="99"/>
    <w:unhideWhenUsed/>
    <w:locked/>
    <w:rsid w:val="00257EFB"/>
    <w:rPr>
      <w:sz w:val="24"/>
    </w:rPr>
  </w:style>
  <w:style w:type="paragraph" w:styleId="PlainText">
    <w:name w:val="Plain Text"/>
    <w:basedOn w:val="Normal"/>
    <w:link w:val="PlainTextChar"/>
    <w:uiPriority w:val="99"/>
    <w:semiHidden/>
    <w:unhideWhenUsed/>
    <w:locked/>
    <w:rsid w:val="00257EFB"/>
    <w:pPr>
      <w:spacing w:before="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257EFB"/>
    <w:rPr>
      <w:rFonts w:ascii="Consolas" w:hAnsi="Consolas"/>
      <w:sz w:val="21"/>
      <w:szCs w:val="21"/>
      <w:lang w:val="en-GB" w:eastAsia="de-DE"/>
    </w:rPr>
  </w:style>
  <w:style w:type="paragraph" w:styleId="DocumentMap">
    <w:name w:val="Document Map"/>
    <w:basedOn w:val="Normal"/>
    <w:link w:val="DocumentMapChar"/>
    <w:uiPriority w:val="99"/>
    <w:semiHidden/>
    <w:unhideWhenUsed/>
    <w:locked/>
    <w:rsid w:val="00257EFB"/>
    <w:pPr>
      <w:spacing w:before="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257EFB"/>
    <w:rPr>
      <w:rFonts w:ascii="Segoe UI" w:hAnsi="Segoe UI" w:cs="Segoe UI"/>
      <w:sz w:val="16"/>
      <w:szCs w:val="16"/>
      <w:lang w:val="en-GB" w:eastAsia="de-DE"/>
    </w:rPr>
  </w:style>
  <w:style w:type="character" w:styleId="Emphasis">
    <w:name w:val="Emphasis"/>
    <w:basedOn w:val="DefaultParagraphFont"/>
    <w:uiPriority w:val="20"/>
    <w:qFormat/>
    <w:locked/>
    <w:rsid w:val="00257EFB"/>
    <w:rPr>
      <w:i/>
      <w:iCs/>
    </w:rPr>
  </w:style>
  <w:style w:type="character" w:styleId="Strong">
    <w:name w:val="Strong"/>
    <w:basedOn w:val="DefaultParagraphFont"/>
    <w:uiPriority w:val="22"/>
    <w:qFormat/>
    <w:locked/>
    <w:rsid w:val="00257EFB"/>
    <w:rPr>
      <w:b/>
      <w:bCs/>
    </w:rPr>
  </w:style>
  <w:style w:type="character" w:styleId="FollowedHyperlink">
    <w:name w:val="FollowedHyperlink"/>
    <w:basedOn w:val="DefaultParagraphFont"/>
    <w:uiPriority w:val="99"/>
    <w:semiHidden/>
    <w:unhideWhenUsed/>
    <w:locked/>
    <w:rsid w:val="00257EFB"/>
    <w:rPr>
      <w:color w:val="800080" w:themeColor="followedHyperlink"/>
      <w:u w:val="single"/>
    </w:rPr>
  </w:style>
  <w:style w:type="paragraph" w:styleId="BlockText">
    <w:name w:val="Block Text"/>
    <w:basedOn w:val="Normal"/>
    <w:uiPriority w:val="99"/>
    <w:semiHidden/>
    <w:unhideWhenUsed/>
    <w:locked/>
    <w:rsid w:val="00257EFB"/>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Indent3">
    <w:name w:val="Body Text Indent 3"/>
    <w:basedOn w:val="Normal"/>
    <w:link w:val="BodyTextIndent3Char"/>
    <w:uiPriority w:val="99"/>
    <w:semiHidden/>
    <w:unhideWhenUsed/>
    <w:locked/>
    <w:rsid w:val="00257EF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57EFB"/>
    <w:rPr>
      <w:sz w:val="16"/>
      <w:szCs w:val="16"/>
      <w:lang w:val="en-GB" w:eastAsia="de-DE"/>
    </w:rPr>
  </w:style>
  <w:style w:type="paragraph" w:styleId="BodyTextIndent2">
    <w:name w:val="Body Text Indent 2"/>
    <w:basedOn w:val="Normal"/>
    <w:link w:val="BodyTextIndent2Char"/>
    <w:uiPriority w:val="99"/>
    <w:semiHidden/>
    <w:unhideWhenUsed/>
    <w:locked/>
    <w:rsid w:val="00257EFB"/>
    <w:pPr>
      <w:spacing w:after="120" w:line="480" w:lineRule="auto"/>
      <w:ind w:left="283"/>
    </w:pPr>
  </w:style>
  <w:style w:type="character" w:customStyle="1" w:styleId="BodyTextIndent2Char">
    <w:name w:val="Body Text Indent 2 Char"/>
    <w:basedOn w:val="DefaultParagraphFont"/>
    <w:link w:val="BodyTextIndent2"/>
    <w:uiPriority w:val="99"/>
    <w:semiHidden/>
    <w:rsid w:val="00257EFB"/>
    <w:rPr>
      <w:szCs w:val="24"/>
      <w:lang w:val="en-GB" w:eastAsia="de-DE"/>
    </w:rPr>
  </w:style>
  <w:style w:type="paragraph" w:styleId="BodyText3">
    <w:name w:val="Body Text 3"/>
    <w:basedOn w:val="Normal"/>
    <w:link w:val="BodyText3Char"/>
    <w:uiPriority w:val="99"/>
    <w:semiHidden/>
    <w:unhideWhenUsed/>
    <w:locked/>
    <w:rsid w:val="00257EFB"/>
    <w:pPr>
      <w:spacing w:after="120"/>
    </w:pPr>
    <w:rPr>
      <w:sz w:val="16"/>
      <w:szCs w:val="16"/>
    </w:rPr>
  </w:style>
  <w:style w:type="character" w:customStyle="1" w:styleId="BodyText3Char">
    <w:name w:val="Body Text 3 Char"/>
    <w:basedOn w:val="DefaultParagraphFont"/>
    <w:link w:val="BodyText3"/>
    <w:uiPriority w:val="99"/>
    <w:semiHidden/>
    <w:rsid w:val="00257EFB"/>
    <w:rPr>
      <w:sz w:val="16"/>
      <w:szCs w:val="16"/>
      <w:lang w:val="en-GB" w:eastAsia="de-DE"/>
    </w:rPr>
  </w:style>
  <w:style w:type="paragraph" w:styleId="BodyText2">
    <w:name w:val="Body Text 2"/>
    <w:basedOn w:val="Normal"/>
    <w:link w:val="BodyText2Char"/>
    <w:uiPriority w:val="99"/>
    <w:semiHidden/>
    <w:unhideWhenUsed/>
    <w:locked/>
    <w:rsid w:val="00257EFB"/>
    <w:pPr>
      <w:spacing w:after="120" w:line="480" w:lineRule="auto"/>
    </w:pPr>
  </w:style>
  <w:style w:type="character" w:customStyle="1" w:styleId="BodyText2Char">
    <w:name w:val="Body Text 2 Char"/>
    <w:basedOn w:val="DefaultParagraphFont"/>
    <w:link w:val="BodyText2"/>
    <w:uiPriority w:val="99"/>
    <w:semiHidden/>
    <w:rsid w:val="00257EFB"/>
    <w:rPr>
      <w:szCs w:val="24"/>
      <w:lang w:val="en-GB" w:eastAsia="de-DE"/>
    </w:rPr>
  </w:style>
  <w:style w:type="paragraph" w:styleId="NoteHeading">
    <w:name w:val="Note Heading"/>
    <w:basedOn w:val="Normal"/>
    <w:next w:val="Normal"/>
    <w:link w:val="NoteHeadingChar"/>
    <w:uiPriority w:val="99"/>
    <w:semiHidden/>
    <w:unhideWhenUsed/>
    <w:locked/>
    <w:rsid w:val="00257EFB"/>
    <w:pPr>
      <w:spacing w:before="0" w:line="240" w:lineRule="auto"/>
    </w:pPr>
  </w:style>
  <w:style w:type="character" w:customStyle="1" w:styleId="NoteHeadingChar">
    <w:name w:val="Note Heading Char"/>
    <w:basedOn w:val="DefaultParagraphFont"/>
    <w:link w:val="NoteHeading"/>
    <w:uiPriority w:val="99"/>
    <w:semiHidden/>
    <w:rsid w:val="00257EFB"/>
    <w:rPr>
      <w:szCs w:val="24"/>
      <w:lang w:val="en-GB" w:eastAsia="de-DE"/>
    </w:rPr>
  </w:style>
  <w:style w:type="paragraph" w:styleId="BodyTextIndent">
    <w:name w:val="Body Text Indent"/>
    <w:basedOn w:val="Normal"/>
    <w:link w:val="BodyTextIndentChar"/>
    <w:uiPriority w:val="99"/>
    <w:semiHidden/>
    <w:unhideWhenUsed/>
    <w:locked/>
    <w:rsid w:val="00257EFB"/>
    <w:pPr>
      <w:spacing w:after="120"/>
      <w:ind w:left="283"/>
    </w:pPr>
  </w:style>
  <w:style w:type="character" w:customStyle="1" w:styleId="BodyTextIndentChar">
    <w:name w:val="Body Text Indent Char"/>
    <w:basedOn w:val="DefaultParagraphFont"/>
    <w:link w:val="BodyTextIndent"/>
    <w:uiPriority w:val="99"/>
    <w:semiHidden/>
    <w:rsid w:val="00257EFB"/>
    <w:rPr>
      <w:szCs w:val="24"/>
      <w:lang w:val="en-GB" w:eastAsia="de-DE"/>
    </w:rPr>
  </w:style>
  <w:style w:type="paragraph" w:styleId="BodyTextFirstIndent2">
    <w:name w:val="Body Text First Indent 2"/>
    <w:basedOn w:val="BodyTextIndent"/>
    <w:link w:val="BodyTextFirstIndent2Char"/>
    <w:uiPriority w:val="99"/>
    <w:semiHidden/>
    <w:unhideWhenUsed/>
    <w:locked/>
    <w:rsid w:val="00257EFB"/>
    <w:pPr>
      <w:spacing w:after="0"/>
      <w:ind w:left="360" w:firstLine="360"/>
    </w:pPr>
  </w:style>
  <w:style w:type="character" w:customStyle="1" w:styleId="BodyTextFirstIndent2Char">
    <w:name w:val="Body Text First Indent 2 Char"/>
    <w:basedOn w:val="BodyTextIndentChar"/>
    <w:link w:val="BodyTextFirstIndent2"/>
    <w:uiPriority w:val="99"/>
    <w:semiHidden/>
    <w:rsid w:val="00257EFB"/>
    <w:rPr>
      <w:szCs w:val="24"/>
      <w:lang w:val="en-GB" w:eastAsia="de-DE"/>
    </w:rPr>
  </w:style>
  <w:style w:type="paragraph" w:styleId="BodyText">
    <w:name w:val="Body Text"/>
    <w:basedOn w:val="Normal"/>
    <w:link w:val="BodyTextChar"/>
    <w:uiPriority w:val="99"/>
    <w:semiHidden/>
    <w:unhideWhenUsed/>
    <w:locked/>
    <w:rsid w:val="00257EFB"/>
    <w:pPr>
      <w:spacing w:after="120"/>
    </w:pPr>
  </w:style>
  <w:style w:type="character" w:customStyle="1" w:styleId="BodyTextChar">
    <w:name w:val="Body Text Char"/>
    <w:basedOn w:val="DefaultParagraphFont"/>
    <w:link w:val="BodyText"/>
    <w:uiPriority w:val="99"/>
    <w:semiHidden/>
    <w:rsid w:val="00257EFB"/>
    <w:rPr>
      <w:szCs w:val="24"/>
      <w:lang w:val="en-GB" w:eastAsia="de-DE"/>
    </w:rPr>
  </w:style>
  <w:style w:type="paragraph" w:styleId="BodyTextFirstIndent">
    <w:name w:val="Body Text First Indent"/>
    <w:basedOn w:val="BodyText"/>
    <w:link w:val="BodyTextFirstIndentChar"/>
    <w:uiPriority w:val="99"/>
    <w:semiHidden/>
    <w:unhideWhenUsed/>
    <w:locked/>
    <w:rsid w:val="00257EFB"/>
    <w:pPr>
      <w:spacing w:after="0"/>
      <w:ind w:firstLine="360"/>
    </w:pPr>
  </w:style>
  <w:style w:type="character" w:customStyle="1" w:styleId="BodyTextFirstIndentChar">
    <w:name w:val="Body Text First Indent Char"/>
    <w:basedOn w:val="BodyTextChar"/>
    <w:link w:val="BodyTextFirstIndent"/>
    <w:uiPriority w:val="99"/>
    <w:semiHidden/>
    <w:rsid w:val="00257EFB"/>
    <w:rPr>
      <w:szCs w:val="24"/>
      <w:lang w:val="en-GB" w:eastAsia="de-DE"/>
    </w:rPr>
  </w:style>
  <w:style w:type="paragraph" w:styleId="Date">
    <w:name w:val="Date"/>
    <w:basedOn w:val="Normal"/>
    <w:next w:val="Normal"/>
    <w:link w:val="DateChar"/>
    <w:uiPriority w:val="99"/>
    <w:semiHidden/>
    <w:unhideWhenUsed/>
    <w:locked/>
    <w:rsid w:val="00257EFB"/>
  </w:style>
  <w:style w:type="character" w:customStyle="1" w:styleId="DateChar">
    <w:name w:val="Date Char"/>
    <w:basedOn w:val="DefaultParagraphFont"/>
    <w:link w:val="Date"/>
    <w:uiPriority w:val="99"/>
    <w:semiHidden/>
    <w:rsid w:val="00257EFB"/>
    <w:rPr>
      <w:szCs w:val="24"/>
      <w:lang w:val="en-GB" w:eastAsia="de-DE"/>
    </w:rPr>
  </w:style>
  <w:style w:type="paragraph" w:styleId="Salutation">
    <w:name w:val="Salutation"/>
    <w:basedOn w:val="Normal"/>
    <w:next w:val="Normal"/>
    <w:link w:val="SalutationChar"/>
    <w:uiPriority w:val="99"/>
    <w:semiHidden/>
    <w:unhideWhenUsed/>
    <w:locked/>
    <w:rsid w:val="00257EFB"/>
  </w:style>
  <w:style w:type="character" w:customStyle="1" w:styleId="SalutationChar">
    <w:name w:val="Salutation Char"/>
    <w:basedOn w:val="DefaultParagraphFont"/>
    <w:link w:val="Salutation"/>
    <w:uiPriority w:val="99"/>
    <w:semiHidden/>
    <w:rsid w:val="00257EFB"/>
    <w:rPr>
      <w:szCs w:val="24"/>
      <w:lang w:val="en-GB" w:eastAsia="de-DE"/>
    </w:rPr>
  </w:style>
  <w:style w:type="paragraph" w:styleId="Subtitle">
    <w:name w:val="Subtitle"/>
    <w:basedOn w:val="Heading1"/>
    <w:next w:val="Normal"/>
    <w:link w:val="SubtitleChar"/>
    <w:uiPriority w:val="11"/>
    <w:qFormat/>
    <w:locked/>
    <w:rsid w:val="00BC21B5"/>
  </w:style>
  <w:style w:type="character" w:customStyle="1" w:styleId="SubtitleChar">
    <w:name w:val="Subtitle Char"/>
    <w:basedOn w:val="DefaultParagraphFont"/>
    <w:link w:val="Subtitle"/>
    <w:uiPriority w:val="11"/>
    <w:rsid w:val="00BC21B5"/>
    <w:rPr>
      <w:b/>
      <w:bCs/>
      <w:color w:val="000000" w:themeColor="text1"/>
      <w:kern w:val="32"/>
      <w:sz w:val="34"/>
      <w:szCs w:val="34"/>
      <w:lang w:val="en-GB"/>
    </w:rPr>
  </w:style>
  <w:style w:type="paragraph" w:styleId="MessageHeader">
    <w:name w:val="Message Header"/>
    <w:basedOn w:val="Normal"/>
    <w:link w:val="MessageHeaderChar"/>
    <w:uiPriority w:val="99"/>
    <w:semiHidden/>
    <w:unhideWhenUsed/>
    <w:locked/>
    <w:rsid w:val="00257EFB"/>
    <w:pPr>
      <w:pBdr>
        <w:top w:val="single" w:sz="6" w:space="1" w:color="auto"/>
        <w:left w:val="single" w:sz="6" w:space="1" w:color="auto"/>
        <w:bottom w:val="single" w:sz="6" w:space="1" w:color="auto"/>
        <w:right w:val="single" w:sz="6" w:space="1" w:color="auto"/>
      </w:pBdr>
      <w:shd w:val="pct20" w:color="auto" w:fill="auto"/>
      <w:spacing w:before="0" w:line="240" w:lineRule="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257EFB"/>
    <w:rPr>
      <w:rFonts w:asciiTheme="majorHAnsi" w:eastAsiaTheme="majorEastAsia" w:hAnsiTheme="majorHAnsi" w:cstheme="majorBidi"/>
      <w:sz w:val="24"/>
      <w:szCs w:val="24"/>
      <w:shd w:val="pct20" w:color="auto" w:fill="auto"/>
      <w:lang w:val="en-GB" w:eastAsia="de-DE"/>
    </w:rPr>
  </w:style>
  <w:style w:type="paragraph" w:styleId="ListContinue5">
    <w:name w:val="List Continue 5"/>
    <w:basedOn w:val="Normal"/>
    <w:uiPriority w:val="99"/>
    <w:semiHidden/>
    <w:unhideWhenUsed/>
    <w:locked/>
    <w:rsid w:val="00257EFB"/>
    <w:pPr>
      <w:spacing w:after="120"/>
      <w:ind w:left="1415"/>
      <w:contextualSpacing/>
    </w:pPr>
  </w:style>
  <w:style w:type="paragraph" w:styleId="ListContinue4">
    <w:name w:val="List Continue 4"/>
    <w:basedOn w:val="Normal"/>
    <w:uiPriority w:val="99"/>
    <w:semiHidden/>
    <w:unhideWhenUsed/>
    <w:locked/>
    <w:rsid w:val="00257EFB"/>
    <w:pPr>
      <w:spacing w:after="120"/>
      <w:ind w:left="1132"/>
      <w:contextualSpacing/>
    </w:pPr>
  </w:style>
  <w:style w:type="paragraph" w:styleId="ListContinue3">
    <w:name w:val="List Continue 3"/>
    <w:basedOn w:val="Normal"/>
    <w:uiPriority w:val="99"/>
    <w:semiHidden/>
    <w:unhideWhenUsed/>
    <w:locked/>
    <w:rsid w:val="00257EFB"/>
    <w:pPr>
      <w:spacing w:after="120"/>
      <w:ind w:left="849"/>
      <w:contextualSpacing/>
    </w:pPr>
  </w:style>
  <w:style w:type="paragraph" w:styleId="ListContinue2">
    <w:name w:val="List Continue 2"/>
    <w:basedOn w:val="Normal"/>
    <w:uiPriority w:val="99"/>
    <w:semiHidden/>
    <w:unhideWhenUsed/>
    <w:locked/>
    <w:rsid w:val="00257EFB"/>
    <w:pPr>
      <w:spacing w:after="120"/>
      <w:ind w:left="566"/>
      <w:contextualSpacing/>
    </w:pPr>
  </w:style>
  <w:style w:type="paragraph" w:styleId="ListContinue">
    <w:name w:val="List Continue"/>
    <w:basedOn w:val="Normal"/>
    <w:uiPriority w:val="99"/>
    <w:semiHidden/>
    <w:unhideWhenUsed/>
    <w:locked/>
    <w:rsid w:val="00257EFB"/>
    <w:pPr>
      <w:spacing w:after="120"/>
      <w:ind w:left="283"/>
      <w:contextualSpacing/>
    </w:pPr>
  </w:style>
  <w:style w:type="paragraph" w:styleId="Signature">
    <w:name w:val="Signature"/>
    <w:basedOn w:val="Normal"/>
    <w:link w:val="SignatureChar"/>
    <w:uiPriority w:val="99"/>
    <w:semiHidden/>
    <w:unhideWhenUsed/>
    <w:locked/>
    <w:rsid w:val="00257EFB"/>
    <w:pPr>
      <w:spacing w:before="0" w:line="240" w:lineRule="auto"/>
      <w:ind w:left="4252"/>
    </w:pPr>
  </w:style>
  <w:style w:type="character" w:customStyle="1" w:styleId="SignatureChar">
    <w:name w:val="Signature Char"/>
    <w:basedOn w:val="DefaultParagraphFont"/>
    <w:link w:val="Signature"/>
    <w:uiPriority w:val="99"/>
    <w:semiHidden/>
    <w:rsid w:val="00257EFB"/>
    <w:rPr>
      <w:szCs w:val="24"/>
      <w:lang w:val="en-GB" w:eastAsia="de-DE"/>
    </w:rPr>
  </w:style>
  <w:style w:type="paragraph" w:styleId="Closing">
    <w:name w:val="Closing"/>
    <w:basedOn w:val="Normal"/>
    <w:link w:val="ClosingChar"/>
    <w:uiPriority w:val="99"/>
    <w:semiHidden/>
    <w:unhideWhenUsed/>
    <w:locked/>
    <w:rsid w:val="00257EFB"/>
    <w:pPr>
      <w:spacing w:before="0" w:line="240" w:lineRule="auto"/>
      <w:ind w:left="4252"/>
    </w:pPr>
  </w:style>
  <w:style w:type="character" w:customStyle="1" w:styleId="ClosingChar">
    <w:name w:val="Closing Char"/>
    <w:basedOn w:val="DefaultParagraphFont"/>
    <w:link w:val="Closing"/>
    <w:uiPriority w:val="99"/>
    <w:semiHidden/>
    <w:rsid w:val="00257EFB"/>
    <w:rPr>
      <w:szCs w:val="24"/>
      <w:lang w:val="en-GB" w:eastAsia="de-DE"/>
    </w:rPr>
  </w:style>
  <w:style w:type="paragraph" w:styleId="Title">
    <w:name w:val="Title"/>
    <w:basedOn w:val="Normal"/>
    <w:next w:val="Normal"/>
    <w:link w:val="TitleChar"/>
    <w:uiPriority w:val="10"/>
    <w:qFormat/>
    <w:locked/>
    <w:rsid w:val="00257EFB"/>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EFB"/>
    <w:rPr>
      <w:rFonts w:asciiTheme="majorHAnsi" w:eastAsiaTheme="majorEastAsia" w:hAnsiTheme="majorHAnsi" w:cstheme="majorBidi"/>
      <w:spacing w:val="-10"/>
      <w:kern w:val="28"/>
      <w:sz w:val="56"/>
      <w:szCs w:val="56"/>
      <w:lang w:val="en-GB" w:eastAsia="de-DE"/>
    </w:rPr>
  </w:style>
  <w:style w:type="paragraph" w:styleId="ListNumber5">
    <w:name w:val="List Number 5"/>
    <w:basedOn w:val="Normal"/>
    <w:uiPriority w:val="99"/>
    <w:semiHidden/>
    <w:unhideWhenUsed/>
    <w:locked/>
    <w:rsid w:val="00257EFB"/>
    <w:pPr>
      <w:numPr>
        <w:numId w:val="3"/>
      </w:numPr>
      <w:contextualSpacing/>
    </w:pPr>
  </w:style>
  <w:style w:type="paragraph" w:styleId="ListNumber4">
    <w:name w:val="List Number 4"/>
    <w:basedOn w:val="Normal"/>
    <w:uiPriority w:val="99"/>
    <w:semiHidden/>
    <w:unhideWhenUsed/>
    <w:locked/>
    <w:rsid w:val="00257EFB"/>
    <w:pPr>
      <w:numPr>
        <w:numId w:val="4"/>
      </w:numPr>
      <w:contextualSpacing/>
    </w:pPr>
  </w:style>
  <w:style w:type="paragraph" w:styleId="ListNumber3">
    <w:name w:val="List Number 3"/>
    <w:basedOn w:val="Normal"/>
    <w:uiPriority w:val="99"/>
    <w:semiHidden/>
    <w:unhideWhenUsed/>
    <w:locked/>
    <w:rsid w:val="00257EFB"/>
    <w:pPr>
      <w:numPr>
        <w:numId w:val="5"/>
      </w:numPr>
      <w:contextualSpacing/>
    </w:pPr>
  </w:style>
  <w:style w:type="paragraph" w:styleId="ListNumber2">
    <w:name w:val="List Number 2"/>
    <w:basedOn w:val="Normal"/>
    <w:uiPriority w:val="99"/>
    <w:semiHidden/>
    <w:unhideWhenUsed/>
    <w:locked/>
    <w:rsid w:val="00257EFB"/>
    <w:pPr>
      <w:numPr>
        <w:numId w:val="6"/>
      </w:numPr>
      <w:contextualSpacing/>
    </w:pPr>
  </w:style>
  <w:style w:type="paragraph" w:styleId="ListBullet5">
    <w:name w:val="List Bullet 5"/>
    <w:basedOn w:val="Normal"/>
    <w:uiPriority w:val="99"/>
    <w:semiHidden/>
    <w:unhideWhenUsed/>
    <w:locked/>
    <w:rsid w:val="00257EFB"/>
    <w:pPr>
      <w:numPr>
        <w:numId w:val="7"/>
      </w:numPr>
      <w:contextualSpacing/>
    </w:pPr>
  </w:style>
  <w:style w:type="paragraph" w:styleId="ListBullet4">
    <w:name w:val="List Bullet 4"/>
    <w:basedOn w:val="Normal"/>
    <w:uiPriority w:val="99"/>
    <w:semiHidden/>
    <w:unhideWhenUsed/>
    <w:locked/>
    <w:rsid w:val="00257EFB"/>
    <w:pPr>
      <w:numPr>
        <w:numId w:val="8"/>
      </w:numPr>
      <w:contextualSpacing/>
    </w:pPr>
  </w:style>
  <w:style w:type="paragraph" w:styleId="ListBullet3">
    <w:name w:val="List Bullet 3"/>
    <w:basedOn w:val="Normal"/>
    <w:uiPriority w:val="99"/>
    <w:semiHidden/>
    <w:unhideWhenUsed/>
    <w:locked/>
    <w:rsid w:val="00257EFB"/>
    <w:pPr>
      <w:numPr>
        <w:numId w:val="9"/>
      </w:numPr>
      <w:contextualSpacing/>
    </w:pPr>
  </w:style>
  <w:style w:type="paragraph" w:styleId="ListBullet2">
    <w:name w:val="List Bullet 2"/>
    <w:basedOn w:val="Normal"/>
    <w:uiPriority w:val="99"/>
    <w:semiHidden/>
    <w:unhideWhenUsed/>
    <w:locked/>
    <w:rsid w:val="00257EFB"/>
    <w:pPr>
      <w:numPr>
        <w:numId w:val="10"/>
      </w:numPr>
      <w:contextualSpacing/>
    </w:pPr>
  </w:style>
  <w:style w:type="paragraph" w:styleId="List5">
    <w:name w:val="List 5"/>
    <w:basedOn w:val="Normal"/>
    <w:uiPriority w:val="99"/>
    <w:semiHidden/>
    <w:unhideWhenUsed/>
    <w:locked/>
    <w:rsid w:val="00257EFB"/>
    <w:pPr>
      <w:ind w:left="1415" w:hanging="283"/>
      <w:contextualSpacing/>
    </w:pPr>
  </w:style>
  <w:style w:type="paragraph" w:styleId="List4">
    <w:name w:val="List 4"/>
    <w:basedOn w:val="Normal"/>
    <w:uiPriority w:val="99"/>
    <w:semiHidden/>
    <w:unhideWhenUsed/>
    <w:locked/>
    <w:rsid w:val="00257EFB"/>
    <w:pPr>
      <w:ind w:left="1132" w:hanging="283"/>
      <w:contextualSpacing/>
    </w:pPr>
  </w:style>
  <w:style w:type="paragraph" w:styleId="List3">
    <w:name w:val="List 3"/>
    <w:basedOn w:val="Normal"/>
    <w:uiPriority w:val="99"/>
    <w:semiHidden/>
    <w:unhideWhenUsed/>
    <w:locked/>
    <w:rsid w:val="00257EFB"/>
    <w:pPr>
      <w:ind w:left="849" w:hanging="283"/>
      <w:contextualSpacing/>
    </w:pPr>
  </w:style>
  <w:style w:type="paragraph" w:styleId="List2">
    <w:name w:val="List 2"/>
    <w:basedOn w:val="Normal"/>
    <w:uiPriority w:val="99"/>
    <w:semiHidden/>
    <w:unhideWhenUsed/>
    <w:locked/>
    <w:rsid w:val="00257EFB"/>
    <w:pPr>
      <w:ind w:left="566" w:hanging="283"/>
      <w:contextualSpacing/>
    </w:pPr>
  </w:style>
  <w:style w:type="paragraph" w:styleId="ListNumber">
    <w:name w:val="List Number"/>
    <w:basedOn w:val="Normal"/>
    <w:uiPriority w:val="99"/>
    <w:semiHidden/>
    <w:unhideWhenUsed/>
    <w:locked/>
    <w:rsid w:val="00257EFB"/>
    <w:pPr>
      <w:numPr>
        <w:numId w:val="11"/>
      </w:numPr>
      <w:contextualSpacing/>
    </w:pPr>
  </w:style>
  <w:style w:type="paragraph" w:styleId="ListBullet">
    <w:name w:val="List Bullet"/>
    <w:basedOn w:val="Normal"/>
    <w:uiPriority w:val="99"/>
    <w:semiHidden/>
    <w:unhideWhenUsed/>
    <w:locked/>
    <w:rsid w:val="00257EFB"/>
    <w:pPr>
      <w:numPr>
        <w:numId w:val="12"/>
      </w:numPr>
      <w:contextualSpacing/>
    </w:pPr>
  </w:style>
  <w:style w:type="paragraph" w:styleId="List">
    <w:name w:val="List"/>
    <w:basedOn w:val="Normal"/>
    <w:uiPriority w:val="99"/>
    <w:semiHidden/>
    <w:unhideWhenUsed/>
    <w:locked/>
    <w:rsid w:val="00257EFB"/>
    <w:pPr>
      <w:ind w:left="283" w:hanging="283"/>
      <w:contextualSpacing/>
    </w:pPr>
  </w:style>
  <w:style w:type="paragraph" w:styleId="TOAHeading">
    <w:name w:val="toa heading"/>
    <w:basedOn w:val="Normal"/>
    <w:next w:val="Normal"/>
    <w:uiPriority w:val="99"/>
    <w:semiHidden/>
    <w:unhideWhenUsed/>
    <w:locked/>
    <w:rsid w:val="00257EFB"/>
    <w:rPr>
      <w:rFonts w:asciiTheme="majorHAnsi" w:eastAsiaTheme="majorEastAsia" w:hAnsiTheme="majorHAnsi" w:cstheme="majorBidi"/>
      <w:b/>
      <w:bCs/>
      <w:sz w:val="24"/>
    </w:rPr>
  </w:style>
  <w:style w:type="paragraph" w:styleId="MacroText">
    <w:name w:val="macro"/>
    <w:link w:val="MacroTextChar"/>
    <w:uiPriority w:val="99"/>
    <w:semiHidden/>
    <w:unhideWhenUsed/>
    <w:locked/>
    <w:rsid w:val="00257EFB"/>
    <w:pPr>
      <w:tabs>
        <w:tab w:val="left" w:pos="480"/>
        <w:tab w:val="left" w:pos="960"/>
        <w:tab w:val="left" w:pos="1440"/>
        <w:tab w:val="left" w:pos="1920"/>
        <w:tab w:val="left" w:pos="2400"/>
        <w:tab w:val="left" w:pos="2880"/>
        <w:tab w:val="left" w:pos="3360"/>
        <w:tab w:val="left" w:pos="3840"/>
        <w:tab w:val="left" w:pos="4320"/>
      </w:tabs>
      <w:spacing w:before="120" w:line="288" w:lineRule="auto"/>
      <w:jc w:val="both"/>
    </w:pPr>
    <w:rPr>
      <w:rFonts w:ascii="Consolas" w:hAnsi="Consolas"/>
      <w:sz w:val="20"/>
      <w:szCs w:val="20"/>
      <w:lang w:val="en-GB" w:eastAsia="de-DE"/>
    </w:rPr>
  </w:style>
  <w:style w:type="character" w:customStyle="1" w:styleId="MacroTextChar">
    <w:name w:val="Macro Text Char"/>
    <w:basedOn w:val="DefaultParagraphFont"/>
    <w:link w:val="MacroText"/>
    <w:uiPriority w:val="99"/>
    <w:semiHidden/>
    <w:rsid w:val="00257EFB"/>
    <w:rPr>
      <w:rFonts w:ascii="Consolas" w:hAnsi="Consolas"/>
      <w:sz w:val="20"/>
      <w:szCs w:val="20"/>
      <w:lang w:val="en-GB" w:eastAsia="de-DE"/>
    </w:rPr>
  </w:style>
  <w:style w:type="paragraph" w:styleId="TableofAuthorities">
    <w:name w:val="table of authorities"/>
    <w:basedOn w:val="Normal"/>
    <w:next w:val="Normal"/>
    <w:uiPriority w:val="99"/>
    <w:semiHidden/>
    <w:unhideWhenUsed/>
    <w:locked/>
    <w:rsid w:val="00257EFB"/>
    <w:pPr>
      <w:ind w:left="220" w:hanging="220"/>
    </w:pPr>
  </w:style>
  <w:style w:type="paragraph" w:styleId="EndnoteText">
    <w:name w:val="endnote text"/>
    <w:basedOn w:val="Normal"/>
    <w:link w:val="EndnoteTextChar"/>
    <w:uiPriority w:val="99"/>
    <w:semiHidden/>
    <w:unhideWhenUsed/>
    <w:locked/>
    <w:rsid w:val="00257EFB"/>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257EFB"/>
    <w:rPr>
      <w:sz w:val="20"/>
      <w:szCs w:val="20"/>
      <w:lang w:val="en-GB" w:eastAsia="de-DE"/>
    </w:rPr>
  </w:style>
  <w:style w:type="character" w:styleId="EndnoteReference">
    <w:name w:val="endnote reference"/>
    <w:basedOn w:val="DefaultParagraphFont"/>
    <w:uiPriority w:val="99"/>
    <w:semiHidden/>
    <w:unhideWhenUsed/>
    <w:locked/>
    <w:rsid w:val="00257EFB"/>
    <w:rPr>
      <w:vertAlign w:val="superscript"/>
    </w:rPr>
  </w:style>
  <w:style w:type="character" w:styleId="LineNumber">
    <w:name w:val="line number"/>
    <w:basedOn w:val="DefaultParagraphFont"/>
    <w:uiPriority w:val="99"/>
    <w:semiHidden/>
    <w:unhideWhenUsed/>
    <w:locked/>
    <w:rsid w:val="00257EFB"/>
  </w:style>
  <w:style w:type="paragraph" w:styleId="EnvelopeReturn">
    <w:name w:val="envelope return"/>
    <w:basedOn w:val="Normal"/>
    <w:uiPriority w:val="99"/>
    <w:semiHidden/>
    <w:unhideWhenUsed/>
    <w:locked/>
    <w:rsid w:val="00257EFB"/>
    <w:pPr>
      <w:spacing w:before="0" w:line="240" w:lineRule="auto"/>
    </w:pPr>
    <w:rPr>
      <w:rFonts w:asciiTheme="majorHAnsi" w:eastAsiaTheme="majorEastAsia" w:hAnsiTheme="majorHAnsi" w:cstheme="majorBidi"/>
      <w:sz w:val="20"/>
      <w:szCs w:val="20"/>
    </w:rPr>
  </w:style>
  <w:style w:type="paragraph" w:styleId="EnvelopeAddress">
    <w:name w:val="envelope address"/>
    <w:basedOn w:val="Normal"/>
    <w:uiPriority w:val="99"/>
    <w:semiHidden/>
    <w:unhideWhenUsed/>
    <w:locked/>
    <w:rsid w:val="00257EFB"/>
    <w:pPr>
      <w:framePr w:w="7920" w:h="1980" w:hRule="exact" w:hSpace="180" w:wrap="auto" w:hAnchor="page" w:xAlign="center" w:yAlign="bottom"/>
      <w:spacing w:before="0" w:line="240" w:lineRule="auto"/>
      <w:ind w:left="2880"/>
    </w:pPr>
    <w:rPr>
      <w:rFonts w:asciiTheme="majorHAnsi" w:eastAsiaTheme="majorEastAsia" w:hAnsiTheme="majorHAnsi" w:cstheme="majorBidi"/>
      <w:sz w:val="24"/>
    </w:rPr>
  </w:style>
  <w:style w:type="paragraph" w:styleId="Caption">
    <w:name w:val="caption"/>
    <w:basedOn w:val="Normal"/>
    <w:next w:val="Normal"/>
    <w:autoRedefine/>
    <w:uiPriority w:val="35"/>
    <w:unhideWhenUsed/>
    <w:qFormat/>
    <w:locked/>
    <w:rsid w:val="000109F2"/>
    <w:pPr>
      <w:spacing w:before="240" w:after="240"/>
      <w:ind w:right="521"/>
    </w:pPr>
    <w:rPr>
      <w:rFonts w:eastAsiaTheme="minorHAnsi"/>
      <w:iCs/>
      <w:color w:val="000000" w:themeColor="text1"/>
      <w:sz w:val="24"/>
      <w:szCs w:val="18"/>
      <w:lang w:eastAsia="de-DE"/>
    </w:rPr>
  </w:style>
  <w:style w:type="paragraph" w:styleId="IndexHeading">
    <w:name w:val="index heading"/>
    <w:basedOn w:val="Normal"/>
    <w:next w:val="Index1"/>
    <w:uiPriority w:val="99"/>
    <w:semiHidden/>
    <w:unhideWhenUsed/>
    <w:locked/>
    <w:rsid w:val="00257EFB"/>
    <w:rPr>
      <w:rFonts w:asciiTheme="majorHAnsi" w:eastAsiaTheme="majorEastAsia" w:hAnsiTheme="majorHAnsi" w:cstheme="majorBidi"/>
      <w:b/>
      <w:bCs/>
    </w:rPr>
  </w:style>
  <w:style w:type="paragraph" w:styleId="NormalIndent">
    <w:name w:val="Normal Indent"/>
    <w:basedOn w:val="Normal"/>
    <w:uiPriority w:val="99"/>
    <w:semiHidden/>
    <w:unhideWhenUsed/>
    <w:locked/>
    <w:rsid w:val="00257EFB"/>
    <w:pPr>
      <w:ind w:left="708"/>
    </w:pPr>
  </w:style>
  <w:style w:type="paragraph" w:styleId="TOC9">
    <w:name w:val="toc 9"/>
    <w:basedOn w:val="Normal"/>
    <w:next w:val="Normal"/>
    <w:autoRedefine/>
    <w:uiPriority w:val="39"/>
    <w:unhideWhenUsed/>
    <w:locked/>
    <w:rsid w:val="00257EFB"/>
    <w:pPr>
      <w:spacing w:before="0"/>
      <w:ind w:left="1760"/>
      <w:jc w:val="left"/>
    </w:pPr>
    <w:rPr>
      <w:rFonts w:asciiTheme="minorHAnsi" w:hAnsiTheme="minorHAnsi"/>
      <w:sz w:val="20"/>
      <w:szCs w:val="20"/>
    </w:rPr>
  </w:style>
  <w:style w:type="paragraph" w:styleId="TOC8">
    <w:name w:val="toc 8"/>
    <w:basedOn w:val="Normal"/>
    <w:next w:val="Normal"/>
    <w:autoRedefine/>
    <w:uiPriority w:val="39"/>
    <w:unhideWhenUsed/>
    <w:locked/>
    <w:rsid w:val="00257EFB"/>
    <w:pPr>
      <w:spacing w:before="0"/>
      <w:ind w:left="1540"/>
      <w:jc w:val="left"/>
    </w:pPr>
    <w:rPr>
      <w:rFonts w:asciiTheme="minorHAnsi" w:hAnsiTheme="minorHAnsi"/>
      <w:sz w:val="20"/>
      <w:szCs w:val="20"/>
    </w:rPr>
  </w:style>
  <w:style w:type="paragraph" w:styleId="TOC7">
    <w:name w:val="toc 7"/>
    <w:basedOn w:val="Normal"/>
    <w:next w:val="Normal"/>
    <w:autoRedefine/>
    <w:uiPriority w:val="39"/>
    <w:unhideWhenUsed/>
    <w:locked/>
    <w:rsid w:val="00257EFB"/>
    <w:pPr>
      <w:spacing w:before="0"/>
      <w:ind w:left="1320"/>
      <w:jc w:val="left"/>
    </w:pPr>
    <w:rPr>
      <w:rFonts w:asciiTheme="minorHAnsi" w:hAnsiTheme="minorHAnsi"/>
      <w:sz w:val="20"/>
      <w:szCs w:val="20"/>
    </w:rPr>
  </w:style>
  <w:style w:type="paragraph" w:styleId="TOC6">
    <w:name w:val="toc 6"/>
    <w:basedOn w:val="Normal"/>
    <w:next w:val="Normal"/>
    <w:autoRedefine/>
    <w:uiPriority w:val="39"/>
    <w:unhideWhenUsed/>
    <w:locked/>
    <w:rsid w:val="00257EFB"/>
    <w:pPr>
      <w:spacing w:before="0"/>
      <w:ind w:left="1100"/>
      <w:jc w:val="left"/>
    </w:pPr>
    <w:rPr>
      <w:rFonts w:asciiTheme="minorHAnsi" w:hAnsiTheme="minorHAnsi"/>
      <w:sz w:val="20"/>
      <w:szCs w:val="20"/>
    </w:rPr>
  </w:style>
  <w:style w:type="paragraph" w:styleId="TOC5">
    <w:name w:val="toc 5"/>
    <w:basedOn w:val="Normal"/>
    <w:next w:val="Normal"/>
    <w:autoRedefine/>
    <w:uiPriority w:val="39"/>
    <w:unhideWhenUsed/>
    <w:locked/>
    <w:rsid w:val="00257EFB"/>
    <w:pPr>
      <w:spacing w:before="0"/>
      <w:ind w:left="880"/>
      <w:jc w:val="left"/>
    </w:pPr>
    <w:rPr>
      <w:rFonts w:asciiTheme="minorHAnsi" w:hAnsiTheme="minorHAnsi"/>
      <w:sz w:val="20"/>
      <w:szCs w:val="20"/>
    </w:rPr>
  </w:style>
  <w:style w:type="paragraph" w:styleId="TOC4">
    <w:name w:val="toc 4"/>
    <w:basedOn w:val="Normal"/>
    <w:next w:val="Normal"/>
    <w:autoRedefine/>
    <w:uiPriority w:val="39"/>
    <w:unhideWhenUsed/>
    <w:locked/>
    <w:rsid w:val="00257EFB"/>
    <w:pPr>
      <w:spacing w:before="0"/>
      <w:ind w:left="660"/>
      <w:jc w:val="left"/>
    </w:pPr>
    <w:rPr>
      <w:rFonts w:asciiTheme="minorHAnsi" w:hAnsiTheme="minorHAnsi"/>
      <w:sz w:val="20"/>
      <w:szCs w:val="20"/>
    </w:rPr>
  </w:style>
  <w:style w:type="paragraph" w:styleId="Index9">
    <w:name w:val="index 9"/>
    <w:basedOn w:val="Normal"/>
    <w:next w:val="Normal"/>
    <w:autoRedefine/>
    <w:uiPriority w:val="99"/>
    <w:semiHidden/>
    <w:unhideWhenUsed/>
    <w:locked/>
    <w:rsid w:val="00257EFB"/>
    <w:pPr>
      <w:spacing w:before="0" w:line="240" w:lineRule="auto"/>
      <w:ind w:left="1980" w:hanging="220"/>
    </w:pPr>
  </w:style>
  <w:style w:type="paragraph" w:styleId="Index8">
    <w:name w:val="index 8"/>
    <w:basedOn w:val="Normal"/>
    <w:next w:val="Normal"/>
    <w:autoRedefine/>
    <w:uiPriority w:val="99"/>
    <w:semiHidden/>
    <w:unhideWhenUsed/>
    <w:locked/>
    <w:rsid w:val="00257EFB"/>
    <w:pPr>
      <w:spacing w:before="0" w:line="240" w:lineRule="auto"/>
      <w:ind w:left="1760" w:hanging="220"/>
    </w:pPr>
  </w:style>
  <w:style w:type="paragraph" w:styleId="Index7">
    <w:name w:val="index 7"/>
    <w:basedOn w:val="Normal"/>
    <w:next w:val="Normal"/>
    <w:autoRedefine/>
    <w:uiPriority w:val="99"/>
    <w:semiHidden/>
    <w:unhideWhenUsed/>
    <w:locked/>
    <w:rsid w:val="00257EFB"/>
    <w:pPr>
      <w:spacing w:before="0" w:line="240" w:lineRule="auto"/>
      <w:ind w:left="1540" w:hanging="220"/>
    </w:pPr>
  </w:style>
  <w:style w:type="paragraph" w:styleId="Index6">
    <w:name w:val="index 6"/>
    <w:basedOn w:val="Normal"/>
    <w:next w:val="Normal"/>
    <w:autoRedefine/>
    <w:uiPriority w:val="99"/>
    <w:semiHidden/>
    <w:unhideWhenUsed/>
    <w:locked/>
    <w:rsid w:val="00257EFB"/>
    <w:pPr>
      <w:spacing w:before="0" w:line="240" w:lineRule="auto"/>
      <w:ind w:left="1320" w:hanging="220"/>
    </w:pPr>
  </w:style>
  <w:style w:type="paragraph" w:styleId="Index5">
    <w:name w:val="index 5"/>
    <w:basedOn w:val="Normal"/>
    <w:next w:val="Normal"/>
    <w:autoRedefine/>
    <w:uiPriority w:val="99"/>
    <w:semiHidden/>
    <w:unhideWhenUsed/>
    <w:locked/>
    <w:rsid w:val="00257EFB"/>
    <w:pPr>
      <w:spacing w:before="0" w:line="240" w:lineRule="auto"/>
      <w:ind w:left="1100" w:hanging="220"/>
    </w:pPr>
  </w:style>
  <w:style w:type="paragraph" w:styleId="Index4">
    <w:name w:val="index 4"/>
    <w:basedOn w:val="Normal"/>
    <w:next w:val="Normal"/>
    <w:autoRedefine/>
    <w:uiPriority w:val="99"/>
    <w:semiHidden/>
    <w:unhideWhenUsed/>
    <w:locked/>
    <w:rsid w:val="00257EFB"/>
    <w:pPr>
      <w:spacing w:before="0" w:line="240" w:lineRule="auto"/>
      <w:ind w:left="880" w:hanging="220"/>
    </w:pPr>
  </w:style>
  <w:style w:type="paragraph" w:styleId="Index3">
    <w:name w:val="index 3"/>
    <w:basedOn w:val="Normal"/>
    <w:next w:val="Normal"/>
    <w:autoRedefine/>
    <w:uiPriority w:val="99"/>
    <w:semiHidden/>
    <w:unhideWhenUsed/>
    <w:locked/>
    <w:rsid w:val="00257EFB"/>
    <w:pPr>
      <w:spacing w:before="0" w:line="240" w:lineRule="auto"/>
      <w:ind w:left="660" w:hanging="220"/>
    </w:pPr>
  </w:style>
  <w:style w:type="character" w:customStyle="1" w:styleId="detail">
    <w:name w:val="detail"/>
    <w:basedOn w:val="DefaultParagraphFont"/>
    <w:rsid w:val="00257EFB"/>
  </w:style>
  <w:style w:type="table" w:styleId="TableGrid">
    <w:name w:val="Table Grid"/>
    <w:basedOn w:val="TableNormal"/>
    <w:uiPriority w:val="39"/>
    <w:locked/>
    <w:rsid w:val="00257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257EF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57E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57E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57EF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itaviBibliographySubheading1">
    <w:name w:val="Citavi Bibliography Subheading 1"/>
    <w:basedOn w:val="Heading2"/>
    <w:link w:val="CitaviBibliographySubheading1Char"/>
    <w:rsid w:val="001964B6"/>
    <w:pPr>
      <w:keepLines/>
      <w:numPr>
        <w:ilvl w:val="0"/>
        <w:numId w:val="0"/>
      </w:numPr>
      <w:spacing w:before="40" w:line="259" w:lineRule="auto"/>
      <w:jc w:val="left"/>
      <w:outlineLvl w:val="9"/>
    </w:pPr>
    <w:rPr>
      <w:rFonts w:asciiTheme="majorHAnsi" w:eastAsiaTheme="majorEastAsia" w:hAnsiTheme="majorHAnsi" w:cstheme="majorBidi"/>
      <w:b w:val="0"/>
      <w:bCs w:val="0"/>
      <w:iCs w:val="0"/>
      <w:color w:val="365F91" w:themeColor="accent1" w:themeShade="BF"/>
      <w:sz w:val="26"/>
      <w:szCs w:val="26"/>
      <w:lang w:val="en-US" w:eastAsia="en-US"/>
    </w:rPr>
  </w:style>
  <w:style w:type="character" w:customStyle="1" w:styleId="CitaviBibliographySubheading1Char">
    <w:name w:val="Citavi Bibliography Subheading 1 Char"/>
    <w:basedOn w:val="DefaultParagraphFont"/>
    <w:link w:val="CitaviBibliographySubheading1"/>
    <w:rsid w:val="001964B6"/>
    <w:rPr>
      <w:rFonts w:asciiTheme="majorHAnsi" w:eastAsiaTheme="majorEastAsia" w:hAnsiTheme="majorHAnsi" w:cstheme="majorBidi"/>
      <w:color w:val="365F91" w:themeColor="accent1" w:themeShade="BF"/>
      <w:sz w:val="26"/>
      <w:szCs w:val="26"/>
      <w:lang w:val="en-US" w:eastAsia="en-US"/>
    </w:rPr>
  </w:style>
  <w:style w:type="paragraph" w:customStyle="1" w:styleId="CitaviBibliographySubheading2">
    <w:name w:val="Citavi Bibliography Subheading 2"/>
    <w:basedOn w:val="Heading3"/>
    <w:link w:val="CitaviBibliographySubheading2Char"/>
    <w:rsid w:val="001964B6"/>
    <w:pPr>
      <w:keepLines/>
      <w:numPr>
        <w:ilvl w:val="0"/>
        <w:numId w:val="0"/>
      </w:numPr>
      <w:spacing w:before="40" w:line="259" w:lineRule="auto"/>
      <w:jc w:val="left"/>
      <w:outlineLvl w:val="9"/>
    </w:pPr>
    <w:rPr>
      <w:rFonts w:asciiTheme="majorHAnsi" w:eastAsiaTheme="majorEastAsia" w:hAnsiTheme="majorHAnsi" w:cstheme="majorBidi"/>
      <w:b w:val="0"/>
      <w:bCs w:val="0"/>
      <w:color w:val="243F60" w:themeColor="accent1" w:themeShade="7F"/>
      <w:szCs w:val="24"/>
      <w:lang w:val="en-US" w:eastAsia="en-US"/>
    </w:rPr>
  </w:style>
  <w:style w:type="character" w:customStyle="1" w:styleId="CitaviBibliographySubheading2Char">
    <w:name w:val="Citavi Bibliography Subheading 2 Char"/>
    <w:basedOn w:val="DefaultParagraphFont"/>
    <w:link w:val="CitaviBibliographySubheading2"/>
    <w:rsid w:val="001964B6"/>
    <w:rPr>
      <w:rFonts w:asciiTheme="majorHAnsi" w:eastAsiaTheme="majorEastAsia" w:hAnsiTheme="majorHAnsi" w:cstheme="majorBidi"/>
      <w:color w:val="243F60" w:themeColor="accent1" w:themeShade="7F"/>
      <w:sz w:val="24"/>
      <w:szCs w:val="24"/>
      <w:lang w:val="en-US" w:eastAsia="en-US"/>
    </w:rPr>
  </w:style>
  <w:style w:type="paragraph" w:customStyle="1" w:styleId="CitaviBibliographySubheading3">
    <w:name w:val="Citavi Bibliography Subheading 3"/>
    <w:basedOn w:val="Heading4"/>
    <w:link w:val="CitaviBibliographySubheading3Char"/>
    <w:rsid w:val="001964B6"/>
    <w:pPr>
      <w:keepLines/>
      <w:spacing w:before="40" w:line="259" w:lineRule="auto"/>
      <w:jc w:val="left"/>
      <w:outlineLvl w:val="9"/>
    </w:pPr>
    <w:rPr>
      <w:rFonts w:asciiTheme="majorHAnsi" w:eastAsiaTheme="majorEastAsia" w:hAnsiTheme="majorHAnsi" w:cstheme="majorBidi"/>
      <w:b/>
      <w:bCs w:val="0"/>
      <w:i w:val="0"/>
      <w:iCs/>
      <w:color w:val="365F91" w:themeColor="accent1" w:themeShade="BF"/>
      <w:szCs w:val="22"/>
      <w:lang w:val="en-US" w:eastAsia="en-US"/>
    </w:rPr>
  </w:style>
  <w:style w:type="character" w:customStyle="1" w:styleId="CitaviBibliographySubheading3Char">
    <w:name w:val="Citavi Bibliography Subheading 3 Char"/>
    <w:basedOn w:val="DefaultParagraphFont"/>
    <w:link w:val="CitaviBibliographySubheading3"/>
    <w:rsid w:val="001964B6"/>
    <w:rPr>
      <w:rFonts w:asciiTheme="majorHAnsi" w:eastAsiaTheme="majorEastAsia" w:hAnsiTheme="majorHAnsi" w:cstheme="majorBidi"/>
      <w:i/>
      <w:iCs/>
      <w:color w:val="365F91" w:themeColor="accent1" w:themeShade="BF"/>
      <w:lang w:val="en-US" w:eastAsia="en-US"/>
    </w:rPr>
  </w:style>
  <w:style w:type="paragraph" w:customStyle="1" w:styleId="CitaviBibliographySubheading4">
    <w:name w:val="Citavi Bibliography Subheading 4"/>
    <w:basedOn w:val="Heading5"/>
    <w:link w:val="CitaviBibliographySubheading4Char"/>
    <w:rsid w:val="001964B6"/>
    <w:pPr>
      <w:keepNext/>
      <w:keepLines/>
      <w:numPr>
        <w:ilvl w:val="0"/>
        <w:numId w:val="0"/>
      </w:numPr>
      <w:spacing w:before="40" w:after="0" w:line="259" w:lineRule="auto"/>
      <w:jc w:val="left"/>
      <w:outlineLvl w:val="9"/>
    </w:pPr>
    <w:rPr>
      <w:rFonts w:asciiTheme="majorHAnsi" w:eastAsiaTheme="majorEastAsia" w:hAnsiTheme="majorHAnsi" w:cstheme="majorBidi"/>
      <w:b w:val="0"/>
      <w:bCs w:val="0"/>
      <w:i w:val="0"/>
      <w:iCs w:val="0"/>
      <w:color w:val="365F91" w:themeColor="accent1" w:themeShade="BF"/>
      <w:sz w:val="22"/>
      <w:szCs w:val="22"/>
      <w:lang w:val="en-US" w:eastAsia="en-US"/>
    </w:rPr>
  </w:style>
  <w:style w:type="character" w:customStyle="1" w:styleId="CitaviBibliographySubheading4Char">
    <w:name w:val="Citavi Bibliography Subheading 4 Char"/>
    <w:basedOn w:val="DefaultParagraphFont"/>
    <w:link w:val="CitaviBibliographySubheading4"/>
    <w:rsid w:val="001964B6"/>
    <w:rPr>
      <w:rFonts w:asciiTheme="majorHAnsi" w:eastAsiaTheme="majorEastAsia" w:hAnsiTheme="majorHAnsi" w:cstheme="majorBidi"/>
      <w:color w:val="365F91" w:themeColor="accent1" w:themeShade="BF"/>
      <w:lang w:val="en-US" w:eastAsia="en-US"/>
    </w:rPr>
  </w:style>
  <w:style w:type="paragraph" w:customStyle="1" w:styleId="CitaviBibliographySubheading5">
    <w:name w:val="Citavi Bibliography Subheading 5"/>
    <w:basedOn w:val="Heading6"/>
    <w:link w:val="CitaviBibliographySubheading5Char"/>
    <w:rsid w:val="001964B6"/>
    <w:pPr>
      <w:keepNext/>
      <w:keepLines/>
      <w:numPr>
        <w:ilvl w:val="0"/>
        <w:numId w:val="0"/>
      </w:numPr>
      <w:spacing w:before="40" w:after="0" w:line="259" w:lineRule="auto"/>
      <w:jc w:val="left"/>
      <w:outlineLvl w:val="9"/>
    </w:pPr>
    <w:rPr>
      <w:rFonts w:asciiTheme="majorHAnsi" w:eastAsiaTheme="majorEastAsia" w:hAnsiTheme="majorHAnsi" w:cstheme="majorBidi"/>
      <w:b w:val="0"/>
      <w:bCs w:val="0"/>
      <w:color w:val="243F60" w:themeColor="accent1" w:themeShade="7F"/>
      <w:lang w:val="en-US" w:eastAsia="en-US"/>
    </w:rPr>
  </w:style>
  <w:style w:type="character" w:customStyle="1" w:styleId="CitaviBibliographySubheading5Char">
    <w:name w:val="Citavi Bibliography Subheading 5 Char"/>
    <w:basedOn w:val="DefaultParagraphFont"/>
    <w:link w:val="CitaviBibliographySubheading5"/>
    <w:rsid w:val="001964B6"/>
    <w:rPr>
      <w:rFonts w:asciiTheme="majorHAnsi" w:eastAsiaTheme="majorEastAsia" w:hAnsiTheme="majorHAnsi" w:cstheme="majorBidi"/>
      <w:color w:val="243F60" w:themeColor="accent1" w:themeShade="7F"/>
      <w:lang w:val="en-US" w:eastAsia="en-US"/>
    </w:rPr>
  </w:style>
  <w:style w:type="paragraph" w:customStyle="1" w:styleId="CitaviBibliographySubheading6">
    <w:name w:val="Citavi Bibliography Subheading 6"/>
    <w:basedOn w:val="Heading7"/>
    <w:link w:val="CitaviBibliographySubheading6Char"/>
    <w:rsid w:val="001964B6"/>
    <w:pPr>
      <w:keepNext/>
      <w:keepLines/>
      <w:numPr>
        <w:ilvl w:val="0"/>
        <w:numId w:val="0"/>
      </w:numPr>
      <w:spacing w:before="40" w:after="0" w:line="259" w:lineRule="auto"/>
      <w:jc w:val="left"/>
      <w:outlineLvl w:val="9"/>
    </w:pPr>
    <w:rPr>
      <w:rFonts w:asciiTheme="majorHAnsi" w:eastAsiaTheme="majorEastAsia" w:hAnsiTheme="majorHAnsi" w:cstheme="majorBidi"/>
      <w:i/>
      <w:iCs/>
      <w:color w:val="243F60" w:themeColor="accent1" w:themeShade="7F"/>
      <w:sz w:val="22"/>
      <w:szCs w:val="22"/>
      <w:lang w:val="en-US" w:eastAsia="en-US"/>
    </w:rPr>
  </w:style>
  <w:style w:type="character" w:customStyle="1" w:styleId="CitaviBibliographySubheading6Char">
    <w:name w:val="Citavi Bibliography Subheading 6 Char"/>
    <w:basedOn w:val="DefaultParagraphFont"/>
    <w:link w:val="CitaviBibliographySubheading6"/>
    <w:rsid w:val="001964B6"/>
    <w:rPr>
      <w:rFonts w:asciiTheme="majorHAnsi" w:eastAsiaTheme="majorEastAsia" w:hAnsiTheme="majorHAnsi" w:cstheme="majorBidi"/>
      <w:i/>
      <w:iCs/>
      <w:color w:val="243F60" w:themeColor="accent1" w:themeShade="7F"/>
      <w:lang w:val="en-US" w:eastAsia="en-US"/>
    </w:rPr>
  </w:style>
  <w:style w:type="paragraph" w:customStyle="1" w:styleId="CitaviBibliographySubheading7">
    <w:name w:val="Citavi Bibliography Subheading 7"/>
    <w:basedOn w:val="Heading8"/>
    <w:link w:val="CitaviBibliographySubheading7Char"/>
    <w:rsid w:val="001964B6"/>
    <w:pPr>
      <w:keepNext/>
      <w:keepLines/>
      <w:numPr>
        <w:ilvl w:val="0"/>
        <w:numId w:val="0"/>
      </w:numPr>
      <w:spacing w:before="40" w:after="0" w:line="259" w:lineRule="auto"/>
      <w:jc w:val="left"/>
      <w:outlineLvl w:val="9"/>
    </w:pPr>
    <w:rPr>
      <w:rFonts w:asciiTheme="majorHAnsi" w:eastAsiaTheme="majorEastAsia" w:hAnsiTheme="majorHAnsi" w:cstheme="majorBidi"/>
      <w:i w:val="0"/>
      <w:iCs w:val="0"/>
      <w:color w:val="272727" w:themeColor="text1" w:themeTint="D8"/>
      <w:sz w:val="21"/>
      <w:szCs w:val="21"/>
      <w:lang w:val="en-US" w:eastAsia="en-US"/>
    </w:rPr>
  </w:style>
  <w:style w:type="character" w:customStyle="1" w:styleId="CitaviBibliographySubheading7Char">
    <w:name w:val="Citavi Bibliography Subheading 7 Char"/>
    <w:basedOn w:val="DefaultParagraphFont"/>
    <w:link w:val="CitaviBibliographySubheading7"/>
    <w:rsid w:val="001964B6"/>
    <w:rPr>
      <w:rFonts w:asciiTheme="majorHAnsi" w:eastAsiaTheme="majorEastAsia" w:hAnsiTheme="majorHAnsi" w:cstheme="majorBidi"/>
      <w:color w:val="272727" w:themeColor="text1" w:themeTint="D8"/>
      <w:sz w:val="21"/>
      <w:szCs w:val="21"/>
      <w:lang w:val="en-US" w:eastAsia="en-US"/>
    </w:rPr>
  </w:style>
  <w:style w:type="paragraph" w:customStyle="1" w:styleId="CitaviBibliographySubheading8">
    <w:name w:val="Citavi Bibliography Subheading 8"/>
    <w:basedOn w:val="Heading9"/>
    <w:link w:val="CitaviBibliographySubheading8Char"/>
    <w:rsid w:val="001964B6"/>
    <w:pPr>
      <w:keepNext/>
      <w:keepLines/>
      <w:numPr>
        <w:ilvl w:val="0"/>
        <w:numId w:val="0"/>
      </w:numPr>
      <w:spacing w:before="40" w:after="0" w:line="259" w:lineRule="auto"/>
      <w:jc w:val="left"/>
      <w:outlineLvl w:val="9"/>
    </w:pPr>
    <w:rPr>
      <w:rFonts w:asciiTheme="majorHAnsi" w:eastAsiaTheme="majorEastAsia" w:hAnsiTheme="majorHAnsi" w:cstheme="majorBidi"/>
      <w:i/>
      <w:iCs/>
      <w:color w:val="272727" w:themeColor="text1" w:themeTint="D8"/>
      <w:sz w:val="21"/>
      <w:szCs w:val="21"/>
      <w:lang w:val="en-US" w:eastAsia="en-US"/>
    </w:rPr>
  </w:style>
  <w:style w:type="character" w:customStyle="1" w:styleId="CitaviBibliographySubheading8Char">
    <w:name w:val="Citavi Bibliography Subheading 8 Char"/>
    <w:basedOn w:val="DefaultParagraphFont"/>
    <w:link w:val="CitaviBibliographySubheading8"/>
    <w:rsid w:val="001964B6"/>
    <w:rPr>
      <w:rFonts w:asciiTheme="majorHAnsi" w:eastAsiaTheme="majorEastAsia" w:hAnsiTheme="majorHAnsi" w:cstheme="majorBidi"/>
      <w:i/>
      <w:iCs/>
      <w:color w:val="272727" w:themeColor="text1" w:themeTint="D8"/>
      <w:sz w:val="21"/>
      <w:szCs w:val="21"/>
      <w:lang w:val="en-US" w:eastAsia="en-US"/>
    </w:rPr>
  </w:style>
  <w:style w:type="character" w:customStyle="1" w:styleId="shorttext">
    <w:name w:val="short_text"/>
    <w:basedOn w:val="DefaultParagraphFont"/>
    <w:rsid w:val="009772FF"/>
  </w:style>
  <w:style w:type="paragraph" w:styleId="Revision">
    <w:name w:val="Revision"/>
    <w:hidden/>
    <w:uiPriority w:val="99"/>
    <w:semiHidden/>
    <w:rsid w:val="005D7D05"/>
    <w:rPr>
      <w:szCs w:val="24"/>
      <w:lang w:val="en-GB" w:eastAsia="de-DE"/>
    </w:rPr>
  </w:style>
  <w:style w:type="paragraph" w:customStyle="1" w:styleId="textbox">
    <w:name w:val="textbox"/>
    <w:basedOn w:val="Normal"/>
    <w:rsid w:val="00AF3F59"/>
    <w:pPr>
      <w:spacing w:before="100" w:beforeAutospacing="1" w:after="100" w:afterAutospacing="1" w:line="240" w:lineRule="auto"/>
      <w:jc w:val="left"/>
    </w:pPr>
    <w:rPr>
      <w:sz w:val="24"/>
    </w:rPr>
  </w:style>
  <w:style w:type="paragraph" w:customStyle="1" w:styleId="HeadingstyleA">
    <w:name w:val="Heading style A"/>
    <w:basedOn w:val="Normal"/>
    <w:next w:val="Normal"/>
    <w:qFormat/>
    <w:rsid w:val="004679E5"/>
    <w:pPr>
      <w:spacing w:before="600" w:after="240" w:line="240" w:lineRule="auto"/>
      <w:jc w:val="left"/>
    </w:pPr>
    <w:rPr>
      <w:b/>
      <w:sz w:val="24"/>
      <w:szCs w:val="20"/>
      <w:lang w:eastAsia="en-US"/>
    </w:rPr>
  </w:style>
  <w:style w:type="paragraph" w:customStyle="1" w:styleId="BodyTextRDM">
    <w:name w:val="Body Text R&amp;DM"/>
    <w:basedOn w:val="Normal"/>
    <w:rsid w:val="00657B0B"/>
    <w:pPr>
      <w:widowControl w:val="0"/>
      <w:spacing w:before="0" w:line="240" w:lineRule="exact"/>
      <w:ind w:firstLine="227"/>
    </w:pPr>
    <w:rPr>
      <w:sz w:val="20"/>
      <w:szCs w:val="20"/>
      <w:lang w:eastAsia="en-US"/>
    </w:rPr>
  </w:style>
  <w:style w:type="paragraph" w:customStyle="1" w:styleId="berschrift11">
    <w:name w:val="Überschrift 11"/>
    <w:basedOn w:val="Normal"/>
    <w:next w:val="Text"/>
    <w:rsid w:val="00986FF2"/>
    <w:pPr>
      <w:spacing w:before="0" w:after="240" w:line="480" w:lineRule="auto"/>
      <w:jc w:val="left"/>
    </w:pPr>
    <w:rPr>
      <w:b/>
      <w:sz w:val="36"/>
      <w:szCs w:val="20"/>
      <w:lang w:eastAsia="ko-KR"/>
    </w:rPr>
  </w:style>
  <w:style w:type="paragraph" w:customStyle="1" w:styleId="Text">
    <w:name w:val="Text"/>
    <w:basedOn w:val="Normal"/>
    <w:rsid w:val="00986FF2"/>
    <w:pPr>
      <w:spacing w:before="0" w:after="120" w:line="480" w:lineRule="auto"/>
      <w:jc w:val="left"/>
    </w:pPr>
    <w:rPr>
      <w:sz w:val="20"/>
      <w:szCs w:val="20"/>
      <w:lang w:val="en-US" w:eastAsia="ko-KR"/>
    </w:rPr>
  </w:style>
  <w:style w:type="paragraph" w:customStyle="1" w:styleId="heading10">
    <w:name w:val="heading1"/>
    <w:basedOn w:val="Heading1"/>
    <w:next w:val="Normal"/>
    <w:rsid w:val="00986FF2"/>
    <w:pPr>
      <w:keepLines/>
      <w:numPr>
        <w:numId w:val="18"/>
      </w:numPr>
      <w:suppressAutoHyphens/>
      <w:overflowPunct w:val="0"/>
      <w:autoSpaceDE w:val="0"/>
      <w:autoSpaceDN w:val="0"/>
      <w:adjustRightInd w:val="0"/>
      <w:spacing w:before="360" w:after="120" w:line="300" w:lineRule="atLeast"/>
      <w:jc w:val="left"/>
      <w:textAlignment w:val="baseline"/>
    </w:pPr>
    <w:rPr>
      <w:color w:val="auto"/>
      <w:kern w:val="0"/>
      <w:sz w:val="24"/>
      <w:szCs w:val="20"/>
      <w:lang w:val="en-US" w:eastAsia="de-DE"/>
    </w:rPr>
  </w:style>
  <w:style w:type="paragraph" w:customStyle="1" w:styleId="heading20">
    <w:name w:val="heading2"/>
    <w:basedOn w:val="Heading2"/>
    <w:next w:val="Normal"/>
    <w:rsid w:val="00986FF2"/>
    <w:pPr>
      <w:keepLines/>
      <w:numPr>
        <w:numId w:val="18"/>
      </w:numPr>
      <w:suppressAutoHyphens/>
      <w:overflowPunct w:val="0"/>
      <w:autoSpaceDE w:val="0"/>
      <w:autoSpaceDN w:val="0"/>
      <w:adjustRightInd w:val="0"/>
      <w:spacing w:before="360" w:after="160" w:line="240" w:lineRule="atLeast"/>
      <w:textAlignment w:val="baseline"/>
    </w:pPr>
    <w:rPr>
      <w:rFonts w:cs="Times New Roman"/>
      <w:sz w:val="20"/>
      <w:szCs w:val="20"/>
      <w:lang w:val="en-US" w:eastAsia="de-DE"/>
    </w:rPr>
  </w:style>
  <w:style w:type="numbering" w:customStyle="1" w:styleId="headings">
    <w:name w:val="headings"/>
    <w:basedOn w:val="NoList"/>
    <w:rsid w:val="00986FF2"/>
    <w:pPr>
      <w:numPr>
        <w:numId w:val="18"/>
      </w:numPr>
    </w:pPr>
  </w:style>
  <w:style w:type="paragraph" w:customStyle="1" w:styleId="Tabelle">
    <w:name w:val="Tabelle"/>
    <w:basedOn w:val="Normal"/>
    <w:link w:val="TabelleZchn"/>
    <w:qFormat/>
    <w:rsid w:val="00D03DC9"/>
    <w:pPr>
      <w:spacing w:before="0" w:line="264" w:lineRule="auto"/>
      <w:contextualSpacing/>
      <w:jc w:val="center"/>
    </w:pPr>
    <w:rPr>
      <w:rFonts w:eastAsia="SimSun" w:cstheme="minorHAnsi"/>
      <w:color w:val="000000"/>
      <w:sz w:val="20"/>
      <w:szCs w:val="20"/>
      <w:lang w:val="en-US" w:eastAsia="zh-CN"/>
    </w:rPr>
  </w:style>
  <w:style w:type="character" w:customStyle="1" w:styleId="TabelleZchn">
    <w:name w:val="Tabelle Zchn"/>
    <w:basedOn w:val="DefaultParagraphFont"/>
    <w:link w:val="Tabelle"/>
    <w:rsid w:val="00D03DC9"/>
    <w:rPr>
      <w:rFonts w:eastAsia="SimSun" w:cstheme="minorHAnsi"/>
      <w:color w:val="000000"/>
      <w:sz w:val="20"/>
      <w:szCs w:val="20"/>
      <w:lang w:val="en-US" w:eastAsia="zh-CN"/>
    </w:rPr>
  </w:style>
  <w:style w:type="paragraph" w:customStyle="1" w:styleId="bulletitem">
    <w:name w:val="bulletitem"/>
    <w:basedOn w:val="Normal"/>
    <w:qFormat/>
    <w:rsid w:val="009F7943"/>
    <w:pPr>
      <w:numPr>
        <w:numId w:val="20"/>
      </w:numPr>
      <w:overflowPunct w:val="0"/>
      <w:autoSpaceDE w:val="0"/>
      <w:autoSpaceDN w:val="0"/>
      <w:adjustRightInd w:val="0"/>
      <w:spacing w:before="160" w:after="240" w:line="240" w:lineRule="atLeast"/>
      <w:textAlignment w:val="baseline"/>
    </w:pPr>
    <w:rPr>
      <w:sz w:val="22"/>
      <w:szCs w:val="20"/>
      <w:lang w:val="en-US" w:eastAsia="de-DE"/>
    </w:rPr>
  </w:style>
  <w:style w:type="numbering" w:customStyle="1" w:styleId="itemization1">
    <w:name w:val="itemization1"/>
    <w:basedOn w:val="NoList"/>
    <w:rsid w:val="009F7943"/>
    <w:pPr>
      <w:numPr>
        <w:numId w:val="20"/>
      </w:numPr>
    </w:pPr>
  </w:style>
  <w:style w:type="numbering" w:styleId="111111">
    <w:name w:val="Outline List 2"/>
    <w:basedOn w:val="NoList"/>
    <w:uiPriority w:val="99"/>
    <w:semiHidden/>
    <w:unhideWhenUsed/>
    <w:locked/>
    <w:rsid w:val="000A090B"/>
    <w:pPr>
      <w:numPr>
        <w:numId w:val="25"/>
      </w:numPr>
    </w:pPr>
  </w:style>
  <w:style w:type="character" w:customStyle="1" w:styleId="apple-tab-span">
    <w:name w:val="apple-tab-span"/>
    <w:basedOn w:val="DefaultParagraphFont"/>
    <w:rsid w:val="004450DE"/>
  </w:style>
  <w:style w:type="numbering" w:customStyle="1" w:styleId="Style8import">
    <w:name w:val="Style 8 importé"/>
    <w:rsid w:val="004450DE"/>
    <w:pPr>
      <w:numPr>
        <w:numId w:val="28"/>
      </w:numPr>
    </w:pPr>
  </w:style>
  <w:style w:type="character" w:customStyle="1" w:styleId="Hyperlink3">
    <w:name w:val="Hyperlink.3"/>
    <w:basedOn w:val="DefaultParagraphFont"/>
    <w:rsid w:val="004450DE"/>
    <w:rPr>
      <w:rFonts w:ascii="Times New Roman" w:eastAsia="Times New Roman" w:hAnsi="Times New Roman" w:cs="Times New Roman"/>
      <w:color w:val="0563C1"/>
      <w:u w:val="none" w:color="0563C1"/>
    </w:rPr>
  </w:style>
  <w:style w:type="numbering" w:customStyle="1" w:styleId="Style12import">
    <w:name w:val="Style 12 importé"/>
    <w:rsid w:val="004450DE"/>
    <w:pPr>
      <w:numPr>
        <w:numId w:val="29"/>
      </w:numPr>
    </w:pPr>
  </w:style>
  <w:style w:type="numbering" w:customStyle="1" w:styleId="Style3import">
    <w:name w:val="Style 3 importé"/>
    <w:rsid w:val="004450DE"/>
    <w:pPr>
      <w:numPr>
        <w:numId w:val="30"/>
      </w:numPr>
    </w:pPr>
  </w:style>
  <w:style w:type="character" w:customStyle="1" w:styleId="Hyperlink4">
    <w:name w:val="Hyperlink.4"/>
    <w:basedOn w:val="DefaultParagraphFont"/>
    <w:rsid w:val="004450DE"/>
    <w:rPr>
      <w:rFonts w:ascii="Times New Roman" w:eastAsia="Times New Roman" w:hAnsi="Times New Roman" w:cs="Times New Roman"/>
      <w:color w:val="EA5A43"/>
      <w:u w:val="none" w:color="0563C1"/>
    </w:rPr>
  </w:style>
  <w:style w:type="character" w:customStyle="1" w:styleId="Hyperlink5">
    <w:name w:val="Hyperlink.5"/>
    <w:basedOn w:val="DefaultParagraphFont"/>
    <w:rsid w:val="004450DE"/>
    <w:rPr>
      <w:rFonts w:ascii="Times New Roman" w:eastAsia="Times New Roman" w:hAnsi="Times New Roman" w:cs="Times New Roman"/>
      <w:color w:val="EA5A43"/>
      <w:u w:val="single" w:color="0563C1"/>
    </w:rPr>
  </w:style>
  <w:style w:type="character" w:customStyle="1" w:styleId="Hyperlink0">
    <w:name w:val="Hyperlink.0"/>
    <w:basedOn w:val="DefaultParagraphFont"/>
    <w:rsid w:val="004450DE"/>
    <w:rPr>
      <w:rFonts w:ascii="Times New Roman" w:eastAsia="Times New Roman" w:hAnsi="Times New Roman" w:cs="Times New Roman"/>
      <w:color w:val="0563C1"/>
      <w:u w:val="single" w:color="0563C1"/>
    </w:rPr>
  </w:style>
  <w:style w:type="character" w:customStyle="1" w:styleId="Lien">
    <w:name w:val="Lien"/>
    <w:rsid w:val="004450DE"/>
    <w:rPr>
      <w:color w:val="0563C1"/>
      <w:u w:val="single" w:color="0563C1"/>
    </w:rPr>
  </w:style>
  <w:style w:type="paragraph" w:customStyle="1" w:styleId="xl65">
    <w:name w:val="xl65"/>
    <w:basedOn w:val="Normal"/>
    <w:rsid w:val="004450DE"/>
    <w:pPr>
      <w:shd w:val="clear" w:color="000000" w:fill="C65911"/>
      <w:spacing w:before="100" w:beforeAutospacing="1" w:after="100" w:afterAutospacing="1" w:line="240" w:lineRule="auto"/>
      <w:jc w:val="left"/>
    </w:pPr>
    <w:rPr>
      <w:rFonts w:eastAsiaTheme="minorHAnsi"/>
      <w:sz w:val="22"/>
      <w:lang w:val="en-US" w:eastAsia="en-US"/>
    </w:rPr>
  </w:style>
  <w:style w:type="paragraph" w:customStyle="1" w:styleId="xl66">
    <w:name w:val="xl66"/>
    <w:basedOn w:val="Normal"/>
    <w:rsid w:val="004450DE"/>
    <w:pPr>
      <w:spacing w:before="100" w:beforeAutospacing="1" w:after="100" w:afterAutospacing="1" w:line="240" w:lineRule="auto"/>
      <w:jc w:val="left"/>
    </w:pPr>
    <w:rPr>
      <w:rFonts w:eastAsiaTheme="minorHAnsi"/>
      <w:b/>
      <w:bCs/>
      <w:sz w:val="22"/>
      <w:lang w:val="en-US" w:eastAsia="en-US"/>
    </w:rPr>
  </w:style>
  <w:style w:type="paragraph" w:customStyle="1" w:styleId="xl67">
    <w:name w:val="xl67"/>
    <w:basedOn w:val="Normal"/>
    <w:rsid w:val="00445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heme="minorHAnsi"/>
      <w:b/>
      <w:bCs/>
      <w:sz w:val="22"/>
      <w:lang w:val="en-US" w:eastAsia="en-US"/>
    </w:rPr>
  </w:style>
  <w:style w:type="paragraph" w:customStyle="1" w:styleId="xl68">
    <w:name w:val="xl68"/>
    <w:basedOn w:val="Normal"/>
    <w:rsid w:val="00445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heme="minorHAnsi"/>
      <w:sz w:val="22"/>
      <w:lang w:val="en-US" w:eastAsia="en-US"/>
    </w:rPr>
  </w:style>
  <w:style w:type="paragraph" w:customStyle="1" w:styleId="xl69">
    <w:name w:val="xl69"/>
    <w:basedOn w:val="Normal"/>
    <w:rsid w:val="00445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heme="minorHAnsi"/>
      <w:color w:val="0563C1"/>
      <w:sz w:val="22"/>
      <w:u w:val="single"/>
      <w:lang w:val="en-US" w:eastAsia="en-US"/>
    </w:rPr>
  </w:style>
  <w:style w:type="paragraph" w:customStyle="1" w:styleId="xl70">
    <w:name w:val="xl70"/>
    <w:basedOn w:val="Normal"/>
    <w:rsid w:val="00445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alibri" w:eastAsiaTheme="minorHAnsi" w:hAnsi="Calibri"/>
      <w:i/>
      <w:iCs/>
      <w:sz w:val="22"/>
      <w:lang w:val="en-US" w:eastAsia="en-US"/>
    </w:rPr>
  </w:style>
  <w:style w:type="paragraph" w:customStyle="1" w:styleId="xl71">
    <w:name w:val="xl71"/>
    <w:basedOn w:val="Normal"/>
    <w:rsid w:val="004450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heme="minorHAnsi"/>
      <w:color w:val="FF0000"/>
      <w:sz w:val="22"/>
      <w:lang w:val="en-US" w:eastAsia="en-US"/>
    </w:rPr>
  </w:style>
  <w:style w:type="character" w:customStyle="1" w:styleId="UnresolvedMention1">
    <w:name w:val="Unresolved Mention1"/>
    <w:basedOn w:val="DefaultParagraphFont"/>
    <w:uiPriority w:val="99"/>
    <w:semiHidden/>
    <w:unhideWhenUsed/>
    <w:rsid w:val="00445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0242">
      <w:bodyDiv w:val="1"/>
      <w:marLeft w:val="0"/>
      <w:marRight w:val="0"/>
      <w:marTop w:val="0"/>
      <w:marBottom w:val="0"/>
      <w:divBdr>
        <w:top w:val="none" w:sz="0" w:space="0" w:color="auto"/>
        <w:left w:val="none" w:sz="0" w:space="0" w:color="auto"/>
        <w:bottom w:val="none" w:sz="0" w:space="0" w:color="auto"/>
        <w:right w:val="none" w:sz="0" w:space="0" w:color="auto"/>
      </w:divBdr>
    </w:div>
    <w:div w:id="19743042">
      <w:bodyDiv w:val="1"/>
      <w:marLeft w:val="0"/>
      <w:marRight w:val="0"/>
      <w:marTop w:val="0"/>
      <w:marBottom w:val="0"/>
      <w:divBdr>
        <w:top w:val="none" w:sz="0" w:space="0" w:color="auto"/>
        <w:left w:val="none" w:sz="0" w:space="0" w:color="auto"/>
        <w:bottom w:val="none" w:sz="0" w:space="0" w:color="auto"/>
        <w:right w:val="none" w:sz="0" w:space="0" w:color="auto"/>
      </w:divBdr>
    </w:div>
    <w:div w:id="47340944">
      <w:bodyDiv w:val="1"/>
      <w:marLeft w:val="0"/>
      <w:marRight w:val="0"/>
      <w:marTop w:val="0"/>
      <w:marBottom w:val="0"/>
      <w:divBdr>
        <w:top w:val="none" w:sz="0" w:space="0" w:color="auto"/>
        <w:left w:val="none" w:sz="0" w:space="0" w:color="auto"/>
        <w:bottom w:val="none" w:sz="0" w:space="0" w:color="auto"/>
        <w:right w:val="none" w:sz="0" w:space="0" w:color="auto"/>
      </w:divBdr>
      <w:divsChild>
        <w:div w:id="340858731">
          <w:marLeft w:val="0"/>
          <w:marRight w:val="0"/>
          <w:marTop w:val="0"/>
          <w:marBottom w:val="0"/>
          <w:divBdr>
            <w:top w:val="none" w:sz="0" w:space="0" w:color="auto"/>
            <w:left w:val="none" w:sz="0" w:space="0" w:color="auto"/>
            <w:bottom w:val="none" w:sz="0" w:space="0" w:color="auto"/>
            <w:right w:val="none" w:sz="0" w:space="0" w:color="auto"/>
          </w:divBdr>
          <w:divsChild>
            <w:div w:id="2016608737">
              <w:marLeft w:val="0"/>
              <w:marRight w:val="0"/>
              <w:marTop w:val="0"/>
              <w:marBottom w:val="0"/>
              <w:divBdr>
                <w:top w:val="none" w:sz="0" w:space="0" w:color="auto"/>
                <w:left w:val="none" w:sz="0" w:space="0" w:color="auto"/>
                <w:bottom w:val="none" w:sz="0" w:space="0" w:color="auto"/>
                <w:right w:val="none" w:sz="0" w:space="0" w:color="auto"/>
              </w:divBdr>
              <w:divsChild>
                <w:div w:id="1154837368">
                  <w:marLeft w:val="0"/>
                  <w:marRight w:val="0"/>
                  <w:marTop w:val="0"/>
                  <w:marBottom w:val="0"/>
                  <w:divBdr>
                    <w:top w:val="none" w:sz="0" w:space="0" w:color="auto"/>
                    <w:left w:val="none" w:sz="0" w:space="0" w:color="auto"/>
                    <w:bottom w:val="none" w:sz="0" w:space="0" w:color="auto"/>
                    <w:right w:val="none" w:sz="0" w:space="0" w:color="auto"/>
                  </w:divBdr>
                  <w:divsChild>
                    <w:div w:id="846214740">
                      <w:marLeft w:val="-225"/>
                      <w:marRight w:val="-225"/>
                      <w:marTop w:val="0"/>
                      <w:marBottom w:val="300"/>
                      <w:divBdr>
                        <w:top w:val="none" w:sz="0" w:space="0" w:color="auto"/>
                        <w:left w:val="none" w:sz="0" w:space="0" w:color="auto"/>
                        <w:bottom w:val="none" w:sz="0" w:space="0" w:color="auto"/>
                        <w:right w:val="none" w:sz="0" w:space="0" w:color="auto"/>
                      </w:divBdr>
                      <w:divsChild>
                        <w:div w:id="870729314">
                          <w:marLeft w:val="0"/>
                          <w:marRight w:val="0"/>
                          <w:marTop w:val="0"/>
                          <w:marBottom w:val="0"/>
                          <w:divBdr>
                            <w:top w:val="none" w:sz="0" w:space="0" w:color="auto"/>
                            <w:left w:val="none" w:sz="0" w:space="0" w:color="auto"/>
                            <w:bottom w:val="none" w:sz="0" w:space="0" w:color="auto"/>
                            <w:right w:val="none" w:sz="0" w:space="0" w:color="auto"/>
                          </w:divBdr>
                          <w:divsChild>
                            <w:div w:id="90587856">
                              <w:marLeft w:val="0"/>
                              <w:marRight w:val="0"/>
                              <w:marTop w:val="150"/>
                              <w:marBottom w:val="75"/>
                              <w:divBdr>
                                <w:top w:val="single" w:sz="6" w:space="4" w:color="E47618"/>
                                <w:left w:val="single" w:sz="6" w:space="8" w:color="E47618"/>
                                <w:bottom w:val="single" w:sz="6" w:space="4" w:color="E47618"/>
                                <w:right w:val="single" w:sz="6" w:space="8" w:color="E47618"/>
                              </w:divBdr>
                            </w:div>
                          </w:divsChild>
                        </w:div>
                      </w:divsChild>
                    </w:div>
                  </w:divsChild>
                </w:div>
              </w:divsChild>
            </w:div>
          </w:divsChild>
        </w:div>
        <w:div w:id="1412696742">
          <w:marLeft w:val="0"/>
          <w:marRight w:val="0"/>
          <w:marTop w:val="0"/>
          <w:marBottom w:val="0"/>
          <w:divBdr>
            <w:top w:val="none" w:sz="0" w:space="0" w:color="auto"/>
            <w:left w:val="none" w:sz="0" w:space="0" w:color="auto"/>
            <w:bottom w:val="none" w:sz="0" w:space="0" w:color="auto"/>
            <w:right w:val="none" w:sz="0" w:space="0" w:color="auto"/>
          </w:divBdr>
          <w:divsChild>
            <w:div w:id="1177115340">
              <w:marLeft w:val="0"/>
              <w:marRight w:val="0"/>
              <w:marTop w:val="225"/>
              <w:marBottom w:val="0"/>
              <w:divBdr>
                <w:top w:val="none" w:sz="0" w:space="0" w:color="auto"/>
                <w:left w:val="none" w:sz="0" w:space="0" w:color="auto"/>
                <w:bottom w:val="none" w:sz="0" w:space="0" w:color="auto"/>
                <w:right w:val="none" w:sz="0" w:space="0" w:color="auto"/>
              </w:divBdr>
              <w:divsChild>
                <w:div w:id="2009284861">
                  <w:marLeft w:val="0"/>
                  <w:marRight w:val="0"/>
                  <w:marTop w:val="0"/>
                  <w:marBottom w:val="0"/>
                  <w:divBdr>
                    <w:top w:val="single" w:sz="6" w:space="0" w:color="E8E8E8"/>
                    <w:left w:val="single" w:sz="6" w:space="11" w:color="E8E8E8"/>
                    <w:bottom w:val="single" w:sz="6" w:space="0" w:color="E8E8E8"/>
                    <w:right w:val="single" w:sz="6" w:space="11" w:color="E8E8E8"/>
                  </w:divBdr>
                  <w:divsChild>
                    <w:div w:id="186924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71964">
      <w:bodyDiv w:val="1"/>
      <w:marLeft w:val="0"/>
      <w:marRight w:val="0"/>
      <w:marTop w:val="0"/>
      <w:marBottom w:val="0"/>
      <w:divBdr>
        <w:top w:val="none" w:sz="0" w:space="0" w:color="auto"/>
        <w:left w:val="none" w:sz="0" w:space="0" w:color="auto"/>
        <w:bottom w:val="none" w:sz="0" w:space="0" w:color="auto"/>
        <w:right w:val="none" w:sz="0" w:space="0" w:color="auto"/>
      </w:divBdr>
    </w:div>
    <w:div w:id="143936641">
      <w:bodyDiv w:val="1"/>
      <w:marLeft w:val="0"/>
      <w:marRight w:val="0"/>
      <w:marTop w:val="0"/>
      <w:marBottom w:val="0"/>
      <w:divBdr>
        <w:top w:val="none" w:sz="0" w:space="0" w:color="auto"/>
        <w:left w:val="none" w:sz="0" w:space="0" w:color="auto"/>
        <w:bottom w:val="none" w:sz="0" w:space="0" w:color="auto"/>
        <w:right w:val="none" w:sz="0" w:space="0" w:color="auto"/>
      </w:divBdr>
      <w:divsChild>
        <w:div w:id="1071200290">
          <w:marLeft w:val="360"/>
          <w:marRight w:val="0"/>
          <w:marTop w:val="0"/>
          <w:marBottom w:val="0"/>
          <w:divBdr>
            <w:top w:val="none" w:sz="0" w:space="0" w:color="auto"/>
            <w:left w:val="none" w:sz="0" w:space="0" w:color="auto"/>
            <w:bottom w:val="none" w:sz="0" w:space="0" w:color="auto"/>
            <w:right w:val="none" w:sz="0" w:space="0" w:color="auto"/>
          </w:divBdr>
        </w:div>
      </w:divsChild>
    </w:div>
    <w:div w:id="163017827">
      <w:bodyDiv w:val="1"/>
      <w:marLeft w:val="0"/>
      <w:marRight w:val="0"/>
      <w:marTop w:val="0"/>
      <w:marBottom w:val="0"/>
      <w:divBdr>
        <w:top w:val="none" w:sz="0" w:space="0" w:color="auto"/>
        <w:left w:val="none" w:sz="0" w:space="0" w:color="auto"/>
        <w:bottom w:val="none" w:sz="0" w:space="0" w:color="auto"/>
        <w:right w:val="none" w:sz="0" w:space="0" w:color="auto"/>
      </w:divBdr>
    </w:div>
    <w:div w:id="187378246">
      <w:bodyDiv w:val="1"/>
      <w:marLeft w:val="0"/>
      <w:marRight w:val="0"/>
      <w:marTop w:val="0"/>
      <w:marBottom w:val="0"/>
      <w:divBdr>
        <w:top w:val="none" w:sz="0" w:space="0" w:color="auto"/>
        <w:left w:val="none" w:sz="0" w:space="0" w:color="auto"/>
        <w:bottom w:val="none" w:sz="0" w:space="0" w:color="auto"/>
        <w:right w:val="none" w:sz="0" w:space="0" w:color="auto"/>
      </w:divBdr>
    </w:div>
    <w:div w:id="187914014">
      <w:bodyDiv w:val="1"/>
      <w:marLeft w:val="0"/>
      <w:marRight w:val="0"/>
      <w:marTop w:val="0"/>
      <w:marBottom w:val="0"/>
      <w:divBdr>
        <w:top w:val="none" w:sz="0" w:space="0" w:color="auto"/>
        <w:left w:val="none" w:sz="0" w:space="0" w:color="auto"/>
        <w:bottom w:val="none" w:sz="0" w:space="0" w:color="auto"/>
        <w:right w:val="none" w:sz="0" w:space="0" w:color="auto"/>
      </w:divBdr>
    </w:div>
    <w:div w:id="191504090">
      <w:bodyDiv w:val="1"/>
      <w:marLeft w:val="0"/>
      <w:marRight w:val="0"/>
      <w:marTop w:val="0"/>
      <w:marBottom w:val="0"/>
      <w:divBdr>
        <w:top w:val="none" w:sz="0" w:space="0" w:color="auto"/>
        <w:left w:val="none" w:sz="0" w:space="0" w:color="auto"/>
        <w:bottom w:val="none" w:sz="0" w:space="0" w:color="auto"/>
        <w:right w:val="none" w:sz="0" w:space="0" w:color="auto"/>
      </w:divBdr>
    </w:div>
    <w:div w:id="193811382">
      <w:bodyDiv w:val="1"/>
      <w:marLeft w:val="0"/>
      <w:marRight w:val="0"/>
      <w:marTop w:val="0"/>
      <w:marBottom w:val="0"/>
      <w:divBdr>
        <w:top w:val="none" w:sz="0" w:space="0" w:color="auto"/>
        <w:left w:val="none" w:sz="0" w:space="0" w:color="auto"/>
        <w:bottom w:val="none" w:sz="0" w:space="0" w:color="auto"/>
        <w:right w:val="none" w:sz="0" w:space="0" w:color="auto"/>
      </w:divBdr>
      <w:divsChild>
        <w:div w:id="849373762">
          <w:marLeft w:val="360"/>
          <w:marRight w:val="0"/>
          <w:marTop w:val="0"/>
          <w:marBottom w:val="0"/>
          <w:divBdr>
            <w:top w:val="none" w:sz="0" w:space="0" w:color="auto"/>
            <w:left w:val="none" w:sz="0" w:space="0" w:color="auto"/>
            <w:bottom w:val="none" w:sz="0" w:space="0" w:color="auto"/>
            <w:right w:val="none" w:sz="0" w:space="0" w:color="auto"/>
          </w:divBdr>
        </w:div>
      </w:divsChild>
    </w:div>
    <w:div w:id="216402223">
      <w:bodyDiv w:val="1"/>
      <w:marLeft w:val="0"/>
      <w:marRight w:val="0"/>
      <w:marTop w:val="0"/>
      <w:marBottom w:val="0"/>
      <w:divBdr>
        <w:top w:val="none" w:sz="0" w:space="0" w:color="auto"/>
        <w:left w:val="none" w:sz="0" w:space="0" w:color="auto"/>
        <w:bottom w:val="none" w:sz="0" w:space="0" w:color="auto"/>
        <w:right w:val="none" w:sz="0" w:space="0" w:color="auto"/>
      </w:divBdr>
    </w:div>
    <w:div w:id="216668159">
      <w:bodyDiv w:val="1"/>
      <w:marLeft w:val="0"/>
      <w:marRight w:val="0"/>
      <w:marTop w:val="0"/>
      <w:marBottom w:val="0"/>
      <w:divBdr>
        <w:top w:val="none" w:sz="0" w:space="0" w:color="auto"/>
        <w:left w:val="none" w:sz="0" w:space="0" w:color="auto"/>
        <w:bottom w:val="none" w:sz="0" w:space="0" w:color="auto"/>
        <w:right w:val="none" w:sz="0" w:space="0" w:color="auto"/>
      </w:divBdr>
    </w:div>
    <w:div w:id="224074463">
      <w:bodyDiv w:val="1"/>
      <w:marLeft w:val="0"/>
      <w:marRight w:val="0"/>
      <w:marTop w:val="0"/>
      <w:marBottom w:val="0"/>
      <w:divBdr>
        <w:top w:val="none" w:sz="0" w:space="0" w:color="auto"/>
        <w:left w:val="none" w:sz="0" w:space="0" w:color="auto"/>
        <w:bottom w:val="none" w:sz="0" w:space="0" w:color="auto"/>
        <w:right w:val="none" w:sz="0" w:space="0" w:color="auto"/>
      </w:divBdr>
    </w:div>
    <w:div w:id="227880891">
      <w:bodyDiv w:val="1"/>
      <w:marLeft w:val="0"/>
      <w:marRight w:val="0"/>
      <w:marTop w:val="0"/>
      <w:marBottom w:val="0"/>
      <w:divBdr>
        <w:top w:val="none" w:sz="0" w:space="0" w:color="auto"/>
        <w:left w:val="none" w:sz="0" w:space="0" w:color="auto"/>
        <w:bottom w:val="none" w:sz="0" w:space="0" w:color="auto"/>
        <w:right w:val="none" w:sz="0" w:space="0" w:color="auto"/>
      </w:divBdr>
    </w:div>
    <w:div w:id="251352256">
      <w:bodyDiv w:val="1"/>
      <w:marLeft w:val="0"/>
      <w:marRight w:val="0"/>
      <w:marTop w:val="0"/>
      <w:marBottom w:val="0"/>
      <w:divBdr>
        <w:top w:val="none" w:sz="0" w:space="0" w:color="auto"/>
        <w:left w:val="none" w:sz="0" w:space="0" w:color="auto"/>
        <w:bottom w:val="none" w:sz="0" w:space="0" w:color="auto"/>
        <w:right w:val="none" w:sz="0" w:space="0" w:color="auto"/>
      </w:divBdr>
      <w:divsChild>
        <w:div w:id="164789404">
          <w:marLeft w:val="360"/>
          <w:marRight w:val="0"/>
          <w:marTop w:val="0"/>
          <w:marBottom w:val="0"/>
          <w:divBdr>
            <w:top w:val="none" w:sz="0" w:space="0" w:color="auto"/>
            <w:left w:val="none" w:sz="0" w:space="0" w:color="auto"/>
            <w:bottom w:val="none" w:sz="0" w:space="0" w:color="auto"/>
            <w:right w:val="none" w:sz="0" w:space="0" w:color="auto"/>
          </w:divBdr>
        </w:div>
      </w:divsChild>
    </w:div>
    <w:div w:id="284850678">
      <w:bodyDiv w:val="1"/>
      <w:marLeft w:val="0"/>
      <w:marRight w:val="0"/>
      <w:marTop w:val="0"/>
      <w:marBottom w:val="0"/>
      <w:divBdr>
        <w:top w:val="none" w:sz="0" w:space="0" w:color="auto"/>
        <w:left w:val="none" w:sz="0" w:space="0" w:color="auto"/>
        <w:bottom w:val="none" w:sz="0" w:space="0" w:color="auto"/>
        <w:right w:val="none" w:sz="0" w:space="0" w:color="auto"/>
      </w:divBdr>
    </w:div>
    <w:div w:id="333143026">
      <w:bodyDiv w:val="1"/>
      <w:marLeft w:val="0"/>
      <w:marRight w:val="0"/>
      <w:marTop w:val="0"/>
      <w:marBottom w:val="0"/>
      <w:divBdr>
        <w:top w:val="none" w:sz="0" w:space="0" w:color="auto"/>
        <w:left w:val="none" w:sz="0" w:space="0" w:color="auto"/>
        <w:bottom w:val="none" w:sz="0" w:space="0" w:color="auto"/>
        <w:right w:val="none" w:sz="0" w:space="0" w:color="auto"/>
      </w:divBdr>
    </w:div>
    <w:div w:id="365839423">
      <w:bodyDiv w:val="1"/>
      <w:marLeft w:val="0"/>
      <w:marRight w:val="0"/>
      <w:marTop w:val="0"/>
      <w:marBottom w:val="0"/>
      <w:divBdr>
        <w:top w:val="none" w:sz="0" w:space="0" w:color="auto"/>
        <w:left w:val="none" w:sz="0" w:space="0" w:color="auto"/>
        <w:bottom w:val="none" w:sz="0" w:space="0" w:color="auto"/>
        <w:right w:val="none" w:sz="0" w:space="0" w:color="auto"/>
      </w:divBdr>
    </w:div>
    <w:div w:id="368989246">
      <w:bodyDiv w:val="1"/>
      <w:marLeft w:val="0"/>
      <w:marRight w:val="0"/>
      <w:marTop w:val="0"/>
      <w:marBottom w:val="0"/>
      <w:divBdr>
        <w:top w:val="none" w:sz="0" w:space="0" w:color="auto"/>
        <w:left w:val="none" w:sz="0" w:space="0" w:color="auto"/>
        <w:bottom w:val="none" w:sz="0" w:space="0" w:color="auto"/>
        <w:right w:val="none" w:sz="0" w:space="0" w:color="auto"/>
      </w:divBdr>
    </w:div>
    <w:div w:id="449856972">
      <w:bodyDiv w:val="1"/>
      <w:marLeft w:val="0"/>
      <w:marRight w:val="0"/>
      <w:marTop w:val="0"/>
      <w:marBottom w:val="0"/>
      <w:divBdr>
        <w:top w:val="none" w:sz="0" w:space="0" w:color="auto"/>
        <w:left w:val="none" w:sz="0" w:space="0" w:color="auto"/>
        <w:bottom w:val="none" w:sz="0" w:space="0" w:color="auto"/>
        <w:right w:val="none" w:sz="0" w:space="0" w:color="auto"/>
      </w:divBdr>
    </w:div>
    <w:div w:id="477579479">
      <w:bodyDiv w:val="1"/>
      <w:marLeft w:val="0"/>
      <w:marRight w:val="0"/>
      <w:marTop w:val="0"/>
      <w:marBottom w:val="0"/>
      <w:divBdr>
        <w:top w:val="none" w:sz="0" w:space="0" w:color="auto"/>
        <w:left w:val="none" w:sz="0" w:space="0" w:color="auto"/>
        <w:bottom w:val="none" w:sz="0" w:space="0" w:color="auto"/>
        <w:right w:val="none" w:sz="0" w:space="0" w:color="auto"/>
      </w:divBdr>
    </w:div>
    <w:div w:id="479806735">
      <w:bodyDiv w:val="1"/>
      <w:marLeft w:val="0"/>
      <w:marRight w:val="0"/>
      <w:marTop w:val="0"/>
      <w:marBottom w:val="0"/>
      <w:divBdr>
        <w:top w:val="none" w:sz="0" w:space="0" w:color="auto"/>
        <w:left w:val="none" w:sz="0" w:space="0" w:color="auto"/>
        <w:bottom w:val="none" w:sz="0" w:space="0" w:color="auto"/>
        <w:right w:val="none" w:sz="0" w:space="0" w:color="auto"/>
      </w:divBdr>
    </w:div>
    <w:div w:id="510266741">
      <w:bodyDiv w:val="1"/>
      <w:marLeft w:val="0"/>
      <w:marRight w:val="0"/>
      <w:marTop w:val="0"/>
      <w:marBottom w:val="0"/>
      <w:divBdr>
        <w:top w:val="none" w:sz="0" w:space="0" w:color="auto"/>
        <w:left w:val="none" w:sz="0" w:space="0" w:color="auto"/>
        <w:bottom w:val="none" w:sz="0" w:space="0" w:color="auto"/>
        <w:right w:val="none" w:sz="0" w:space="0" w:color="auto"/>
      </w:divBdr>
    </w:div>
    <w:div w:id="514078410">
      <w:bodyDiv w:val="1"/>
      <w:marLeft w:val="0"/>
      <w:marRight w:val="0"/>
      <w:marTop w:val="0"/>
      <w:marBottom w:val="0"/>
      <w:divBdr>
        <w:top w:val="none" w:sz="0" w:space="0" w:color="auto"/>
        <w:left w:val="none" w:sz="0" w:space="0" w:color="auto"/>
        <w:bottom w:val="none" w:sz="0" w:space="0" w:color="auto"/>
        <w:right w:val="none" w:sz="0" w:space="0" w:color="auto"/>
      </w:divBdr>
    </w:div>
    <w:div w:id="529682954">
      <w:bodyDiv w:val="1"/>
      <w:marLeft w:val="0"/>
      <w:marRight w:val="0"/>
      <w:marTop w:val="0"/>
      <w:marBottom w:val="0"/>
      <w:divBdr>
        <w:top w:val="none" w:sz="0" w:space="0" w:color="auto"/>
        <w:left w:val="none" w:sz="0" w:space="0" w:color="auto"/>
        <w:bottom w:val="none" w:sz="0" w:space="0" w:color="auto"/>
        <w:right w:val="none" w:sz="0" w:space="0" w:color="auto"/>
      </w:divBdr>
    </w:div>
    <w:div w:id="579949325">
      <w:bodyDiv w:val="1"/>
      <w:marLeft w:val="0"/>
      <w:marRight w:val="0"/>
      <w:marTop w:val="0"/>
      <w:marBottom w:val="0"/>
      <w:divBdr>
        <w:top w:val="none" w:sz="0" w:space="0" w:color="auto"/>
        <w:left w:val="none" w:sz="0" w:space="0" w:color="auto"/>
        <w:bottom w:val="none" w:sz="0" w:space="0" w:color="auto"/>
        <w:right w:val="none" w:sz="0" w:space="0" w:color="auto"/>
      </w:divBdr>
    </w:div>
    <w:div w:id="582376421">
      <w:bodyDiv w:val="1"/>
      <w:marLeft w:val="0"/>
      <w:marRight w:val="0"/>
      <w:marTop w:val="0"/>
      <w:marBottom w:val="0"/>
      <w:divBdr>
        <w:top w:val="none" w:sz="0" w:space="0" w:color="auto"/>
        <w:left w:val="none" w:sz="0" w:space="0" w:color="auto"/>
        <w:bottom w:val="none" w:sz="0" w:space="0" w:color="auto"/>
        <w:right w:val="none" w:sz="0" w:space="0" w:color="auto"/>
      </w:divBdr>
    </w:div>
    <w:div w:id="588849082">
      <w:bodyDiv w:val="1"/>
      <w:marLeft w:val="0"/>
      <w:marRight w:val="0"/>
      <w:marTop w:val="0"/>
      <w:marBottom w:val="0"/>
      <w:divBdr>
        <w:top w:val="none" w:sz="0" w:space="0" w:color="auto"/>
        <w:left w:val="none" w:sz="0" w:space="0" w:color="auto"/>
        <w:bottom w:val="none" w:sz="0" w:space="0" w:color="auto"/>
        <w:right w:val="none" w:sz="0" w:space="0" w:color="auto"/>
      </w:divBdr>
    </w:div>
    <w:div w:id="622882014">
      <w:bodyDiv w:val="1"/>
      <w:marLeft w:val="0"/>
      <w:marRight w:val="0"/>
      <w:marTop w:val="0"/>
      <w:marBottom w:val="0"/>
      <w:divBdr>
        <w:top w:val="none" w:sz="0" w:space="0" w:color="auto"/>
        <w:left w:val="none" w:sz="0" w:space="0" w:color="auto"/>
        <w:bottom w:val="none" w:sz="0" w:space="0" w:color="auto"/>
        <w:right w:val="none" w:sz="0" w:space="0" w:color="auto"/>
      </w:divBdr>
    </w:div>
    <w:div w:id="634874439">
      <w:bodyDiv w:val="1"/>
      <w:marLeft w:val="0"/>
      <w:marRight w:val="0"/>
      <w:marTop w:val="0"/>
      <w:marBottom w:val="0"/>
      <w:divBdr>
        <w:top w:val="none" w:sz="0" w:space="0" w:color="auto"/>
        <w:left w:val="none" w:sz="0" w:space="0" w:color="auto"/>
        <w:bottom w:val="none" w:sz="0" w:space="0" w:color="auto"/>
        <w:right w:val="none" w:sz="0" w:space="0" w:color="auto"/>
      </w:divBdr>
    </w:div>
    <w:div w:id="642736968">
      <w:bodyDiv w:val="1"/>
      <w:marLeft w:val="0"/>
      <w:marRight w:val="0"/>
      <w:marTop w:val="0"/>
      <w:marBottom w:val="0"/>
      <w:divBdr>
        <w:top w:val="none" w:sz="0" w:space="0" w:color="auto"/>
        <w:left w:val="none" w:sz="0" w:space="0" w:color="auto"/>
        <w:bottom w:val="none" w:sz="0" w:space="0" w:color="auto"/>
        <w:right w:val="none" w:sz="0" w:space="0" w:color="auto"/>
      </w:divBdr>
    </w:div>
    <w:div w:id="665977502">
      <w:bodyDiv w:val="1"/>
      <w:marLeft w:val="0"/>
      <w:marRight w:val="0"/>
      <w:marTop w:val="0"/>
      <w:marBottom w:val="0"/>
      <w:divBdr>
        <w:top w:val="none" w:sz="0" w:space="0" w:color="auto"/>
        <w:left w:val="none" w:sz="0" w:space="0" w:color="auto"/>
        <w:bottom w:val="none" w:sz="0" w:space="0" w:color="auto"/>
        <w:right w:val="none" w:sz="0" w:space="0" w:color="auto"/>
      </w:divBdr>
    </w:div>
    <w:div w:id="729307964">
      <w:bodyDiv w:val="1"/>
      <w:marLeft w:val="0"/>
      <w:marRight w:val="0"/>
      <w:marTop w:val="0"/>
      <w:marBottom w:val="0"/>
      <w:divBdr>
        <w:top w:val="none" w:sz="0" w:space="0" w:color="auto"/>
        <w:left w:val="none" w:sz="0" w:space="0" w:color="auto"/>
        <w:bottom w:val="none" w:sz="0" w:space="0" w:color="auto"/>
        <w:right w:val="none" w:sz="0" w:space="0" w:color="auto"/>
      </w:divBdr>
    </w:div>
    <w:div w:id="737437740">
      <w:bodyDiv w:val="1"/>
      <w:marLeft w:val="0"/>
      <w:marRight w:val="0"/>
      <w:marTop w:val="0"/>
      <w:marBottom w:val="0"/>
      <w:divBdr>
        <w:top w:val="none" w:sz="0" w:space="0" w:color="auto"/>
        <w:left w:val="none" w:sz="0" w:space="0" w:color="auto"/>
        <w:bottom w:val="none" w:sz="0" w:space="0" w:color="auto"/>
        <w:right w:val="none" w:sz="0" w:space="0" w:color="auto"/>
      </w:divBdr>
    </w:div>
    <w:div w:id="759908855">
      <w:bodyDiv w:val="1"/>
      <w:marLeft w:val="0"/>
      <w:marRight w:val="0"/>
      <w:marTop w:val="0"/>
      <w:marBottom w:val="0"/>
      <w:divBdr>
        <w:top w:val="none" w:sz="0" w:space="0" w:color="auto"/>
        <w:left w:val="none" w:sz="0" w:space="0" w:color="auto"/>
        <w:bottom w:val="none" w:sz="0" w:space="0" w:color="auto"/>
        <w:right w:val="none" w:sz="0" w:space="0" w:color="auto"/>
      </w:divBdr>
      <w:divsChild>
        <w:div w:id="1125780322">
          <w:marLeft w:val="0"/>
          <w:marRight w:val="0"/>
          <w:marTop w:val="0"/>
          <w:marBottom w:val="0"/>
          <w:divBdr>
            <w:top w:val="none" w:sz="0" w:space="0" w:color="auto"/>
            <w:left w:val="none" w:sz="0" w:space="0" w:color="auto"/>
            <w:bottom w:val="none" w:sz="0" w:space="0" w:color="auto"/>
            <w:right w:val="none" w:sz="0" w:space="0" w:color="auto"/>
          </w:divBdr>
        </w:div>
        <w:div w:id="1376268593">
          <w:marLeft w:val="-150"/>
          <w:marRight w:val="-150"/>
          <w:marTop w:val="0"/>
          <w:marBottom w:val="0"/>
          <w:divBdr>
            <w:top w:val="none" w:sz="0" w:space="0" w:color="auto"/>
            <w:left w:val="none" w:sz="0" w:space="0" w:color="auto"/>
            <w:bottom w:val="none" w:sz="0" w:space="0" w:color="auto"/>
            <w:right w:val="none" w:sz="0" w:space="0" w:color="auto"/>
          </w:divBdr>
          <w:divsChild>
            <w:div w:id="2124497490">
              <w:marLeft w:val="0"/>
              <w:marRight w:val="0"/>
              <w:marTop w:val="0"/>
              <w:marBottom w:val="0"/>
              <w:divBdr>
                <w:top w:val="none" w:sz="0" w:space="0" w:color="auto"/>
                <w:left w:val="none" w:sz="0" w:space="0" w:color="auto"/>
                <w:bottom w:val="none" w:sz="0" w:space="0" w:color="auto"/>
                <w:right w:val="none" w:sz="0" w:space="0" w:color="auto"/>
              </w:divBdr>
              <w:divsChild>
                <w:div w:id="871765507">
                  <w:marLeft w:val="0"/>
                  <w:marRight w:val="0"/>
                  <w:marTop w:val="0"/>
                  <w:marBottom w:val="0"/>
                  <w:divBdr>
                    <w:top w:val="none" w:sz="0" w:space="0" w:color="auto"/>
                    <w:left w:val="none" w:sz="0" w:space="0" w:color="auto"/>
                    <w:bottom w:val="none" w:sz="0" w:space="0" w:color="auto"/>
                    <w:right w:val="none" w:sz="0" w:space="0" w:color="auto"/>
                  </w:divBdr>
                  <w:divsChild>
                    <w:div w:id="1818953583">
                      <w:marLeft w:val="0"/>
                      <w:marRight w:val="0"/>
                      <w:marTop w:val="0"/>
                      <w:marBottom w:val="0"/>
                      <w:divBdr>
                        <w:top w:val="none" w:sz="0" w:space="0" w:color="auto"/>
                        <w:left w:val="none" w:sz="0" w:space="0" w:color="auto"/>
                        <w:bottom w:val="none" w:sz="0" w:space="0" w:color="auto"/>
                        <w:right w:val="none" w:sz="0" w:space="0" w:color="auto"/>
                      </w:divBdr>
                      <w:divsChild>
                        <w:div w:id="79301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868455">
      <w:bodyDiv w:val="1"/>
      <w:marLeft w:val="0"/>
      <w:marRight w:val="0"/>
      <w:marTop w:val="0"/>
      <w:marBottom w:val="0"/>
      <w:divBdr>
        <w:top w:val="none" w:sz="0" w:space="0" w:color="auto"/>
        <w:left w:val="none" w:sz="0" w:space="0" w:color="auto"/>
        <w:bottom w:val="none" w:sz="0" w:space="0" w:color="auto"/>
        <w:right w:val="none" w:sz="0" w:space="0" w:color="auto"/>
      </w:divBdr>
    </w:div>
    <w:div w:id="832185962">
      <w:bodyDiv w:val="1"/>
      <w:marLeft w:val="0"/>
      <w:marRight w:val="0"/>
      <w:marTop w:val="0"/>
      <w:marBottom w:val="0"/>
      <w:divBdr>
        <w:top w:val="none" w:sz="0" w:space="0" w:color="auto"/>
        <w:left w:val="none" w:sz="0" w:space="0" w:color="auto"/>
        <w:bottom w:val="none" w:sz="0" w:space="0" w:color="auto"/>
        <w:right w:val="none" w:sz="0" w:space="0" w:color="auto"/>
      </w:divBdr>
    </w:div>
    <w:div w:id="856387036">
      <w:bodyDiv w:val="1"/>
      <w:marLeft w:val="0"/>
      <w:marRight w:val="0"/>
      <w:marTop w:val="0"/>
      <w:marBottom w:val="0"/>
      <w:divBdr>
        <w:top w:val="none" w:sz="0" w:space="0" w:color="auto"/>
        <w:left w:val="none" w:sz="0" w:space="0" w:color="auto"/>
        <w:bottom w:val="none" w:sz="0" w:space="0" w:color="auto"/>
        <w:right w:val="none" w:sz="0" w:space="0" w:color="auto"/>
      </w:divBdr>
    </w:div>
    <w:div w:id="863976664">
      <w:bodyDiv w:val="1"/>
      <w:marLeft w:val="0"/>
      <w:marRight w:val="0"/>
      <w:marTop w:val="0"/>
      <w:marBottom w:val="0"/>
      <w:divBdr>
        <w:top w:val="none" w:sz="0" w:space="0" w:color="auto"/>
        <w:left w:val="none" w:sz="0" w:space="0" w:color="auto"/>
        <w:bottom w:val="none" w:sz="0" w:space="0" w:color="auto"/>
        <w:right w:val="none" w:sz="0" w:space="0" w:color="auto"/>
      </w:divBdr>
    </w:div>
    <w:div w:id="872886167">
      <w:bodyDiv w:val="1"/>
      <w:marLeft w:val="0"/>
      <w:marRight w:val="0"/>
      <w:marTop w:val="0"/>
      <w:marBottom w:val="0"/>
      <w:divBdr>
        <w:top w:val="none" w:sz="0" w:space="0" w:color="auto"/>
        <w:left w:val="none" w:sz="0" w:space="0" w:color="auto"/>
        <w:bottom w:val="none" w:sz="0" w:space="0" w:color="auto"/>
        <w:right w:val="none" w:sz="0" w:space="0" w:color="auto"/>
      </w:divBdr>
    </w:div>
    <w:div w:id="903371467">
      <w:bodyDiv w:val="1"/>
      <w:marLeft w:val="0"/>
      <w:marRight w:val="0"/>
      <w:marTop w:val="0"/>
      <w:marBottom w:val="0"/>
      <w:divBdr>
        <w:top w:val="none" w:sz="0" w:space="0" w:color="auto"/>
        <w:left w:val="none" w:sz="0" w:space="0" w:color="auto"/>
        <w:bottom w:val="none" w:sz="0" w:space="0" w:color="auto"/>
        <w:right w:val="none" w:sz="0" w:space="0" w:color="auto"/>
      </w:divBdr>
    </w:div>
    <w:div w:id="1063531177">
      <w:bodyDiv w:val="1"/>
      <w:marLeft w:val="0"/>
      <w:marRight w:val="0"/>
      <w:marTop w:val="0"/>
      <w:marBottom w:val="0"/>
      <w:divBdr>
        <w:top w:val="none" w:sz="0" w:space="0" w:color="auto"/>
        <w:left w:val="none" w:sz="0" w:space="0" w:color="auto"/>
        <w:bottom w:val="none" w:sz="0" w:space="0" w:color="auto"/>
        <w:right w:val="none" w:sz="0" w:space="0" w:color="auto"/>
      </w:divBdr>
    </w:div>
    <w:div w:id="1103719817">
      <w:bodyDiv w:val="1"/>
      <w:marLeft w:val="0"/>
      <w:marRight w:val="0"/>
      <w:marTop w:val="0"/>
      <w:marBottom w:val="0"/>
      <w:divBdr>
        <w:top w:val="none" w:sz="0" w:space="0" w:color="auto"/>
        <w:left w:val="none" w:sz="0" w:space="0" w:color="auto"/>
        <w:bottom w:val="none" w:sz="0" w:space="0" w:color="auto"/>
        <w:right w:val="none" w:sz="0" w:space="0" w:color="auto"/>
      </w:divBdr>
    </w:div>
    <w:div w:id="1111779099">
      <w:bodyDiv w:val="1"/>
      <w:marLeft w:val="0"/>
      <w:marRight w:val="0"/>
      <w:marTop w:val="0"/>
      <w:marBottom w:val="0"/>
      <w:divBdr>
        <w:top w:val="none" w:sz="0" w:space="0" w:color="auto"/>
        <w:left w:val="none" w:sz="0" w:space="0" w:color="auto"/>
        <w:bottom w:val="none" w:sz="0" w:space="0" w:color="auto"/>
        <w:right w:val="none" w:sz="0" w:space="0" w:color="auto"/>
      </w:divBdr>
    </w:div>
    <w:div w:id="1128014363">
      <w:bodyDiv w:val="1"/>
      <w:marLeft w:val="0"/>
      <w:marRight w:val="0"/>
      <w:marTop w:val="0"/>
      <w:marBottom w:val="0"/>
      <w:divBdr>
        <w:top w:val="none" w:sz="0" w:space="0" w:color="auto"/>
        <w:left w:val="none" w:sz="0" w:space="0" w:color="auto"/>
        <w:bottom w:val="none" w:sz="0" w:space="0" w:color="auto"/>
        <w:right w:val="none" w:sz="0" w:space="0" w:color="auto"/>
      </w:divBdr>
    </w:div>
    <w:div w:id="1172404473">
      <w:bodyDiv w:val="1"/>
      <w:marLeft w:val="0"/>
      <w:marRight w:val="0"/>
      <w:marTop w:val="0"/>
      <w:marBottom w:val="0"/>
      <w:divBdr>
        <w:top w:val="none" w:sz="0" w:space="0" w:color="auto"/>
        <w:left w:val="none" w:sz="0" w:space="0" w:color="auto"/>
        <w:bottom w:val="none" w:sz="0" w:space="0" w:color="auto"/>
        <w:right w:val="none" w:sz="0" w:space="0" w:color="auto"/>
      </w:divBdr>
    </w:div>
    <w:div w:id="1174488945">
      <w:bodyDiv w:val="1"/>
      <w:marLeft w:val="0"/>
      <w:marRight w:val="0"/>
      <w:marTop w:val="0"/>
      <w:marBottom w:val="0"/>
      <w:divBdr>
        <w:top w:val="none" w:sz="0" w:space="0" w:color="auto"/>
        <w:left w:val="none" w:sz="0" w:space="0" w:color="auto"/>
        <w:bottom w:val="none" w:sz="0" w:space="0" w:color="auto"/>
        <w:right w:val="none" w:sz="0" w:space="0" w:color="auto"/>
      </w:divBdr>
    </w:div>
    <w:div w:id="1189834328">
      <w:bodyDiv w:val="1"/>
      <w:marLeft w:val="0"/>
      <w:marRight w:val="0"/>
      <w:marTop w:val="0"/>
      <w:marBottom w:val="0"/>
      <w:divBdr>
        <w:top w:val="none" w:sz="0" w:space="0" w:color="auto"/>
        <w:left w:val="none" w:sz="0" w:space="0" w:color="auto"/>
        <w:bottom w:val="none" w:sz="0" w:space="0" w:color="auto"/>
        <w:right w:val="none" w:sz="0" w:space="0" w:color="auto"/>
      </w:divBdr>
    </w:div>
    <w:div w:id="1209686367">
      <w:bodyDiv w:val="1"/>
      <w:marLeft w:val="0"/>
      <w:marRight w:val="0"/>
      <w:marTop w:val="0"/>
      <w:marBottom w:val="0"/>
      <w:divBdr>
        <w:top w:val="none" w:sz="0" w:space="0" w:color="auto"/>
        <w:left w:val="none" w:sz="0" w:space="0" w:color="auto"/>
        <w:bottom w:val="none" w:sz="0" w:space="0" w:color="auto"/>
        <w:right w:val="none" w:sz="0" w:space="0" w:color="auto"/>
      </w:divBdr>
    </w:div>
    <w:div w:id="1231190226">
      <w:bodyDiv w:val="1"/>
      <w:marLeft w:val="0"/>
      <w:marRight w:val="0"/>
      <w:marTop w:val="0"/>
      <w:marBottom w:val="0"/>
      <w:divBdr>
        <w:top w:val="none" w:sz="0" w:space="0" w:color="auto"/>
        <w:left w:val="none" w:sz="0" w:space="0" w:color="auto"/>
        <w:bottom w:val="none" w:sz="0" w:space="0" w:color="auto"/>
        <w:right w:val="none" w:sz="0" w:space="0" w:color="auto"/>
      </w:divBdr>
    </w:div>
    <w:div w:id="1232273867">
      <w:bodyDiv w:val="1"/>
      <w:marLeft w:val="0"/>
      <w:marRight w:val="0"/>
      <w:marTop w:val="0"/>
      <w:marBottom w:val="0"/>
      <w:divBdr>
        <w:top w:val="none" w:sz="0" w:space="0" w:color="auto"/>
        <w:left w:val="none" w:sz="0" w:space="0" w:color="auto"/>
        <w:bottom w:val="none" w:sz="0" w:space="0" w:color="auto"/>
        <w:right w:val="none" w:sz="0" w:space="0" w:color="auto"/>
      </w:divBdr>
    </w:div>
    <w:div w:id="1266620712">
      <w:bodyDiv w:val="1"/>
      <w:marLeft w:val="0"/>
      <w:marRight w:val="0"/>
      <w:marTop w:val="0"/>
      <w:marBottom w:val="0"/>
      <w:divBdr>
        <w:top w:val="none" w:sz="0" w:space="0" w:color="auto"/>
        <w:left w:val="none" w:sz="0" w:space="0" w:color="auto"/>
        <w:bottom w:val="none" w:sz="0" w:space="0" w:color="auto"/>
        <w:right w:val="none" w:sz="0" w:space="0" w:color="auto"/>
      </w:divBdr>
    </w:div>
    <w:div w:id="1274627912">
      <w:bodyDiv w:val="1"/>
      <w:marLeft w:val="0"/>
      <w:marRight w:val="0"/>
      <w:marTop w:val="0"/>
      <w:marBottom w:val="0"/>
      <w:divBdr>
        <w:top w:val="none" w:sz="0" w:space="0" w:color="auto"/>
        <w:left w:val="none" w:sz="0" w:space="0" w:color="auto"/>
        <w:bottom w:val="none" w:sz="0" w:space="0" w:color="auto"/>
        <w:right w:val="none" w:sz="0" w:space="0" w:color="auto"/>
      </w:divBdr>
      <w:divsChild>
        <w:div w:id="1593007005">
          <w:marLeft w:val="360"/>
          <w:marRight w:val="0"/>
          <w:marTop w:val="0"/>
          <w:marBottom w:val="0"/>
          <w:divBdr>
            <w:top w:val="none" w:sz="0" w:space="0" w:color="auto"/>
            <w:left w:val="none" w:sz="0" w:space="0" w:color="auto"/>
            <w:bottom w:val="none" w:sz="0" w:space="0" w:color="auto"/>
            <w:right w:val="none" w:sz="0" w:space="0" w:color="auto"/>
          </w:divBdr>
        </w:div>
      </w:divsChild>
    </w:div>
    <w:div w:id="1350567650">
      <w:bodyDiv w:val="1"/>
      <w:marLeft w:val="0"/>
      <w:marRight w:val="0"/>
      <w:marTop w:val="0"/>
      <w:marBottom w:val="0"/>
      <w:divBdr>
        <w:top w:val="none" w:sz="0" w:space="0" w:color="auto"/>
        <w:left w:val="none" w:sz="0" w:space="0" w:color="auto"/>
        <w:bottom w:val="none" w:sz="0" w:space="0" w:color="auto"/>
        <w:right w:val="none" w:sz="0" w:space="0" w:color="auto"/>
      </w:divBdr>
    </w:div>
    <w:div w:id="1358583692">
      <w:bodyDiv w:val="1"/>
      <w:marLeft w:val="0"/>
      <w:marRight w:val="0"/>
      <w:marTop w:val="0"/>
      <w:marBottom w:val="0"/>
      <w:divBdr>
        <w:top w:val="none" w:sz="0" w:space="0" w:color="auto"/>
        <w:left w:val="none" w:sz="0" w:space="0" w:color="auto"/>
        <w:bottom w:val="none" w:sz="0" w:space="0" w:color="auto"/>
        <w:right w:val="none" w:sz="0" w:space="0" w:color="auto"/>
      </w:divBdr>
    </w:div>
    <w:div w:id="1359159425">
      <w:bodyDiv w:val="1"/>
      <w:marLeft w:val="0"/>
      <w:marRight w:val="0"/>
      <w:marTop w:val="0"/>
      <w:marBottom w:val="0"/>
      <w:divBdr>
        <w:top w:val="none" w:sz="0" w:space="0" w:color="auto"/>
        <w:left w:val="none" w:sz="0" w:space="0" w:color="auto"/>
        <w:bottom w:val="none" w:sz="0" w:space="0" w:color="auto"/>
        <w:right w:val="none" w:sz="0" w:space="0" w:color="auto"/>
      </w:divBdr>
    </w:div>
    <w:div w:id="1383871819">
      <w:bodyDiv w:val="1"/>
      <w:marLeft w:val="0"/>
      <w:marRight w:val="0"/>
      <w:marTop w:val="0"/>
      <w:marBottom w:val="0"/>
      <w:divBdr>
        <w:top w:val="none" w:sz="0" w:space="0" w:color="auto"/>
        <w:left w:val="none" w:sz="0" w:space="0" w:color="auto"/>
        <w:bottom w:val="none" w:sz="0" w:space="0" w:color="auto"/>
        <w:right w:val="none" w:sz="0" w:space="0" w:color="auto"/>
      </w:divBdr>
      <w:divsChild>
        <w:div w:id="1644777203">
          <w:marLeft w:val="360"/>
          <w:marRight w:val="0"/>
          <w:marTop w:val="0"/>
          <w:marBottom w:val="0"/>
          <w:divBdr>
            <w:top w:val="none" w:sz="0" w:space="0" w:color="auto"/>
            <w:left w:val="none" w:sz="0" w:space="0" w:color="auto"/>
            <w:bottom w:val="none" w:sz="0" w:space="0" w:color="auto"/>
            <w:right w:val="none" w:sz="0" w:space="0" w:color="auto"/>
          </w:divBdr>
        </w:div>
      </w:divsChild>
    </w:div>
    <w:div w:id="1405689642">
      <w:bodyDiv w:val="1"/>
      <w:marLeft w:val="0"/>
      <w:marRight w:val="0"/>
      <w:marTop w:val="0"/>
      <w:marBottom w:val="0"/>
      <w:divBdr>
        <w:top w:val="none" w:sz="0" w:space="0" w:color="auto"/>
        <w:left w:val="none" w:sz="0" w:space="0" w:color="auto"/>
        <w:bottom w:val="none" w:sz="0" w:space="0" w:color="auto"/>
        <w:right w:val="none" w:sz="0" w:space="0" w:color="auto"/>
      </w:divBdr>
    </w:div>
    <w:div w:id="1419211942">
      <w:bodyDiv w:val="1"/>
      <w:marLeft w:val="0"/>
      <w:marRight w:val="0"/>
      <w:marTop w:val="0"/>
      <w:marBottom w:val="0"/>
      <w:divBdr>
        <w:top w:val="none" w:sz="0" w:space="0" w:color="auto"/>
        <w:left w:val="none" w:sz="0" w:space="0" w:color="auto"/>
        <w:bottom w:val="none" w:sz="0" w:space="0" w:color="auto"/>
        <w:right w:val="none" w:sz="0" w:space="0" w:color="auto"/>
      </w:divBdr>
    </w:div>
    <w:div w:id="1463310538">
      <w:bodyDiv w:val="1"/>
      <w:marLeft w:val="0"/>
      <w:marRight w:val="0"/>
      <w:marTop w:val="0"/>
      <w:marBottom w:val="0"/>
      <w:divBdr>
        <w:top w:val="none" w:sz="0" w:space="0" w:color="auto"/>
        <w:left w:val="none" w:sz="0" w:space="0" w:color="auto"/>
        <w:bottom w:val="none" w:sz="0" w:space="0" w:color="auto"/>
        <w:right w:val="none" w:sz="0" w:space="0" w:color="auto"/>
      </w:divBdr>
    </w:div>
    <w:div w:id="1487471522">
      <w:bodyDiv w:val="1"/>
      <w:marLeft w:val="0"/>
      <w:marRight w:val="0"/>
      <w:marTop w:val="0"/>
      <w:marBottom w:val="0"/>
      <w:divBdr>
        <w:top w:val="none" w:sz="0" w:space="0" w:color="auto"/>
        <w:left w:val="none" w:sz="0" w:space="0" w:color="auto"/>
        <w:bottom w:val="none" w:sz="0" w:space="0" w:color="auto"/>
        <w:right w:val="none" w:sz="0" w:space="0" w:color="auto"/>
      </w:divBdr>
    </w:div>
    <w:div w:id="1572540405">
      <w:bodyDiv w:val="1"/>
      <w:marLeft w:val="0"/>
      <w:marRight w:val="0"/>
      <w:marTop w:val="0"/>
      <w:marBottom w:val="0"/>
      <w:divBdr>
        <w:top w:val="none" w:sz="0" w:space="0" w:color="auto"/>
        <w:left w:val="none" w:sz="0" w:space="0" w:color="auto"/>
        <w:bottom w:val="none" w:sz="0" w:space="0" w:color="auto"/>
        <w:right w:val="none" w:sz="0" w:space="0" w:color="auto"/>
      </w:divBdr>
    </w:div>
    <w:div w:id="1578589660">
      <w:bodyDiv w:val="1"/>
      <w:marLeft w:val="0"/>
      <w:marRight w:val="0"/>
      <w:marTop w:val="0"/>
      <w:marBottom w:val="0"/>
      <w:divBdr>
        <w:top w:val="none" w:sz="0" w:space="0" w:color="auto"/>
        <w:left w:val="none" w:sz="0" w:space="0" w:color="auto"/>
        <w:bottom w:val="none" w:sz="0" w:space="0" w:color="auto"/>
        <w:right w:val="none" w:sz="0" w:space="0" w:color="auto"/>
      </w:divBdr>
    </w:div>
    <w:div w:id="1593856888">
      <w:bodyDiv w:val="1"/>
      <w:marLeft w:val="0"/>
      <w:marRight w:val="0"/>
      <w:marTop w:val="0"/>
      <w:marBottom w:val="0"/>
      <w:divBdr>
        <w:top w:val="none" w:sz="0" w:space="0" w:color="auto"/>
        <w:left w:val="none" w:sz="0" w:space="0" w:color="auto"/>
        <w:bottom w:val="none" w:sz="0" w:space="0" w:color="auto"/>
        <w:right w:val="none" w:sz="0" w:space="0" w:color="auto"/>
      </w:divBdr>
    </w:div>
    <w:div w:id="1661617300">
      <w:bodyDiv w:val="1"/>
      <w:marLeft w:val="0"/>
      <w:marRight w:val="0"/>
      <w:marTop w:val="0"/>
      <w:marBottom w:val="0"/>
      <w:divBdr>
        <w:top w:val="none" w:sz="0" w:space="0" w:color="auto"/>
        <w:left w:val="none" w:sz="0" w:space="0" w:color="auto"/>
        <w:bottom w:val="none" w:sz="0" w:space="0" w:color="auto"/>
        <w:right w:val="none" w:sz="0" w:space="0" w:color="auto"/>
      </w:divBdr>
    </w:div>
    <w:div w:id="1696350420">
      <w:bodyDiv w:val="1"/>
      <w:marLeft w:val="0"/>
      <w:marRight w:val="0"/>
      <w:marTop w:val="0"/>
      <w:marBottom w:val="0"/>
      <w:divBdr>
        <w:top w:val="none" w:sz="0" w:space="0" w:color="auto"/>
        <w:left w:val="none" w:sz="0" w:space="0" w:color="auto"/>
        <w:bottom w:val="none" w:sz="0" w:space="0" w:color="auto"/>
        <w:right w:val="none" w:sz="0" w:space="0" w:color="auto"/>
      </w:divBdr>
    </w:div>
    <w:div w:id="1717855125">
      <w:bodyDiv w:val="1"/>
      <w:marLeft w:val="0"/>
      <w:marRight w:val="0"/>
      <w:marTop w:val="0"/>
      <w:marBottom w:val="0"/>
      <w:divBdr>
        <w:top w:val="none" w:sz="0" w:space="0" w:color="auto"/>
        <w:left w:val="none" w:sz="0" w:space="0" w:color="auto"/>
        <w:bottom w:val="none" w:sz="0" w:space="0" w:color="auto"/>
        <w:right w:val="none" w:sz="0" w:space="0" w:color="auto"/>
      </w:divBdr>
    </w:div>
    <w:div w:id="1746415701">
      <w:bodyDiv w:val="1"/>
      <w:marLeft w:val="0"/>
      <w:marRight w:val="0"/>
      <w:marTop w:val="0"/>
      <w:marBottom w:val="0"/>
      <w:divBdr>
        <w:top w:val="none" w:sz="0" w:space="0" w:color="auto"/>
        <w:left w:val="none" w:sz="0" w:space="0" w:color="auto"/>
        <w:bottom w:val="none" w:sz="0" w:space="0" w:color="auto"/>
        <w:right w:val="none" w:sz="0" w:space="0" w:color="auto"/>
      </w:divBdr>
    </w:div>
    <w:div w:id="1756897871">
      <w:bodyDiv w:val="1"/>
      <w:marLeft w:val="0"/>
      <w:marRight w:val="0"/>
      <w:marTop w:val="0"/>
      <w:marBottom w:val="0"/>
      <w:divBdr>
        <w:top w:val="none" w:sz="0" w:space="0" w:color="auto"/>
        <w:left w:val="none" w:sz="0" w:space="0" w:color="auto"/>
        <w:bottom w:val="none" w:sz="0" w:space="0" w:color="auto"/>
        <w:right w:val="none" w:sz="0" w:space="0" w:color="auto"/>
      </w:divBdr>
    </w:div>
    <w:div w:id="1760901641">
      <w:bodyDiv w:val="1"/>
      <w:marLeft w:val="0"/>
      <w:marRight w:val="0"/>
      <w:marTop w:val="0"/>
      <w:marBottom w:val="0"/>
      <w:divBdr>
        <w:top w:val="none" w:sz="0" w:space="0" w:color="auto"/>
        <w:left w:val="none" w:sz="0" w:space="0" w:color="auto"/>
        <w:bottom w:val="none" w:sz="0" w:space="0" w:color="auto"/>
        <w:right w:val="none" w:sz="0" w:space="0" w:color="auto"/>
      </w:divBdr>
      <w:divsChild>
        <w:div w:id="147673213">
          <w:marLeft w:val="360"/>
          <w:marRight w:val="0"/>
          <w:marTop w:val="0"/>
          <w:marBottom w:val="0"/>
          <w:divBdr>
            <w:top w:val="none" w:sz="0" w:space="0" w:color="auto"/>
            <w:left w:val="none" w:sz="0" w:space="0" w:color="auto"/>
            <w:bottom w:val="none" w:sz="0" w:space="0" w:color="auto"/>
            <w:right w:val="none" w:sz="0" w:space="0" w:color="auto"/>
          </w:divBdr>
        </w:div>
      </w:divsChild>
    </w:div>
    <w:div w:id="1778675513">
      <w:bodyDiv w:val="1"/>
      <w:marLeft w:val="0"/>
      <w:marRight w:val="0"/>
      <w:marTop w:val="0"/>
      <w:marBottom w:val="0"/>
      <w:divBdr>
        <w:top w:val="none" w:sz="0" w:space="0" w:color="auto"/>
        <w:left w:val="none" w:sz="0" w:space="0" w:color="auto"/>
        <w:bottom w:val="none" w:sz="0" w:space="0" w:color="auto"/>
        <w:right w:val="none" w:sz="0" w:space="0" w:color="auto"/>
      </w:divBdr>
    </w:div>
    <w:div w:id="1809784059">
      <w:bodyDiv w:val="1"/>
      <w:marLeft w:val="0"/>
      <w:marRight w:val="0"/>
      <w:marTop w:val="0"/>
      <w:marBottom w:val="0"/>
      <w:divBdr>
        <w:top w:val="none" w:sz="0" w:space="0" w:color="auto"/>
        <w:left w:val="none" w:sz="0" w:space="0" w:color="auto"/>
        <w:bottom w:val="none" w:sz="0" w:space="0" w:color="auto"/>
        <w:right w:val="none" w:sz="0" w:space="0" w:color="auto"/>
      </w:divBdr>
    </w:div>
    <w:div w:id="1830244673">
      <w:bodyDiv w:val="1"/>
      <w:marLeft w:val="0"/>
      <w:marRight w:val="0"/>
      <w:marTop w:val="0"/>
      <w:marBottom w:val="0"/>
      <w:divBdr>
        <w:top w:val="none" w:sz="0" w:space="0" w:color="auto"/>
        <w:left w:val="none" w:sz="0" w:space="0" w:color="auto"/>
        <w:bottom w:val="none" w:sz="0" w:space="0" w:color="auto"/>
        <w:right w:val="none" w:sz="0" w:space="0" w:color="auto"/>
      </w:divBdr>
    </w:div>
    <w:div w:id="1840924408">
      <w:bodyDiv w:val="1"/>
      <w:marLeft w:val="0"/>
      <w:marRight w:val="0"/>
      <w:marTop w:val="0"/>
      <w:marBottom w:val="0"/>
      <w:divBdr>
        <w:top w:val="none" w:sz="0" w:space="0" w:color="auto"/>
        <w:left w:val="none" w:sz="0" w:space="0" w:color="auto"/>
        <w:bottom w:val="none" w:sz="0" w:space="0" w:color="auto"/>
        <w:right w:val="none" w:sz="0" w:space="0" w:color="auto"/>
      </w:divBdr>
    </w:div>
    <w:div w:id="1889218144">
      <w:bodyDiv w:val="1"/>
      <w:marLeft w:val="0"/>
      <w:marRight w:val="0"/>
      <w:marTop w:val="0"/>
      <w:marBottom w:val="0"/>
      <w:divBdr>
        <w:top w:val="none" w:sz="0" w:space="0" w:color="auto"/>
        <w:left w:val="none" w:sz="0" w:space="0" w:color="auto"/>
        <w:bottom w:val="none" w:sz="0" w:space="0" w:color="auto"/>
        <w:right w:val="none" w:sz="0" w:space="0" w:color="auto"/>
      </w:divBdr>
    </w:div>
    <w:div w:id="1936670779">
      <w:bodyDiv w:val="1"/>
      <w:marLeft w:val="0"/>
      <w:marRight w:val="0"/>
      <w:marTop w:val="0"/>
      <w:marBottom w:val="0"/>
      <w:divBdr>
        <w:top w:val="none" w:sz="0" w:space="0" w:color="auto"/>
        <w:left w:val="none" w:sz="0" w:space="0" w:color="auto"/>
        <w:bottom w:val="none" w:sz="0" w:space="0" w:color="auto"/>
        <w:right w:val="none" w:sz="0" w:space="0" w:color="auto"/>
      </w:divBdr>
    </w:div>
    <w:div w:id="1966812349">
      <w:bodyDiv w:val="1"/>
      <w:marLeft w:val="0"/>
      <w:marRight w:val="0"/>
      <w:marTop w:val="0"/>
      <w:marBottom w:val="0"/>
      <w:divBdr>
        <w:top w:val="none" w:sz="0" w:space="0" w:color="auto"/>
        <w:left w:val="none" w:sz="0" w:space="0" w:color="auto"/>
        <w:bottom w:val="none" w:sz="0" w:space="0" w:color="auto"/>
        <w:right w:val="none" w:sz="0" w:space="0" w:color="auto"/>
      </w:divBdr>
    </w:div>
    <w:div w:id="2045710351">
      <w:bodyDiv w:val="1"/>
      <w:marLeft w:val="0"/>
      <w:marRight w:val="0"/>
      <w:marTop w:val="0"/>
      <w:marBottom w:val="0"/>
      <w:divBdr>
        <w:top w:val="none" w:sz="0" w:space="0" w:color="auto"/>
        <w:left w:val="none" w:sz="0" w:space="0" w:color="auto"/>
        <w:bottom w:val="none" w:sz="0" w:space="0" w:color="auto"/>
        <w:right w:val="none" w:sz="0" w:space="0" w:color="auto"/>
      </w:divBdr>
    </w:div>
    <w:div w:id="211393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4217F1B-2348-1642-A9DC-C87A2573D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29</Pages>
  <Words>29882</Words>
  <Characters>170332</Characters>
  <Application>Microsoft Office Word</Application>
  <DocSecurity>0</DocSecurity>
  <Lines>1419</Lines>
  <Paragraphs>399</Paragraphs>
  <ScaleCrop>false</ScaleCrop>
  <HeadingPairs>
    <vt:vector size="2" baseType="variant">
      <vt:variant>
        <vt:lpstr>Title</vt:lpstr>
      </vt:variant>
      <vt:variant>
        <vt:i4>1</vt:i4>
      </vt:variant>
    </vt:vector>
  </HeadingPairs>
  <TitlesOfParts>
    <vt:vector size="1" baseType="lpstr">
      <vt:lpstr/>
    </vt:vector>
  </TitlesOfParts>
  <Company>Universitaet Liechtenstein</Company>
  <LinksUpToDate>false</LinksUpToDate>
  <CharactersWithSpaces>199815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claudio.lamprecht@student.unisg.ch</dc:creator>
  <cp:keywords/>
  <dc:description/>
  <cp:lastModifiedBy>Moellers, Thomas</cp:lastModifiedBy>
  <cp:revision>8</cp:revision>
  <cp:lastPrinted>2019-03-17T15:46:00Z</cp:lastPrinted>
  <dcterms:created xsi:type="dcterms:W3CDTF">2019-03-17T15:46:00Z</dcterms:created>
  <dcterms:modified xsi:type="dcterms:W3CDTF">2019-06-04T13:14:00Z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esitzer">
    <vt:lpwstr>Michael Weiser</vt:lpwstr>
  </property>
  <property fmtid="{D5CDD505-2E9C-101B-9397-08002B2CF9AE}" pid="3" name="Zweck">
    <vt:lpwstr>Vorlage für wissenschaftliche Arbeiten an der Universität Liechtenstein</vt:lpwstr>
  </property>
  <property fmtid="{D5CDD505-2E9C-101B-9397-08002B2CF9AE}" pid="4" name="CitaviDocumentProperty_7">
    <vt:lpwstr>Masterthesis_AgileBMI</vt:lpwstr>
  </property>
  <property fmtid="{D5CDD505-2E9C-101B-9397-08002B2CF9AE}" pid="5" name="CitaviDocumentProperty_0">
    <vt:lpwstr>dd40b498-dd96-4c8b-9a97-3f40560c6f42</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6th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16th edition (author-date)</vt:lpwstr>
  </property>
  <property fmtid="{D5CDD505-2E9C-101B-9397-08002B2CF9AE}" pid="14" name="Mendeley Recent Style Id 4_1">
    <vt:lpwstr>http://www.zotero.org/styles/harvard1</vt:lpwstr>
  </property>
  <property fmtid="{D5CDD505-2E9C-101B-9397-08002B2CF9AE}" pid="15" name="Mendeley Recent Style Name 4_1">
    <vt:lpwstr>Harvard Reference format 1 (author-date)</vt:lpwstr>
  </property>
  <property fmtid="{D5CDD505-2E9C-101B-9397-08002B2CF9AE}" pid="16" name="Mendeley Recent Style Id 5_1">
    <vt:lpwstr>http://www.zotero.org/styles/ieee</vt:lpwstr>
  </property>
  <property fmtid="{D5CDD505-2E9C-101B-9397-08002B2CF9AE}" pid="17" name="Mendeley Recent Style Name 5_1">
    <vt:lpwstr>IEEE</vt:lpwstr>
  </property>
  <property fmtid="{D5CDD505-2E9C-101B-9397-08002B2CF9AE}" pid="18" name="Mendeley Recent Style Id 6_1">
    <vt:lpwstr>http://www.zotero.org/styles/modern-humanities-research-association</vt:lpwstr>
  </property>
  <property fmtid="{D5CDD505-2E9C-101B-9397-08002B2CF9AE}" pid="19" name="Mendeley Recent Style Name 6_1">
    <vt:lpwstr>Modern Humanities Research Association 3rd edition (note with bibliography)</vt:lpwstr>
  </property>
  <property fmtid="{D5CDD505-2E9C-101B-9397-08002B2CF9AE}" pid="20" name="Mendeley Recent Style Id 7_1">
    <vt:lpwstr>http://www.zotero.org/styles/modern-language-association</vt:lpwstr>
  </property>
  <property fmtid="{D5CDD505-2E9C-101B-9397-08002B2CF9AE}" pid="21" name="Mendeley Recent Style Name 7_1">
    <vt:lpwstr>Modern Language Association 7th edition</vt:lpwstr>
  </property>
  <property fmtid="{D5CDD505-2E9C-101B-9397-08002B2CF9AE}" pid="22" name="Mendeley Recent Style Id 8_1">
    <vt:lpwstr>http://www.zotero.org/styles/national-library-of-medicine</vt:lpwstr>
  </property>
  <property fmtid="{D5CDD505-2E9C-101B-9397-08002B2CF9AE}" pid="23" name="Mendeley Recent Style Name 8_1">
    <vt:lpwstr>National Library of Medicine</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y fmtid="{D5CDD505-2E9C-101B-9397-08002B2CF9AE}" pid="26" name="CitaviDocumentProperty_8">
    <vt:lpwstr>C:\Users\claud\Documents\Citavi 5\Projects\Masterthesis_AgileBMI\Masterthesis_AgileBMI.ctv5</vt:lpwstr>
  </property>
  <property fmtid="{D5CDD505-2E9C-101B-9397-08002B2CF9AE}" pid="27" name="CitaviDocumentProperty_1">
    <vt:lpwstr>5.7.1.0</vt:lpwstr>
  </property>
  <property fmtid="{D5CDD505-2E9C-101B-9397-08002B2CF9AE}" pid="28" name="CitaviDocumentProperty_6">
    <vt:lpwstr>False</vt:lpwstr>
  </property>
  <property fmtid="{D5CDD505-2E9C-101B-9397-08002B2CF9AE}" pid="29" name="Mendeley Document_1">
    <vt:lpwstr>True</vt:lpwstr>
  </property>
  <property fmtid="{D5CDD505-2E9C-101B-9397-08002B2CF9AE}" pid="30" name="Mendeley Unique User Id_1">
    <vt:lpwstr>83dd721c-dff0-39d6-b251-73c1b4cec029</vt:lpwstr>
  </property>
  <property fmtid="{D5CDD505-2E9C-101B-9397-08002B2CF9AE}" pid="31" name="Mendeley Citation Style_1">
    <vt:lpwstr>http://www.zotero.org/styles/apa</vt:lpwstr>
  </property>
</Properties>
</file>