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55B2BA6" w14:textId="77777777" w:rsidR="0092576A" w:rsidRPr="00247D65" w:rsidRDefault="0092576A" w:rsidP="0092576A">
      <w:pPr>
        <w:jc w:val="center"/>
      </w:pPr>
      <w:r w:rsidRPr="00FF0A24">
        <w:rPr>
          <w:b/>
        </w:rPr>
        <w:t xml:space="preserve">Conversational </w:t>
      </w:r>
      <w:r>
        <w:rPr>
          <w:b/>
        </w:rPr>
        <w:t xml:space="preserve">Interfaces as Persuasion Instruments: Implications for Consumer Choice and Brand Perceptions </w:t>
      </w:r>
      <w:r>
        <w:t>(WC=972)</w:t>
      </w:r>
    </w:p>
    <w:p w14:paraId="25A657DF" w14:textId="77777777" w:rsidR="0092576A" w:rsidRPr="00247D65" w:rsidRDefault="0092576A" w:rsidP="0092576A">
      <w:pPr>
        <w:jc w:val="center"/>
        <w:rPr>
          <w:vertAlign w:val="superscript"/>
        </w:rPr>
      </w:pPr>
      <w:r w:rsidRPr="00FF0A24">
        <w:rPr>
          <w:u w:val="single"/>
        </w:rPr>
        <w:t>Anouk Bergner</w:t>
      </w:r>
      <w:r>
        <w:rPr>
          <w:vertAlign w:val="superscript"/>
        </w:rPr>
        <w:t>1</w:t>
      </w:r>
    </w:p>
    <w:p w14:paraId="7985D44F" w14:textId="77777777" w:rsidR="0092576A" w:rsidRPr="00247D65" w:rsidRDefault="0092576A" w:rsidP="0092576A">
      <w:pPr>
        <w:jc w:val="center"/>
        <w:rPr>
          <w:vertAlign w:val="superscript"/>
        </w:rPr>
      </w:pPr>
      <w:r w:rsidRPr="00FF0A24">
        <w:t>Christian Hildebrand</w:t>
      </w:r>
      <w:r>
        <w:rPr>
          <w:vertAlign w:val="superscript"/>
        </w:rPr>
        <w:t>1</w:t>
      </w:r>
    </w:p>
    <w:p w14:paraId="1E2ED3C9" w14:textId="77777777" w:rsidR="0092576A" w:rsidRPr="00247D65" w:rsidRDefault="0092576A" w:rsidP="0092576A">
      <w:pPr>
        <w:jc w:val="center"/>
        <w:rPr>
          <w:b/>
          <w:vertAlign w:val="superscript"/>
        </w:rPr>
      </w:pPr>
      <w:r w:rsidRPr="00FF0A24">
        <w:t>Gerald Häub</w:t>
      </w:r>
      <w:r w:rsidRPr="00247D65">
        <w:t>l</w:t>
      </w:r>
      <w:r w:rsidRPr="00247D65">
        <w:rPr>
          <w:vertAlign w:val="superscript"/>
        </w:rPr>
        <w:t>2</w:t>
      </w:r>
    </w:p>
    <w:p w14:paraId="057F8DE1" w14:textId="77777777" w:rsidR="0092576A" w:rsidRDefault="0092576A" w:rsidP="0092576A">
      <w:pPr>
        <w:jc w:val="center"/>
      </w:pPr>
      <w:r>
        <w:t>(</w:t>
      </w:r>
      <w:r>
        <w:rPr>
          <w:vertAlign w:val="superscript"/>
        </w:rPr>
        <w:t>1</w:t>
      </w:r>
      <w:r>
        <w:t xml:space="preserve">University of </w:t>
      </w:r>
      <w:proofErr w:type="spellStart"/>
      <w:proofErr w:type="gramStart"/>
      <w:r>
        <w:t>St.Gallen</w:t>
      </w:r>
      <w:proofErr w:type="spellEnd"/>
      <w:proofErr w:type="gramEnd"/>
      <w:r>
        <w:t xml:space="preserve">, </w:t>
      </w:r>
      <w:r>
        <w:rPr>
          <w:vertAlign w:val="superscript"/>
        </w:rPr>
        <w:t>2</w:t>
      </w:r>
      <w:r>
        <w:t>University of Alberta)</w:t>
      </w:r>
    </w:p>
    <w:p w14:paraId="0972ABA3" w14:textId="77777777" w:rsidR="0092576A" w:rsidRDefault="0092576A" w:rsidP="0092576A">
      <w:pPr>
        <w:ind w:firstLine="720"/>
      </w:pPr>
      <w:r>
        <w:rPr>
          <w:rFonts w:eastAsia="Calibri"/>
        </w:rPr>
        <w:t xml:space="preserve">Advances in natural language processing and the adoption of conversational interfaces gradually transform how consumers interact with firms </w:t>
      </w:r>
      <w:r>
        <w:rPr>
          <w:rFonts w:eastAsia="Calibri"/>
        </w:rPr>
        <w:fldChar w:fldCharType="begin" w:fldLock="1"/>
      </w:r>
      <w:r>
        <w:rPr>
          <w:rFonts w:eastAsia="Calibri"/>
        </w:rPr>
        <w:instrText>ADDIN CSL_CITATION {"citationItems":[{"id":"ITEM-1","itemData":{"DOI":"10.1126/science.aaa8685","ISBN":"9781139051729","ISSN":"0036-8075","PMID":"26185244","abstract":"Natural language processing employs computational techniques for the purpose of learning, understanding, and producing human language content. Early computational approaches to language research focused on automating the analysis of the linguistic structure of language and developing basic technologies such as machine translation, speech recognition, and speech synthesis. Today’s researchers refine and make use of such tools in real-world applications, creating spoken dialogue systems and speech-to-speech translation engines, mining social media for information about health or finance, and identifying sentiment and emotion toward products and services. We describe successes and challenges in this rapidly advancing area.","author":[{"dropping-particle":"","family":"Hirschberg","given":"Julia","non-dropping-particle":"","parse-names":false,"suffix":""},{"dropping-particle":"","family":"Manning","given":"Christopher D","non-dropping-particle":"","parse-names":false,"suffix":""}],"container-title":"Science","id":"ITEM-1","issue":"6245","issued":{"date-parts":[["2015"]]},"page":"261-266","title":"Advances in natural language processing","type":"article-journal","volume":"349"},"uris":["http://www.mendeley.com/documents/?uuid=f5de2974-6b20-47a7-a20f-bc2d22d6aa69","http://www.mendeley.com/documents/?uuid=b0345aa4-6ae4-42a8-b7b4-1027d94c84d3"]},{"id":"ITEM-2","itemData":{"URL":"http://uk.businessinsider.com/80-of-businesses-want-chatbots-by-2020-2016-12?r=US&amp;IR=T","abstract":"Businesses are beginning to see the benefits of using chatbots for their consumer-facing products, according to a survey by Oracle. The survey included responses from 800 decision makers including chief marketing officers, chief strategy officers, senior marketers, and senior sales executives from France, the Netherlands, South Africa, and the UK. When asked which emerging technologies they are already using and which they intended to implement, 80% of respondents said they already used or planned to use chatbots by 2020. Chatbots are interactive software platforms that reside in apps, live chat, email, and SMS and can behave in a human-like manner. Additionally, the survey shows that business leaders and decision makers are turning to the broader umbrella of automation technologies, which includes chatbots, for things like sales, marketing, and customer service. Forty-two percent of participants believe automation technologies in these areas will most improve the customer experience. And 48% said that they already use automation technology for these business functions, with 40% planning to implement some form of automated technology by 2020. This makes sense given the impact automation technology could have on cutting labor costs. Although complete automation of the customer service workforce is not feasible, automating customer management and sales positions in the US would result in considerable savings. Twenty-nine percent of customer service positions in the US could be automated through chatbots and other tech, according to Public Tableau. We estimate this translates to $23 billion in savings from annual salaries, which does not even factor in additional workforce costs like health insurance. Advancements in artificial intelligence, coupled with the proliferation of messaging apps, are fueling the development of chatbots — software programs that use messaging as the interface through which to carry out any number of tasks, from scheduling a meeting, to reporting weather, to helping users buy a pair of shoes. Foreseeing immense potential, businesses are starting to invest heavily in the burgeoning bot economy. A number of brands and publishers have already deployed bots on messaging and collaboration channels, including HP, 1-800-Flowers, and CNN. While the bot revolution is still in the early phase, many believe 2016 will be the year these conversational interactions take off. Laurie Beaver, research associate for BI Intelli…","accessed":{"date-parts":[["2018","11","13"]]},"author":[{"dropping-particle":"","family":"BI Intelligence","given":"","non-dropping-particle":"","parse-names":false,"suffix":""}],"container-title":"Business Insider UK","id":"ITEM-2","issued":{"date-parts":[["2016"]]},"title":"80% of businesses want chatbots by 2020","type":"webpage"},"uris":["http://www.mendeley.com/documents/?uuid=8474e17e-1c34-4e96-b198-e0e6977d46d8","http://www.mendeley.com/documents/?uuid=6f3178f7-b8e9-4bc6-97df-94e6d8031ccd"]},{"id":"ITEM-3","itemData":{"DOI":"10.1017/S1351324916000243","ISBN":"9781582701981\\r1582701989","ISSN":"14698110","PMID":"15322655","abstract":"&lt;p&gt;By all accounts, 2016 is the year of the chatbot. Some commentators take the view that chatbot technology will be so disruptive that it will eliminate the need for websites and apps. But chatbots have a long history. So what's new, and what's different this time? And is there an opportunity here to improve how our industry does technology transfer?&lt;/p&gt;","author":[{"dropping-particle":"","family":"Dale","given":"Robert","non-dropping-particle":"","parse-names":false,"suffix":""}],"container-title":"Natural Language Engineering","id":"ITEM-3","issue":"5","issued":{"date-parts":[["2016"]]},"page":"811-817","title":"The return of the chatbots","type":"article-journal","volume":"22"},"uris":["http://www.mendeley.com/documents/?uuid=6f3e0eed-90dc-4e3f-b84c-5bbc35167a2d"]}],"mendeley":{"formattedCitation":"(BI Intelligence 2016; Dale 2016; Hirschberg and Manning 2015)","plainTextFormattedCitation":"(BI Intelligence 2016; Dale 2016; Hirschberg and Manning 2015)","previouslyFormattedCitation":"(BI Intelligence 2016; Dale 2016; Hirschberg and Manning 2015)"},"properties":{"noteIndex":0},"schema":"https://github.com/citation-style-language/schema/raw/master/csl-citation.json"}</w:instrText>
      </w:r>
      <w:r>
        <w:rPr>
          <w:rFonts w:eastAsia="Calibri"/>
        </w:rPr>
        <w:fldChar w:fldCharType="separate"/>
      </w:r>
      <w:r w:rsidRPr="00EA31E2">
        <w:rPr>
          <w:rFonts w:eastAsia="Calibri"/>
          <w:noProof/>
        </w:rPr>
        <w:t>(BI Intelligence 2016; Dale 2016; Hirschberg and Manning 2015)</w:t>
      </w:r>
      <w:r>
        <w:rPr>
          <w:rFonts w:eastAsia="Calibri"/>
        </w:rPr>
        <w:fldChar w:fldCharType="end"/>
      </w:r>
      <w:r>
        <w:t xml:space="preserve">. The use of messenger systems as a new interaction paradigm between human consumers and intelligent bots has been declared as the “next operating system in commerce” </w:t>
      </w:r>
      <w:r>
        <w:fldChar w:fldCharType="begin" w:fldLock="1"/>
      </w:r>
      <w:r>
        <w:instrText>ADDIN CSL_CITATION {"citationItems":[{"id":"ITEM-1","itemData":{"DOI":"10.1007/978-3-319-70305-3_5","ISBN":"9783319703046","ISSN":"18651348","author":[{"dropping-particle":"","family":"Suri","given":"Vipin K.","non-dropping-particle":"","parse-names":false,"suffix":""},{"dropping-particle":"","family":"Elia","given":"Marianne","non-dropping-particle":"","parse-names":false,"suffix":""},{"dropping-particle":"","family":"Hillegersberg","given":"Jos","non-dropping-particle":"van","parse-names":false,"suffix":""}],"container-title":"Global Sourcing of Digital Services: Micro and Macro Perspectives","editor":[{"dropping-particle":"","family":"Oshri","given":"I.","non-dropping-particle":"","parse-names":false,"suffix":""},{"dropping-particle":"","family":"Kotlarsky","given":"J.","non-dropping-particle":"","parse-names":false,"suffix":""},{"dropping-particle":"","family":"Willcocks","given":"L.","non-dropping-particle":"","parse-names":false,"suffix":""}],"id":"ITEM-1","issued":{"date-parts":[["2017"]]},"page":"81-94","publisher":"Springer Cham","title":"Software bots -The next frontier for shared services and functional excellence","type":"chapter","volume":"306"},"uris":["http://www.mendeley.com/documents/?uuid=dec46e2f-a035-4592-9b81-e7492414a737","http://www.mendeley.com/documents/?uuid=9a266bdb-41e2-4a3f-bad3-4e92fa8a70b4"]},{"id":"ITEM-2","itemData":{"ISSN":"0013-0613","URL":"https://www.economist.com/business/2016/04/09/bots-the-next-frontier","abstract":"The market for apps is maturing. Now one for text-based services, or chatbots, looks poised to take off","accessed":{"date-parts":[["2018","11","13"]]},"author":[{"dropping-particle":"","family":"The Economist","given":"","non-dropping-particle":"","parse-names":false,"suffix":""}],"container-title":"The Economist","id":"ITEM-2","issued":{"date-parts":[["2016"]]},"title":"Bots , the next frontier","type":"webpage"},"uris":["http://www.mendeley.com/documents/?uuid=c4d6a644-0827-48fc-b7cd-e25897eb3263","http://www.mendeley.com/documents/?uuid=c3f6bde5-a981-4b3b-af84-ec499de0eefb"]}],"mendeley":{"formattedCitation":"(Suri, Elia, and van Hillegersberg 2017; The Economist 2016)","plainTextFormattedCitation":"(Suri, Elia, and van Hillegersberg 2017; The Economist 2016)","previouslyFormattedCitation":"(Economist 2016; Suri, Elia, and van Hillegersberg 2017)"},"properties":{"noteIndex":0},"schema":"https://github.com/citation-style-language/schema/raw/master/csl-citation.json"}</w:instrText>
      </w:r>
      <w:r>
        <w:fldChar w:fldCharType="separate"/>
      </w:r>
      <w:r w:rsidRPr="00133941">
        <w:rPr>
          <w:noProof/>
        </w:rPr>
        <w:t>(Suri, Elia, and van Hillegersberg 2017; The Economist 2016)</w:t>
      </w:r>
      <w:r>
        <w:fldChar w:fldCharType="end"/>
      </w:r>
      <w:r>
        <w:t xml:space="preserve"> and is changing how humans search, shop, and express their preferences </w:t>
      </w:r>
      <w:r>
        <w:fldChar w:fldCharType="begin" w:fldLock="1"/>
      </w:r>
      <w:r>
        <w:instrText>ADDIN CSL_CITATION {"citationItems":[{"id":"ITEM-1","itemData":{"DOI":"10.2139/ssrn.1816494","ISBN":"07322399","ISSN":"1556-5068","PMID":"76388962","abstract":"Web 2.0 provides gathering places for internet users in blogs, forums, and chat- rooms. These gathering places leave footprints in the form of colossal amounts of data. These data include consumers’ thoughts, beliefs, experiences, and even interactions. In this paper, we propose an approach to transform the Web 2.0 to a large, yet readily available, marketing field test. Exploring such online user-generated content offers the firm an opportunity to “listen” to consumers in the market in general and to its own customers in particular. By observing what customers write about the products in the category, the firm can get a better understanding of the market structure, the competitive landscape, and the features discussed about its and the competition’s products. The difficulty in obtaining such insights is that consumers’ postings are often not easy to syndicate. A decoding mechanism is needed in order to transform these raw qualitative data into meaningful knowledge. To address these issues, we developed an advanced text mining approach (called CARE) and combine it with semantic network analysis tools. We demonstrate this approach using two cases—sedan cars and diabetes drugs—generating sensible perceptual maps and meaningful insights, without interviewing a single consumer. 1","author":[{"dropping-particle":"","family":"Feldman","given":"Ronen","non-dropping-particle":"","parse-names":false,"suffix":""},{"dropping-particle":"","family":"Goldenberg","given":"Jacob","non-dropping-particle":"","parse-names":false,"suffix":""},{"dropping-particle":"","family":"Netzer","given":"Oded","non-dropping-particle":"","parse-names":false,"suffix":""}],"container-title":"Marketing Science Institute, Special Report","id":"ITEM-1","issue":"3","issued":{"date-parts":[["2010"]]},"page":"10-202","title":"Mine your own business: Market structure surveillance through text mining","type":"article-journal","volume":"10"},"uris":["http://www.mendeley.com/documents/?uuid=9b14017a-f3d0-4063-b951-f3fa8cf7a2cb","http://www.mendeley.com/documents/?uuid=435b1a2b-141b-44d8-a5f9-fdf13c187d1c"]},{"id":"ITEM-2","itemData":{"DOI":"10.1007/s11002-013-9268-8","ISBN":"09230645","ISSN":"09230645","PMID":"1651746017","abstract":"Text-based electronic word-of-mouth (eWOM) communication has increas- ingly become an important channel for consumers to exchange information about products and services. How to effectively utilize the enormous amount of text infor- mation poses a great challenge to marketing researchers and practitioners. This study takes an initial step to investigate the validities and usefulness of text mining, a promising approach in generating valuable information from eWOM communication. Bilateral data were collected from both eWOM senders and readers via two web-based surveys. Results provide initial evidence for the validity and utility of text mining and demonstrate that the linguistic indicators generated by text analysis are predictive of eWOM communicators’ attitudes toward a product or service. Text analysis indicators (e.g., Negations and Money) can explain additional variance in eWOM communica- tors’ attitudes above and beyond the star ratings and may become a promising supplement to the widely used star ratings as indicators of eWOM valence.","author":[{"dropping-particle":"","family":"Tang","given":"Chuanyi","non-dropping-particle":"","parse-names":false,"suffix":""},{"dropping-particle":"","family":"Guo","given":"Lin","non-dropping-particle":"","parse-names":false,"suffix":""}],"container-title":"Marketing Letters","id":"ITEM-2","issue":"1","issued":{"date-parts":[["2013"]]},"page":"67-80","title":"Digging for gold with a simple tool: Validating text mining in studying electronic word-of-mouth (eWOM) communication","type":"article-journal","volume":"26"},"uris":["http://www.mendeley.com/documents/?uuid=3038f0b8-4b2d-497e-af5b-c4f02600f140","http://www.mendeley.com/documents/?uuid=01ffdffa-7fdb-43c4-b6b5-aadfe4e558f7"]}],"mendeley":{"formattedCitation":"(Feldman, Goldenberg, and Netzer 2010; Tang and Guo 2013)","plainTextFormattedCitation":"(Feldman, Goldenberg, and Netzer 2010; Tang and Guo 2013)","previouslyFormattedCitation":"(Feldman, Goldenberg, and Netzer 2010; Tang and Guo 2013)"},"properties":{"noteIndex":0},"schema":"https://github.com/citation-style-language/schema/raw/master/csl-citation.json"}</w:instrText>
      </w:r>
      <w:r>
        <w:fldChar w:fldCharType="separate"/>
      </w:r>
      <w:r w:rsidRPr="00E90A5D">
        <w:rPr>
          <w:noProof/>
        </w:rPr>
        <w:t>(Feldman, Goldenberg, and Netzer 2010; Tang and Guo 2013)</w:t>
      </w:r>
      <w:r>
        <w:fldChar w:fldCharType="end"/>
      </w:r>
      <w:r>
        <w:t>.</w:t>
      </w:r>
    </w:p>
    <w:p w14:paraId="0F2F36DA" w14:textId="77777777" w:rsidR="0092576A" w:rsidRDefault="0092576A" w:rsidP="0092576A">
      <w:pPr>
        <w:spacing w:before="80"/>
        <w:ind w:firstLine="567"/>
      </w:pPr>
      <w:r>
        <w:t xml:space="preserve">Research on the impact of these novel forms of conversational interaction modalities on consumers is both scarce and predominantly concerned with design and technology-related issues rather than the consequences for consumer behavior. Specifically, the majority of prior work examined either factors related to optimizing system design features </w:t>
      </w:r>
      <w:r>
        <w:fldChar w:fldCharType="begin" w:fldLock="1"/>
      </w:r>
      <w:r>
        <w:instrText>ADDIN CSL_CITATION {"citationItems":[{"id":"ITEM-1","itemData":{"DOI":"10.3844/jcssp.2010.1212.1218","ISSN":"15493636","abstract":"Problem statement: Artificial intelligence chatbot is a technology that makes interactions between man and machines using natural language possible. From literature, we found out that in general, chatbot are functions like a typical search engine. Although chatbot just produced only one output instead of multiple outputs/results, the basic process flow is the same where each time an input is entered, the new search will be done. Nothing related to previous output. This research is focused on enabling chatbot to become a search engine that can process the next search with the relation to the previous search output. In chatbot context, this functionality will enhance the capability of chatbot's input processing. Approach: In attempt to augment the traditional mechanism of chatbot processes, we used the relational database model approach to redesign the architecture of chatbot in a whole as well as incorporated the algorithm of Extension and Prerequisite (our proposed algorithm). By using this design, we had developed and tested Virtual Diabetes physician (ViDi), a web-based chatbot that function in specific domain of Diabetes education. Results: Extension and prerequisite enabled relations between responses that significantly make it easier for user to chat with chatbot using the same approach as chatting with an actual human. Chatbot can give different responses from the same input given by user according to current conversation issue. Conclusion: Extension and prerequisite makes chatting with chatbot becomes more likely as chatting with an actual human prior to the relations between responses that produce a response related to the current conversation issue. © 2010 Science Publications.","author":[{"dropping-particle":"","family":"Lokman","given":"Abbas Saliimi","non-dropping-particle":"","parse-names":false,"suffix":""},{"dropping-particle":"","family":"Zain","given":"Jasni Mohamad","non-dropping-particle":"","parse-names":false,"suffix":""}],"container-title":"Journal of Computer Science","id":"ITEM-1","issue":"10","issued":{"date-parts":[["2010"]]},"page":"1212-1218","title":"Extension and prerequisite: An algorithm to enable relations between responses in chatbot technology","type":"article-journal","volume":"6"},"uris":["http://www.mendeley.com/documents/?uuid=ab8c8792-6615-48c8-bd54-1cce21a446eb","http://www.mendeley.com/documents/?uuid=68c547c8-af66-419f-9d6c-fab43e7239f0"]},{"id":"ITEM-2","itemData":{"DOI":"10.1145/2631171","ISSN":"00010782","abstract":"From the intersection of computational science and technological speculation, with boundaries limited only by our ability to imagine what could be. Autonomous or not, design is destiny.&lt;!-- END_PAGE_1 --&gt;","author":[{"dropping-particle":"","family":"Landis","given":"Geoffrey A.","non-dropping-particle":"","parse-names":false,"suffix":""}],"container-title":"Communications of the ACM","id":"ITEM-2","issue":"7","issued":{"date-parts":[["2014"]]},"page":"112-ff","title":"Future Tense: The Chatbot and the Drone","type":"article-journal","volume":"57"},"uris":["http://www.mendeley.com/documents/?uuid=96296cdb-d391-4fb9-887a-559cc11bb1c9","http://www.mendeley.com/documents/?uuid=7c5091f7-f042-47ba-a35a-183ffba573fe"]}],"mendeley":{"formattedCitation":"(Landis 2014; Lokman and Zain 2010)","plainTextFormattedCitation":"(Landis 2014; Lokman and Zain 2010)","previouslyFormattedCitation":"(Landis 2014; Lokman and Zain 2010)"},"properties":{"noteIndex":0},"schema":"https://github.com/citation-style-language/schema/raw/master/csl-citation.json"}</w:instrText>
      </w:r>
      <w:r>
        <w:fldChar w:fldCharType="separate"/>
      </w:r>
      <w:r w:rsidRPr="002E2AE9">
        <w:rPr>
          <w:noProof/>
        </w:rPr>
        <w:t>(Landis 2014; Lokman and Zain 2010)</w:t>
      </w:r>
      <w:r>
        <w:fldChar w:fldCharType="end"/>
      </w:r>
      <w:r>
        <w:t xml:space="preserve">, user perceptions and acceptance </w:t>
      </w:r>
      <w:r>
        <w:fldChar w:fldCharType="begin" w:fldLock="1"/>
      </w:r>
      <w:r>
        <w:instrText xml:space="preserve">ADDIN CSL_CITATION {"citationItems":[{"id":"ITEM-1","itemData":{"DOI":"10.1007/11944577_37","ISBN":"0302-9743","ISSN":"0302-9743","abstract":"“CitizenTalk”, an applied research project at FH Erfurt, investigates the potential and challenges of interactive communication using chatbots as an innovative tool for involving citizens in public planning processes. This comprises research into the state of the art in virtual planning communication, as well as the technical possibilities of chatbot communication. We present the opportunities and limitations associated with the adoption of chatbot concepts and show future prospects offered by storytelling mechanisms. An authoring tool is presented together with a new scheme to control the communication process better than current chatbot technologies and approaches allow.","author":[{"dropping-particle":"","family":"Boden","given":"Cordula","non-dropping-particle":"","parse-names":false,"suffix":""},{"dropping-particle":"","family":"Fischer","given":"Jessika","non-dropping-particle":"","parse-names":false,"suffix":""},{"dropping-particle":"","family":"Herbig","given":"Kathrin","non-dropping-particle":"","parse-names":false,"suffix":""},{"dropping-particle":"","family":"Spierling","given":"Ulrike","non-dropping-particle":"","parse-names":false,"suffix":""}],"container-title":"Technologies for Interactive Digital Storytelling and Entertainment","id":"ITEM-1","issued":{"date-parts":[["2006"]]},"page":"370–381","title":"CitizenTalk: application of chatbot infotainment to e-democracy","type":"article-journal"},"uris":["http://www.mendeley.com/documents/?uuid=c1211c1e-f010-42c5-bbe3-4481789496dd","http://www.mendeley.com/documents/?uuid=af956317-a7a6-4858-b1e2-6608387475d7"]},{"id":"ITEM-2","itemData":{"DOI":"10.12720/joace.3.2.137-140","ISSN":"23013702","abstract":"—The paper introduces a Pharmabot: A Pediatric Generic Medicine Consultant Chatbot. It is a conversational chatbot that is designed to prescribe, suggest and give information on generic medicines for children. The study introduces a computer application that act as a medicine consultant for the patients or parents who are confused with the generic medicines. The researchers use Left and Right Parsing Algorithm in their study to come up with the desired result. </w:instrText>
      </w:r>
      <w:r>
        <w:instrText> Index Terms—generic medicine, medicine consultant, pediatric consultation, chatbot, natural language processing","author":[{"dropping-particle":"V.","family":"Comendador","given":"Benilda Eleonor","non-dropping-particle":"","parse-names":false,"suffix":""},{"dropping-particle":"","family":"Francisco","given":"Bien Michael B.","non-dropping-particle":"","parse-names":false,"suffix":""},{"dropping-particle":"","family":"Medenilla","given":"Jefferson S.","non-dropping-particle":"","parse-names":false,"suffix":""},{"dropping-particle":"","family":"Nacion","given":"Sharleen Mae T.","non-dropping-particle":"","parse-names":false,"suffix":""},{"dropping-particle":"","family":"Serac","given":"Timothy Bryle E.","non-dropping-particle":"","parse-names":false,"suffix":""}],"container-title":"Journal of Automation and Control Engineering","id":"ITEM-2","issue":"2","issued":{"date-parts":[["2015"]]},"page":"137-140","title":"Pharmabot: A Pediatric Generic Medicine Consultant Chatbot","type":"article-journal","volume":"3"},"uris":["http://www.mendeley.com/documents/?uuid=96e3e3e2-0d65-45ef-be84-f6f6f808bfb4"]}],"mendeley":{"formattedCitation":"(Boden et al. 2006; Comendador et al. 2015)","plainTextFormattedCitation":"(Boden et al. 2006; Comendador et al. 2015)","previouslyFormattedCitation":"(Boden et al. 2006; Comendador et al. 2015)"},"properties":{"noteIndex":0},"schema":"https://github.com/citation-style-language/schema/raw/master/csl-citation.json"}</w:instrText>
      </w:r>
      <w:r>
        <w:fldChar w:fldCharType="separate"/>
      </w:r>
      <w:r w:rsidRPr="002E2AE9">
        <w:rPr>
          <w:noProof/>
        </w:rPr>
        <w:t>(Boden et al. 2006; Comendador et al. 2015)</w:t>
      </w:r>
      <w:r>
        <w:fldChar w:fldCharType="end"/>
      </w:r>
      <w:r>
        <w:t xml:space="preserve">, or the ability for unsupervised learning through user interactions </w:t>
      </w:r>
      <w:r>
        <w:fldChar w:fldCharType="begin" w:fldLock="1"/>
      </w:r>
      <w:r>
        <w:instrText>ADDIN CSL_CITATION {"citationItems":[{"id":"ITEM-1","itemData":{"abstract":"We present MILABOT: a deep reinforcement learning chatbot developed by the Montreal Institute for Learning Algorithms (MILA) for the Amazon Alexa Prize competition. MILABOT is capable of conversing with humans on popular small talk topics through both speech and text. The system consists of an ensemble of natural language generation and retrieval models, including template-based models, bag-of-words models, sequence-to-sequence neural network and latent variable neural network models. By applying reinforcement learning to crowdsourced data and real-world user interactions, the system has been trained to select an appropriate response from the models in its ensemble. The system has been evaluated through A/B testing with real-world users, where it performed significantly better than many competing systems. Due to its machine learning architecture, the system is likely to improve with additional data.","author":[{"dropping-particle":"V.","family":"Serban","given":"Iulian","non-dropping-particle":"","parse-names":false,"suffix":""},{"dropping-particle":"","family":"Sankar","given":"Chinnadhurai","non-dropping-particle":"","parse-names":false,"suffix":""},{"dropping-particle":"","family":"Germain","given":"Mathieu","non-dropping-particle":"","parse-names":false,"suffix":""},{"dropping-particle":"","family":"Zhang","given":"Saizheng","non-dropping-particle":"","parse-names":false,"suffix":""},{"dropping-particle":"","family":"Lin","given":"Zhouhan","non-dropping-particle":"","parse-names":false,"suffix":""},{"dropping-particle":"","family":"Subramanian","given":"Sandeep","non-dropping-particle":"","parse-names":false,"suffix":""},{"dropping-particle":"","family":"Kim","given":"Taesup","non-dropping-particle":"","parse-names":false,"suffix":""},{"dropping-particle":"","family":"Pieper","given":"Michael","non-dropping-particle":"","parse-names":false,"suffix":""},{"dropping-particle":"","family":"Chandar","given":"Sarath","non-dropping-particle":"","parse-names":false,"suffix":""},{"dropping-particle":"","family":"Ke","given":"Nan Rosemary","non-dropping-particle":"","parse-names":false,"suffix":""},{"dropping-particle":"","family":"Rajeshwar","given":"Sai","non-dropping-particle":"","parse-names":false,"suffix":""},{"dropping-particle":"","family":"Brebisson","given":"Alexandre","non-dropping-particle":"de","parse-names":false,"suffix":""},{"dropping-particle":"","family":"Sotelo","given":"Jose M. R.","non-dropping-particle":"","parse-names":false,"suffix":""},{"dropping-particle":"","family":"Suhubdy","given":"Dendi","non-dropping-particle":"","parse-names":false,"suffix":""},{"dropping-particle":"","family":"Michalski","given":"Vincent","non-dropping-particle":"","parse-names":false,"suffix":""},{"dropping-particle":"","family":"Nguyen","given":"Alexandre","non-dropping-particle":"","parse-names":false,"suffix":""},{"dropping-particle":"","family":"Pineau","given":"Joelle","non-dropping-particle":"","parse-names":false,"suffix":""},{"dropping-particle":"","family":"Bengio","given":"Yoshua","non-dropping-particle":"","parse-names":false,"suffix":""}],"container-title":"ArXiv preprint","id":"ITEM-1","issued":{"date-parts":[["2017"]]},"page":"1-34","title":"A Deep Reinforcement Learning Chatbot","type":"article-journal"},"uris":["http://www.mendeley.com/documents/?uuid=d0f145af-2e61-4b3d-88f9-de1e282b26d6","http://www.mendeley.com/documents/?uuid=1497c843-0346-424f-b6e9-af00920ee758"]}],"mendeley":{"formattedCitation":"(Serban et al. 2017)","plainTextFormattedCitation":"(Serban et al. 2017)","previouslyFormattedCitation":"(Serban et al. 2017)"},"properties":{"noteIndex":0},"schema":"https://github.com/citation-style-language/schema/raw/master/csl-citation.json"}</w:instrText>
      </w:r>
      <w:r>
        <w:fldChar w:fldCharType="separate"/>
      </w:r>
      <w:r w:rsidRPr="00E00ADD">
        <w:rPr>
          <w:noProof/>
        </w:rPr>
        <w:t>(Serban et al. 2017)</w:t>
      </w:r>
      <w:r>
        <w:fldChar w:fldCharType="end"/>
      </w:r>
      <w:r>
        <w:t xml:space="preserve">. </w:t>
      </w:r>
    </w:p>
    <w:p w14:paraId="21580A3C" w14:textId="77777777" w:rsidR="0092576A" w:rsidRDefault="0092576A" w:rsidP="0092576A">
      <w:pPr>
        <w:spacing w:before="80"/>
        <w:ind w:firstLine="567"/>
      </w:pPr>
      <w:r>
        <w:t>The current work examines how conversational interfaces can systematically alter consumer-firm relationships and how key interface properties (e.g., the capacity to take turns, the extent of system autonomy, the extent of anthropomorphism, and linguistic formality) can impact consumer brand perceptions and choice. Based on four incentive-compatible experiments, we show that consumers perceive a conversational interface as substantially more human-like compared to traditional interfaces, and that this increase in humanness creates more intimate consumer-brand relationships, ultimately enhancing the effectiveness of persuasion attempts.</w:t>
      </w:r>
    </w:p>
    <w:p w14:paraId="498D6CBF" w14:textId="77777777" w:rsidR="0092576A" w:rsidRDefault="0092576A" w:rsidP="0092576A">
      <w:pPr>
        <w:pStyle w:val="JMRMainText"/>
        <w:spacing w:line="240" w:lineRule="auto"/>
      </w:pPr>
      <w:r>
        <w:t xml:space="preserve">Study 1 examined how key structural properties of conversational interfaces (i.e., the ability to take turns and the extent of system autonomy) influence their perceived humanness and consumer brand perceptions. Participants (N=226) were randomly assigned to the conditions of a 2 (presence vs. absence of turn-taking) × 2 (high vs. low system autonomy) between-subjects design and completed a simple choice task in a design context. </w:t>
      </w:r>
      <w:r w:rsidRPr="007B2C2E">
        <w:t xml:space="preserve">In the turn-taking present condition, the conversational interface </w:t>
      </w:r>
      <w:r>
        <w:t xml:space="preserve">interacted in a sequential question-answer exchange with participants, while in the turn-taking absent condition the interface presented all options simultaneously. In the </w:t>
      </w:r>
      <w:r w:rsidRPr="007B2C2E">
        <w:t>high</w:t>
      </w:r>
      <w:r>
        <w:t>-</w:t>
      </w:r>
      <w:r w:rsidRPr="007B2C2E">
        <w:t xml:space="preserve">autonomy </w:t>
      </w:r>
      <w:r>
        <w:t>condition, the</w:t>
      </w:r>
      <w:r w:rsidRPr="007B2C2E">
        <w:t xml:space="preserve"> interface </w:t>
      </w:r>
      <w:r>
        <w:t>proactively</w:t>
      </w:r>
      <w:r w:rsidRPr="007B2C2E">
        <w:t xml:space="preserve"> </w:t>
      </w:r>
      <w:r>
        <w:t>advanced to</w:t>
      </w:r>
      <w:r w:rsidRPr="007B2C2E">
        <w:t xml:space="preserve"> the next question </w:t>
      </w:r>
      <w:r>
        <w:t xml:space="preserve">while in the </w:t>
      </w:r>
      <w:r w:rsidRPr="007B2C2E">
        <w:t>low</w:t>
      </w:r>
      <w:r>
        <w:t>-</w:t>
      </w:r>
      <w:r w:rsidRPr="007B2C2E">
        <w:t>autonomy</w:t>
      </w:r>
      <w:r>
        <w:t xml:space="preserve"> condition</w:t>
      </w:r>
      <w:r w:rsidRPr="007B2C2E">
        <w:t xml:space="preserve"> participants </w:t>
      </w:r>
      <w:r>
        <w:t>controlled</w:t>
      </w:r>
      <w:r w:rsidRPr="007B2C2E">
        <w:t xml:space="preserve"> the </w:t>
      </w:r>
      <w:r>
        <w:t>pace</w:t>
      </w:r>
      <w:r w:rsidRPr="007B2C2E">
        <w:t xml:space="preserve"> </w:t>
      </w:r>
      <w:r>
        <w:t xml:space="preserve">of the </w:t>
      </w:r>
      <w:r w:rsidRPr="007B2C2E">
        <w:t>interaction</w:t>
      </w:r>
      <w:r>
        <w:t>. We assessed the perceived humanness of the system (e.g., “This configuration system has human properties”, 7-point Likert scale; α</w:t>
      </w:r>
      <w:r w:rsidRPr="00341FBE">
        <w:rPr>
          <w:vertAlign w:val="subscript"/>
        </w:rPr>
        <w:t>human</w:t>
      </w:r>
      <w:r>
        <w:t>=.96) and consumers’ brand perceptions (using a thought-listing task). In support of our theorizing, we find that both turn-taking and high system autonomy significantly increased the perceived humanness of the interface (</w:t>
      </w:r>
      <w:proofErr w:type="spellStart"/>
      <w:r>
        <w:t>M</w:t>
      </w:r>
      <w:r>
        <w:rPr>
          <w:vertAlign w:val="subscript"/>
        </w:rPr>
        <w:t>TurnTaking_Present</w:t>
      </w:r>
      <w:proofErr w:type="spellEnd"/>
      <w:r>
        <w:t xml:space="preserve">=4.28, </w:t>
      </w:r>
      <w:proofErr w:type="spellStart"/>
      <w:r>
        <w:t>M</w:t>
      </w:r>
      <w:r>
        <w:rPr>
          <w:vertAlign w:val="subscript"/>
        </w:rPr>
        <w:t>TurnTaking_Absent</w:t>
      </w:r>
      <w:proofErr w:type="spellEnd"/>
      <w:r>
        <w:t xml:space="preserve">=3.52; </w:t>
      </w:r>
      <w:r w:rsidRPr="006560B5">
        <w:rPr>
          <w:i/>
        </w:rPr>
        <w:t>F</w:t>
      </w:r>
      <w:r>
        <w:t xml:space="preserve">(2, 222)=10.561, </w:t>
      </w:r>
      <w:r w:rsidRPr="006560B5">
        <w:rPr>
          <w:i/>
        </w:rPr>
        <w:t>p</w:t>
      </w:r>
      <w:r>
        <w:t xml:space="preserve">&lt;.01; </w:t>
      </w:r>
      <w:proofErr w:type="spellStart"/>
      <w:r>
        <w:t>M</w:t>
      </w:r>
      <w:r>
        <w:rPr>
          <w:vertAlign w:val="subscript"/>
        </w:rPr>
        <w:t>SystemAutonomy_High</w:t>
      </w:r>
      <w:proofErr w:type="spellEnd"/>
      <w:r>
        <w:t xml:space="preserve">=4.15, </w:t>
      </w:r>
      <w:proofErr w:type="spellStart"/>
      <w:r>
        <w:t>M</w:t>
      </w:r>
      <w:r>
        <w:rPr>
          <w:vertAlign w:val="subscript"/>
        </w:rPr>
        <w:t>SystemAutonomy_Low</w:t>
      </w:r>
      <w:proofErr w:type="spellEnd"/>
      <w:r>
        <w:t xml:space="preserve">=3.68; </w:t>
      </w:r>
      <w:r w:rsidRPr="006560B5">
        <w:rPr>
          <w:i/>
        </w:rPr>
        <w:t>F</w:t>
      </w:r>
      <w:r>
        <w:t xml:space="preserve">(2, 222)=4.137, </w:t>
      </w:r>
      <w:r w:rsidRPr="006560B5">
        <w:rPr>
          <w:i/>
        </w:rPr>
        <w:t>p</w:t>
      </w:r>
      <w:r>
        <w:t>&lt;.05). The interaction between these factors was non-significant (</w:t>
      </w:r>
      <w:proofErr w:type="gramStart"/>
      <w:r w:rsidRPr="006560B5">
        <w:rPr>
          <w:i/>
        </w:rPr>
        <w:t>F</w:t>
      </w:r>
      <w:r>
        <w:t>(</w:t>
      </w:r>
      <w:proofErr w:type="gramEnd"/>
      <w:r>
        <w:t xml:space="preserve">1, 222)=0.06, </w:t>
      </w:r>
      <w:r w:rsidRPr="006560B5">
        <w:rPr>
          <w:i/>
        </w:rPr>
        <w:t>p</w:t>
      </w:r>
      <w:r>
        <w:t>&gt;.80), indicating that they act independently to alter perceived humanness. Furthermore, both turn-taking and high system autonomy led to more favorable brand evaluations (</w:t>
      </w:r>
      <w:proofErr w:type="spellStart"/>
      <w:r>
        <w:t>M</w:t>
      </w:r>
      <w:r>
        <w:rPr>
          <w:vertAlign w:val="subscript"/>
        </w:rPr>
        <w:t>TurnTaking_Present</w:t>
      </w:r>
      <w:proofErr w:type="spellEnd"/>
      <w:r>
        <w:t xml:space="preserve">=2.64, </w:t>
      </w:r>
      <w:proofErr w:type="spellStart"/>
      <w:r>
        <w:t>M</w:t>
      </w:r>
      <w:r>
        <w:rPr>
          <w:vertAlign w:val="subscript"/>
        </w:rPr>
        <w:t>TurnTaking_Absent</w:t>
      </w:r>
      <w:proofErr w:type="spellEnd"/>
      <w:r>
        <w:t xml:space="preserve">=0.53; </w:t>
      </w:r>
      <w:proofErr w:type="gramStart"/>
      <w:r w:rsidRPr="006560B5">
        <w:rPr>
          <w:i/>
        </w:rPr>
        <w:t>F</w:t>
      </w:r>
      <w:r>
        <w:t>(</w:t>
      </w:r>
      <w:proofErr w:type="gramEnd"/>
      <w:r>
        <w:t>2, 222)=</w:t>
      </w:r>
      <w:r w:rsidRPr="00F07A32">
        <w:t>15.522</w:t>
      </w:r>
      <w:r>
        <w:t xml:space="preserve">, </w:t>
      </w:r>
      <w:r w:rsidRPr="006560B5">
        <w:rPr>
          <w:i/>
        </w:rPr>
        <w:t>p</w:t>
      </w:r>
      <w:r>
        <w:t xml:space="preserve">&lt;.001; </w:t>
      </w:r>
      <w:proofErr w:type="spellStart"/>
      <w:r>
        <w:t>M</w:t>
      </w:r>
      <w:r>
        <w:rPr>
          <w:vertAlign w:val="subscript"/>
        </w:rPr>
        <w:t>SystemAutonomy_High</w:t>
      </w:r>
      <w:proofErr w:type="spellEnd"/>
      <w:r>
        <w:t xml:space="preserve">=2.47, </w:t>
      </w:r>
      <w:proofErr w:type="spellStart"/>
      <w:r>
        <w:t>M</w:t>
      </w:r>
      <w:r>
        <w:rPr>
          <w:vertAlign w:val="subscript"/>
        </w:rPr>
        <w:t>SystemAutonomy_Low</w:t>
      </w:r>
      <w:proofErr w:type="spellEnd"/>
      <w:r>
        <w:t xml:space="preserve">=0.76; </w:t>
      </w:r>
      <w:r w:rsidRPr="006560B5">
        <w:rPr>
          <w:i/>
        </w:rPr>
        <w:t>F</w:t>
      </w:r>
      <w:r>
        <w:t>(2, 222)=</w:t>
      </w:r>
      <w:r w:rsidRPr="00F07A32">
        <w:t>10.202</w:t>
      </w:r>
      <w:r>
        <w:t xml:space="preserve">, </w:t>
      </w:r>
      <w:r w:rsidRPr="006560B5">
        <w:rPr>
          <w:i/>
        </w:rPr>
        <w:t>p</w:t>
      </w:r>
      <w:r>
        <w:t>&lt;.01). The interaction was non-significant (</w:t>
      </w:r>
      <w:proofErr w:type="gramStart"/>
      <w:r w:rsidRPr="006560B5">
        <w:rPr>
          <w:i/>
        </w:rPr>
        <w:t>F</w:t>
      </w:r>
      <w:r>
        <w:t>(</w:t>
      </w:r>
      <w:proofErr w:type="gramEnd"/>
      <w:r>
        <w:t>2, 222)=</w:t>
      </w:r>
      <w:r w:rsidRPr="00F07A32">
        <w:t>0.212</w:t>
      </w:r>
      <w:r>
        <w:t xml:space="preserve">, </w:t>
      </w:r>
      <w:r w:rsidRPr="006560B5">
        <w:rPr>
          <w:i/>
        </w:rPr>
        <w:t>p</w:t>
      </w:r>
      <w:r>
        <w:t xml:space="preserve">=.64), suggesting that these two properties operate independently. </w:t>
      </w:r>
    </w:p>
    <w:p w14:paraId="5191CA21" w14:textId="77777777" w:rsidR="0092576A" w:rsidRDefault="0092576A" w:rsidP="0092576A">
      <w:pPr>
        <w:spacing w:before="80"/>
        <w:ind w:firstLine="567"/>
      </w:pPr>
      <w:r>
        <w:lastRenderedPageBreak/>
        <w:t xml:space="preserve">Study 2 more directly assessed whether a conversational interface is perceived as more human-like and promotes a more intimate consumer-brand relationship compared to a traditional interface. We developed a conversational rental car interface based on the </w:t>
      </w:r>
      <w:proofErr w:type="spellStart"/>
      <w:r>
        <w:t>flowXO</w:t>
      </w:r>
      <w:proofErr w:type="spellEnd"/>
      <w:r>
        <w:t xml:space="preserve"> technology (used across all following studies). 236 regular car rental customers were recruited (</w:t>
      </w:r>
      <w:proofErr w:type="spellStart"/>
      <w:r>
        <w:t>M</w:t>
      </w:r>
      <w:r w:rsidRPr="00BD1F84">
        <w:rPr>
          <w:vertAlign w:val="subscript"/>
        </w:rPr>
        <w:t>Age</w:t>
      </w:r>
      <w:proofErr w:type="spellEnd"/>
      <w:r>
        <w:t xml:space="preserve">=37.14, </w:t>
      </w:r>
      <w:proofErr w:type="spellStart"/>
      <w:r>
        <w:t>SD</w:t>
      </w:r>
      <w:r w:rsidRPr="00BD1F84">
        <w:rPr>
          <w:vertAlign w:val="subscript"/>
        </w:rPr>
        <w:t>Age</w:t>
      </w:r>
      <w:proofErr w:type="spellEnd"/>
      <w:r>
        <w:t>=11.26, 49% females) and randomly assigned to either a traditional car rental interface or a conversational interface. Participants in both conditions answered the same set of questions (pick-up/return location, time/date, vehicle class), but indicated their preferences via a chat console to a conversational bot in the latter. After completing the rental task, participants rated the perceived humanness of the system (e.g., “This configuration system has human properties”, 7-point Likert scale; α</w:t>
      </w:r>
      <w:r w:rsidRPr="008849D9">
        <w:rPr>
          <w:vertAlign w:val="subscript"/>
        </w:rPr>
        <w:t>human</w:t>
      </w:r>
      <w:r>
        <w:t xml:space="preserve">=.96) and how intimately they felt connected to the brand (e.g., “I feel like </w:t>
      </w:r>
      <w:proofErr w:type="spellStart"/>
      <w:r>
        <w:t>AI.Rental</w:t>
      </w:r>
      <w:proofErr w:type="spellEnd"/>
      <w:r>
        <w:t xml:space="preserve"> really cares about me”, 7-point Likert scale; α</w:t>
      </w:r>
      <w:proofErr w:type="spellStart"/>
      <w:r>
        <w:rPr>
          <w:vertAlign w:val="subscript"/>
        </w:rPr>
        <w:t>BrandIntimacy</w:t>
      </w:r>
      <w:proofErr w:type="spellEnd"/>
      <w:r>
        <w:t>=.92). In line with our prediction, consumers perceived the conversational interface as significantly more human-like than the traditional interface (</w:t>
      </w:r>
      <w:proofErr w:type="spellStart"/>
      <w:r w:rsidRPr="00190B1D">
        <w:t>M</w:t>
      </w:r>
      <w:r>
        <w:rPr>
          <w:vertAlign w:val="subscript"/>
        </w:rPr>
        <w:t>Conversational</w:t>
      </w:r>
      <w:proofErr w:type="spellEnd"/>
      <w:r>
        <w:t>=4.89</w:t>
      </w:r>
      <w:r w:rsidRPr="00190B1D">
        <w:t xml:space="preserve">, </w:t>
      </w:r>
      <w:proofErr w:type="spellStart"/>
      <w:r w:rsidRPr="00190B1D">
        <w:t>M</w:t>
      </w:r>
      <w:r>
        <w:rPr>
          <w:vertAlign w:val="subscript"/>
        </w:rPr>
        <w:t>Traditional</w:t>
      </w:r>
      <w:proofErr w:type="spellEnd"/>
      <w:r>
        <w:t xml:space="preserve">=3.14; </w:t>
      </w:r>
      <w:proofErr w:type="gramStart"/>
      <w:r>
        <w:t>t</w:t>
      </w:r>
      <w:r w:rsidRPr="00190B1D">
        <w:t>(</w:t>
      </w:r>
      <w:proofErr w:type="gramEnd"/>
      <w:r>
        <w:t>234</w:t>
      </w:r>
      <w:r w:rsidRPr="00190B1D">
        <w:t>)=</w:t>
      </w:r>
      <w:r>
        <w:t>7.654</w:t>
      </w:r>
      <w:r w:rsidRPr="00190B1D">
        <w:t xml:space="preserve">, </w:t>
      </w:r>
      <w:r w:rsidRPr="00190B1D">
        <w:rPr>
          <w:i/>
        </w:rPr>
        <w:t>p</w:t>
      </w:r>
      <w:r>
        <w:t>&lt;.001). Moreover, they reported greater intimacy with the brand (</w:t>
      </w:r>
      <w:proofErr w:type="spellStart"/>
      <w:r w:rsidRPr="00190B1D">
        <w:t>M</w:t>
      </w:r>
      <w:r>
        <w:rPr>
          <w:vertAlign w:val="subscript"/>
        </w:rPr>
        <w:t>Conversational</w:t>
      </w:r>
      <w:proofErr w:type="spellEnd"/>
      <w:r>
        <w:t>=4.42</w:t>
      </w:r>
      <w:r w:rsidRPr="00190B1D">
        <w:t xml:space="preserve">, </w:t>
      </w:r>
      <w:proofErr w:type="spellStart"/>
      <w:r w:rsidRPr="00190B1D">
        <w:t>M</w:t>
      </w:r>
      <w:r>
        <w:rPr>
          <w:vertAlign w:val="subscript"/>
        </w:rPr>
        <w:t>Traditional</w:t>
      </w:r>
      <w:proofErr w:type="spellEnd"/>
      <w:r>
        <w:t xml:space="preserve">=3.91; </w:t>
      </w:r>
      <w:proofErr w:type="gramStart"/>
      <w:r>
        <w:t>t</w:t>
      </w:r>
      <w:r w:rsidRPr="00190B1D">
        <w:t>(</w:t>
      </w:r>
      <w:proofErr w:type="gramEnd"/>
      <w:r>
        <w:t>234</w:t>
      </w:r>
      <w:r w:rsidRPr="00190B1D">
        <w:t>)=</w:t>
      </w:r>
      <w:r>
        <w:t>2.248</w:t>
      </w:r>
      <w:r w:rsidRPr="00190B1D">
        <w:t xml:space="preserve">, </w:t>
      </w:r>
      <w:r w:rsidRPr="00190B1D">
        <w:rPr>
          <w:i/>
        </w:rPr>
        <w:t>p</w:t>
      </w:r>
      <w:r>
        <w:t>&lt;.001), with the effect on brand intimacy being significantly mediated by perceptions of humanness (5000 bootstrap resamples;</w:t>
      </w:r>
      <w:r w:rsidRPr="003C59F6">
        <w:t xml:space="preserve"> CI</w:t>
      </w:r>
      <w:r w:rsidRPr="00A13FF4">
        <w:rPr>
          <w:vertAlign w:val="subscript"/>
        </w:rPr>
        <w:t>95%</w:t>
      </w:r>
      <w:r>
        <w:t>=[</w:t>
      </w:r>
      <w:r w:rsidRPr="003C59F6">
        <w:t>.</w:t>
      </w:r>
      <w:r>
        <w:t>86;1.59]).</w:t>
      </w:r>
    </w:p>
    <w:p w14:paraId="61043FA9" w14:textId="77777777" w:rsidR="0092576A" w:rsidRDefault="0092576A" w:rsidP="0092576A">
      <w:pPr>
        <w:spacing w:before="80"/>
        <w:ind w:firstLine="567"/>
      </w:pPr>
      <w:r>
        <w:t xml:space="preserve">Study 3 investigated whether greater intimacy can be induced by altering the linguistic formality employed by the system (cf. </w:t>
      </w:r>
      <w:r>
        <w:fldChar w:fldCharType="begin" w:fldLock="1"/>
      </w:r>
      <w:r>
        <w:instrText>ADDIN CSL_CITATION {"citationItems":[{"id":"ITEM-1","itemData":{"author":[{"dropping-particle":"","family":"Ludwig","given":"Stephan","non-dropping-particle":"","parse-names":false,"suffix":""},{"dropping-particle":"","family":"Ruyter","given":"Ko","non-dropping-particle":"de","parse-names":false,"suffix":""},{"dropping-particle":"","family":"Friedman","given":"Mike","non-dropping-particle":"","parse-names":false,"suffix":""},{"dropping-particle":"","family":"Brüggen","given":"Elisabeth C.","non-dropping-particle":"","parse-names":false,"suffix":""},{"dropping-particle":"","family":"Wetzels","given":"Martin","non-dropping-particle":"","parse-names":false,"suffix":""},{"dropping-particle":"","family":"Pfann","given":"Gerard","non-dropping-particle":"","parse-names":false,"suffix":""}],"container-title":"Journal of Marketing","id":"ITEM-1","issued":{"date-parts":[["2013"]]},"page":"87-103","title":"More Than Words : The Influence of Affective Content and Linguistic Style Matches in Online Reviews on Conversion Rates","type":"article-journal","volume":"77"},"uris":["http://www.mendeley.com/documents/?uuid=6115a97a-5537-4f50-95b3-468e0cbfabbc","http://www.mendeley.com/documents/?uuid=1d7acf05-72e3-49a9-b94a-9a2cb48f7748"]}],"mendeley":{"formattedCitation":"(Ludwig et al. 2013)","manualFormatting":"Ludwig et al. 2013","plainTextFormattedCitation":"(Ludwig et al. 2013)","previouslyFormattedCitation":"(Ludwig et al. 2013)"},"properties":{"noteIndex":0},"schema":"https://github.com/citation-style-language/schema/raw/master/csl-citation.json"}</w:instrText>
      </w:r>
      <w:r>
        <w:fldChar w:fldCharType="separate"/>
      </w:r>
      <w:r w:rsidRPr="0072432B">
        <w:rPr>
          <w:noProof/>
        </w:rPr>
        <w:t>Ludwig et al. 2013</w:t>
      </w:r>
      <w:r>
        <w:fldChar w:fldCharType="end"/>
      </w:r>
      <w:r>
        <w:t>). 214 regular car rental customers were randomly assigned to either a traditional booking interface, a conversational interface using a formal communication style, or a conversational interface using an informal communication style. A one-way ANOVA revealed a significant effect on both the perceived humanness of the system (</w:t>
      </w:r>
      <w:proofErr w:type="gramStart"/>
      <w:r w:rsidRPr="00667E45">
        <w:rPr>
          <w:i/>
        </w:rPr>
        <w:t>F</w:t>
      </w:r>
      <w:r>
        <w:t>(</w:t>
      </w:r>
      <w:proofErr w:type="gramEnd"/>
      <w:r>
        <w:t xml:space="preserve">2,214)=26.87, </w:t>
      </w:r>
      <w:r w:rsidRPr="00667E45">
        <w:rPr>
          <w:i/>
        </w:rPr>
        <w:t>p</w:t>
      </w:r>
      <w:r>
        <w:t>&lt;.001) and perceptions of brand intimacy (</w:t>
      </w:r>
      <w:r w:rsidRPr="00667E45">
        <w:rPr>
          <w:i/>
        </w:rPr>
        <w:t>F</w:t>
      </w:r>
      <w:r>
        <w:t>(2,</w:t>
      </w:r>
      <w:r w:rsidRPr="00AE204C">
        <w:t xml:space="preserve"> </w:t>
      </w:r>
      <w:r>
        <w:t xml:space="preserve">214)=4.283, </w:t>
      </w:r>
      <w:r w:rsidRPr="00667E45">
        <w:rPr>
          <w:i/>
        </w:rPr>
        <w:t>p</w:t>
      </w:r>
      <w:r>
        <w:t>&lt;.05). Follow-up contrasts revealed that the more informal communication style was perceived as more human-like compared to both the interface using a more formal co</w:t>
      </w:r>
      <w:r w:rsidRPr="00AE204C">
        <w:t>mmunication style (</w:t>
      </w:r>
      <w:proofErr w:type="spellStart"/>
      <w:r w:rsidRPr="00AE204C">
        <w:t>M</w:t>
      </w:r>
      <w:r>
        <w:rPr>
          <w:vertAlign w:val="subscript"/>
        </w:rPr>
        <w:t>Conversational</w:t>
      </w:r>
      <w:r w:rsidRPr="00AE204C">
        <w:rPr>
          <w:vertAlign w:val="subscript"/>
        </w:rPr>
        <w:t>_informal</w:t>
      </w:r>
      <w:proofErr w:type="spellEnd"/>
      <w:r w:rsidRPr="00AE204C">
        <w:t xml:space="preserve">=5.15, </w:t>
      </w:r>
      <w:proofErr w:type="spellStart"/>
      <w:r w:rsidRPr="00AE204C">
        <w:t>M</w:t>
      </w:r>
      <w:r>
        <w:rPr>
          <w:vertAlign w:val="subscript"/>
        </w:rPr>
        <w:t>Conversational</w:t>
      </w:r>
      <w:r w:rsidRPr="00AE204C">
        <w:rPr>
          <w:vertAlign w:val="subscript"/>
        </w:rPr>
        <w:t>_formal</w:t>
      </w:r>
      <w:proofErr w:type="spellEnd"/>
      <w:r w:rsidRPr="00AE204C">
        <w:t xml:space="preserve">=4.49; t(214)=2.239, </w:t>
      </w:r>
      <w:r w:rsidRPr="00AE204C">
        <w:rPr>
          <w:i/>
        </w:rPr>
        <w:t>p</w:t>
      </w:r>
      <w:r w:rsidRPr="00AE204C">
        <w:t>=.07) and the traditional interface (</w:t>
      </w:r>
      <w:proofErr w:type="spellStart"/>
      <w:r w:rsidRPr="00AE204C">
        <w:t>M</w:t>
      </w:r>
      <w:r w:rsidRPr="00AE204C">
        <w:rPr>
          <w:vertAlign w:val="subscript"/>
        </w:rPr>
        <w:t>Traditional</w:t>
      </w:r>
      <w:proofErr w:type="spellEnd"/>
      <w:r w:rsidRPr="00AE204C">
        <w:t xml:space="preserve">=3.11; t(214)=7.198, </w:t>
      </w:r>
      <w:r w:rsidRPr="00AE204C">
        <w:rPr>
          <w:i/>
        </w:rPr>
        <w:t>p</w:t>
      </w:r>
      <w:r w:rsidRPr="00AE204C">
        <w:t>&lt;.001). The</w:t>
      </w:r>
      <w:r>
        <w:t xml:space="preserve"> findings for brand intimacy mirrored those on perceived humanness and replicated the pattern of mediation results shown in Study 2. </w:t>
      </w:r>
    </w:p>
    <w:p w14:paraId="7B0B10E8" w14:textId="77777777" w:rsidR="0092576A" w:rsidRDefault="0092576A" w:rsidP="0092576A">
      <w:pPr>
        <w:spacing w:before="80"/>
        <w:ind w:firstLine="567"/>
      </w:pPr>
      <w:r>
        <w:t>Study 4 examined the</w:t>
      </w:r>
      <w:r w:rsidRPr="00C36F73">
        <w:t xml:space="preserve"> </w:t>
      </w:r>
      <w:r>
        <w:t>downstream consequences of using a conversational interface on consumer choice. The results show, for instance, that consumers are significantly more likely to accept a costly fuel service upgrade from a conversational compared to a traditional interface (</w:t>
      </w:r>
      <w:proofErr w:type="spellStart"/>
      <w:r>
        <w:t>P</w:t>
      </w:r>
      <w:r>
        <w:rPr>
          <w:vertAlign w:val="subscript"/>
        </w:rPr>
        <w:t>Conversational</w:t>
      </w:r>
      <w:proofErr w:type="spellEnd"/>
      <w:r>
        <w:t>=47.4%</w:t>
      </w:r>
      <w:r w:rsidRPr="00190B1D">
        <w:t xml:space="preserve">, </w:t>
      </w:r>
      <w:proofErr w:type="spellStart"/>
      <w:r>
        <w:t>P</w:t>
      </w:r>
      <w:r>
        <w:rPr>
          <w:vertAlign w:val="subscript"/>
        </w:rPr>
        <w:t>Traditional</w:t>
      </w:r>
      <w:proofErr w:type="spellEnd"/>
      <w:r>
        <w:t>=29.2%; z</w:t>
      </w:r>
      <w:r w:rsidRPr="00190B1D">
        <w:t>(</w:t>
      </w:r>
      <w:r>
        <w:t>257</w:t>
      </w:r>
      <w:r w:rsidRPr="00190B1D">
        <w:t>)=</w:t>
      </w:r>
      <w:r>
        <w:t>2.257</w:t>
      </w:r>
      <w:r w:rsidRPr="00190B1D">
        <w:t xml:space="preserve">, </w:t>
      </w:r>
      <w:r w:rsidRPr="00190B1D">
        <w:rPr>
          <w:i/>
        </w:rPr>
        <w:t>p</w:t>
      </w:r>
      <w:r>
        <w:t>&lt;.05) and that this effect is amplified when the interface is personalized toward participants (matching participants’ gender and the first letter of their first name) (</w:t>
      </w:r>
      <w:proofErr w:type="spellStart"/>
      <w:r>
        <w:t>P</w:t>
      </w:r>
      <w:r>
        <w:rPr>
          <w:vertAlign w:val="subscript"/>
        </w:rPr>
        <w:t>ConversationalPersonalized</w:t>
      </w:r>
      <w:proofErr w:type="spellEnd"/>
      <w:r>
        <w:t>=54.5%</w:t>
      </w:r>
      <w:r w:rsidRPr="00190B1D">
        <w:t>,</w:t>
      </w:r>
      <w:r>
        <w:t xml:space="preserve"> </w:t>
      </w:r>
      <w:proofErr w:type="spellStart"/>
      <w:r>
        <w:t>P</w:t>
      </w:r>
      <w:r>
        <w:rPr>
          <w:vertAlign w:val="subscript"/>
        </w:rPr>
        <w:t>Conversational_NotPersonalized</w:t>
      </w:r>
      <w:proofErr w:type="spellEnd"/>
      <w:r>
        <w:t xml:space="preserve">=44.1%). These findings generalize across a range of other rental-car upgrades (e.g., pre-paid fuel option, GPS, </w:t>
      </w:r>
      <w:proofErr w:type="spellStart"/>
      <w:r>
        <w:t>wifi</w:t>
      </w:r>
      <w:proofErr w:type="spellEnd"/>
      <w:r>
        <w:t>) (</w:t>
      </w:r>
      <w:proofErr w:type="spellStart"/>
      <w:r>
        <w:t>P</w:t>
      </w:r>
      <w:r>
        <w:rPr>
          <w:vertAlign w:val="subscript"/>
        </w:rPr>
        <w:t>Conversational</w:t>
      </w:r>
      <w:proofErr w:type="spellEnd"/>
      <w:r>
        <w:t>=42.6%</w:t>
      </w:r>
      <w:r w:rsidRPr="00190B1D">
        <w:t xml:space="preserve">, </w:t>
      </w:r>
      <w:proofErr w:type="spellStart"/>
      <w:r>
        <w:t>P</w:t>
      </w:r>
      <w:r>
        <w:rPr>
          <w:vertAlign w:val="subscript"/>
        </w:rPr>
        <w:t>Traditional</w:t>
      </w:r>
      <w:proofErr w:type="spellEnd"/>
      <w:r>
        <w:t xml:space="preserve">=25.4%; </w:t>
      </w:r>
      <w:proofErr w:type="gramStart"/>
      <w:r w:rsidRPr="0081413C">
        <w:rPr>
          <w:i/>
        </w:rPr>
        <w:t>F</w:t>
      </w:r>
      <w:r w:rsidRPr="00190B1D">
        <w:t>(</w:t>
      </w:r>
      <w:proofErr w:type="gramEnd"/>
      <w:r>
        <w:t>1,157</w:t>
      </w:r>
      <w:r w:rsidRPr="00190B1D">
        <w:t>)=</w:t>
      </w:r>
      <w:r>
        <w:t>10.13</w:t>
      </w:r>
      <w:r w:rsidRPr="00190B1D">
        <w:t xml:space="preserve">, </w:t>
      </w:r>
      <w:r w:rsidRPr="00190B1D">
        <w:rPr>
          <w:i/>
        </w:rPr>
        <w:t>p</w:t>
      </w:r>
      <w:r>
        <w:t xml:space="preserve">&lt;.001). </w:t>
      </w:r>
    </w:p>
    <w:p w14:paraId="72947E4D" w14:textId="77777777" w:rsidR="0092576A" w:rsidRDefault="0092576A" w:rsidP="0092576A">
      <w:pPr>
        <w:spacing w:before="80"/>
        <w:ind w:firstLine="567"/>
      </w:pPr>
      <w:r>
        <w:t>This research is the first to investigate the role of conversational interfaces as “persuasion” instruments in the context of consumer decision making. It shows that such interfaces can systematically alter brand perceptions and consumers’ susceptibility to persuasion attempts. The findings of this research advance our understanding of consumers preference construction in that they demonstrate that, compared to using traditional interfaces, expressing one’s preferences through interactive, dialogue-based interfaces with non-human agents systematically alters how consumers respond to market offerings.</w:t>
      </w:r>
    </w:p>
    <w:p w14:paraId="45BE5113" w14:textId="77777777" w:rsidR="0092576A" w:rsidRDefault="0092576A" w:rsidP="0092576A">
      <w:pPr>
        <w:spacing w:before="80"/>
        <w:ind w:firstLine="567"/>
      </w:pPr>
    </w:p>
    <w:p w14:paraId="31391E8B" w14:textId="77777777" w:rsidR="0092576A" w:rsidRPr="003D7234" w:rsidRDefault="0092576A" w:rsidP="0092576A">
      <w:pPr>
        <w:spacing w:before="80"/>
        <w:ind w:firstLine="567"/>
        <w:jc w:val="center"/>
        <w:rPr>
          <w:b/>
        </w:rPr>
      </w:pPr>
      <w:r w:rsidRPr="003D7234">
        <w:rPr>
          <w:b/>
        </w:rPr>
        <w:t>References</w:t>
      </w:r>
    </w:p>
    <w:p w14:paraId="77558FC3" w14:textId="77777777" w:rsidR="0092576A" w:rsidRPr="00133941" w:rsidRDefault="0092576A" w:rsidP="0092576A">
      <w:pPr>
        <w:widowControl w:val="0"/>
        <w:autoSpaceDE w:val="0"/>
        <w:autoSpaceDN w:val="0"/>
        <w:adjustRightInd w:val="0"/>
        <w:spacing w:before="100" w:after="100"/>
        <w:ind w:left="480" w:hanging="480"/>
        <w:rPr>
          <w:noProof/>
        </w:rPr>
      </w:pPr>
      <w:r>
        <w:fldChar w:fldCharType="begin" w:fldLock="1"/>
      </w:r>
      <w:r>
        <w:instrText xml:space="preserve">ADDIN Mendeley Bibliography CSL_BIBLIOGRAPHY </w:instrText>
      </w:r>
      <w:r>
        <w:fldChar w:fldCharType="separate"/>
      </w:r>
      <w:r w:rsidRPr="00133941">
        <w:rPr>
          <w:noProof/>
        </w:rPr>
        <w:t xml:space="preserve">BI Intelligence (2016), “80% of Businesses Want Chatbots by 2020,” </w:t>
      </w:r>
      <w:r w:rsidRPr="00133941">
        <w:rPr>
          <w:i/>
          <w:iCs/>
          <w:noProof/>
        </w:rPr>
        <w:t>Business Insider UK</w:t>
      </w:r>
      <w:r w:rsidRPr="00133941">
        <w:rPr>
          <w:noProof/>
        </w:rPr>
        <w:t>, http://uk.businessinsider.com/80-of-businesses-want-chatbots-by-2020-2016-</w:t>
      </w:r>
      <w:r w:rsidRPr="00133941">
        <w:rPr>
          <w:noProof/>
        </w:rPr>
        <w:lastRenderedPageBreak/>
        <w:t>12?r=US&amp;IR=T.</w:t>
      </w:r>
    </w:p>
    <w:p w14:paraId="287920CE" w14:textId="77777777" w:rsidR="0092576A" w:rsidRPr="00133941" w:rsidRDefault="0092576A" w:rsidP="0092576A">
      <w:pPr>
        <w:widowControl w:val="0"/>
        <w:autoSpaceDE w:val="0"/>
        <w:autoSpaceDN w:val="0"/>
        <w:adjustRightInd w:val="0"/>
        <w:spacing w:before="100" w:after="100"/>
        <w:ind w:left="480" w:hanging="480"/>
        <w:rPr>
          <w:noProof/>
        </w:rPr>
      </w:pPr>
      <w:r w:rsidRPr="00133941">
        <w:rPr>
          <w:noProof/>
        </w:rPr>
        <w:t xml:space="preserve">Boden, Cordula, Jessika Fischer, Kathrin Herbig, and Ulrike Spierling (2006), “CitizenTalk: Application of Chatbot Infotainment to e-Democracy,” </w:t>
      </w:r>
      <w:r w:rsidRPr="00133941">
        <w:rPr>
          <w:i/>
          <w:iCs/>
          <w:noProof/>
        </w:rPr>
        <w:t>Technologies for Interactive Digital Storytelling and Entertainment</w:t>
      </w:r>
      <w:r w:rsidRPr="00133941">
        <w:rPr>
          <w:noProof/>
        </w:rPr>
        <w:t>, 370–381.</w:t>
      </w:r>
    </w:p>
    <w:p w14:paraId="49EC4724" w14:textId="77777777" w:rsidR="0092576A" w:rsidRPr="00133941" w:rsidRDefault="0092576A" w:rsidP="0092576A">
      <w:pPr>
        <w:widowControl w:val="0"/>
        <w:autoSpaceDE w:val="0"/>
        <w:autoSpaceDN w:val="0"/>
        <w:adjustRightInd w:val="0"/>
        <w:spacing w:before="100" w:after="100"/>
        <w:ind w:left="480" w:hanging="480"/>
        <w:rPr>
          <w:noProof/>
        </w:rPr>
      </w:pPr>
      <w:r w:rsidRPr="00133941">
        <w:rPr>
          <w:noProof/>
        </w:rPr>
        <w:t xml:space="preserve">Comendador, Benilda Eleonor V., Bien Michael B. Francisco, Jefferson S. Medenilla, Sharleen Mae T. Nacion, and Timothy Bryle E. Serac (2015), “Pharmabot: A Pediatric Generic Medicine Consultant Chatbot,” </w:t>
      </w:r>
      <w:r w:rsidRPr="00133941">
        <w:rPr>
          <w:i/>
          <w:iCs/>
          <w:noProof/>
        </w:rPr>
        <w:t>Journal of Automation and Control Engineering</w:t>
      </w:r>
      <w:r w:rsidRPr="00133941">
        <w:rPr>
          <w:noProof/>
        </w:rPr>
        <w:t>, 3(2), 137–40, http://www.joace.org/index.php?m=content&amp;c=index&amp;a=show&amp;catid=42&amp;id=218.</w:t>
      </w:r>
    </w:p>
    <w:p w14:paraId="087214C9" w14:textId="77777777" w:rsidR="0092576A" w:rsidRPr="00133941" w:rsidRDefault="0092576A" w:rsidP="0092576A">
      <w:pPr>
        <w:widowControl w:val="0"/>
        <w:autoSpaceDE w:val="0"/>
        <w:autoSpaceDN w:val="0"/>
        <w:adjustRightInd w:val="0"/>
        <w:spacing w:before="100" w:after="100"/>
        <w:ind w:left="480" w:hanging="480"/>
        <w:rPr>
          <w:noProof/>
        </w:rPr>
      </w:pPr>
      <w:r w:rsidRPr="00133941">
        <w:rPr>
          <w:noProof/>
        </w:rPr>
        <w:t xml:space="preserve">Dale, Robert (2016), “The Return of the Chatbots,” </w:t>
      </w:r>
      <w:r w:rsidRPr="00133941">
        <w:rPr>
          <w:i/>
          <w:iCs/>
          <w:noProof/>
        </w:rPr>
        <w:t>Natural Language Engineering</w:t>
      </w:r>
      <w:r w:rsidRPr="00133941">
        <w:rPr>
          <w:noProof/>
        </w:rPr>
        <w:t>, 22(5), 811–17.</w:t>
      </w:r>
    </w:p>
    <w:p w14:paraId="1B941B4B" w14:textId="77777777" w:rsidR="0092576A" w:rsidRPr="00133941" w:rsidRDefault="0092576A" w:rsidP="0092576A">
      <w:pPr>
        <w:widowControl w:val="0"/>
        <w:autoSpaceDE w:val="0"/>
        <w:autoSpaceDN w:val="0"/>
        <w:adjustRightInd w:val="0"/>
        <w:spacing w:before="100" w:after="100"/>
        <w:ind w:left="480" w:hanging="480"/>
        <w:rPr>
          <w:noProof/>
        </w:rPr>
      </w:pPr>
      <w:r w:rsidRPr="00133941">
        <w:rPr>
          <w:noProof/>
        </w:rPr>
        <w:t xml:space="preserve">Feldman, Ronen, Jacob Goldenberg, and Oded Netzer (2010), “Mine Your Own Business: Market Structure Surveillance through Text Mining,” </w:t>
      </w:r>
      <w:r w:rsidRPr="00133941">
        <w:rPr>
          <w:i/>
          <w:iCs/>
          <w:noProof/>
        </w:rPr>
        <w:t>Marketing Science Institute, Special Report</w:t>
      </w:r>
      <w:r w:rsidRPr="00133941">
        <w:rPr>
          <w:noProof/>
        </w:rPr>
        <w:t>, 10(3), 10–202.</w:t>
      </w:r>
    </w:p>
    <w:p w14:paraId="1BE7CF89" w14:textId="77777777" w:rsidR="0092576A" w:rsidRPr="00133941" w:rsidRDefault="0092576A" w:rsidP="0092576A">
      <w:pPr>
        <w:widowControl w:val="0"/>
        <w:autoSpaceDE w:val="0"/>
        <w:autoSpaceDN w:val="0"/>
        <w:adjustRightInd w:val="0"/>
        <w:spacing w:before="100" w:after="100"/>
        <w:ind w:left="480" w:hanging="480"/>
        <w:rPr>
          <w:noProof/>
        </w:rPr>
      </w:pPr>
      <w:r w:rsidRPr="00133941">
        <w:rPr>
          <w:noProof/>
        </w:rPr>
        <w:t xml:space="preserve">Hirschberg, Julia and Christopher D Manning (2015), “Advances in Natural Language Processing,” </w:t>
      </w:r>
      <w:r w:rsidRPr="00133941">
        <w:rPr>
          <w:i/>
          <w:iCs/>
          <w:noProof/>
        </w:rPr>
        <w:t>Science</w:t>
      </w:r>
      <w:r w:rsidRPr="00133941">
        <w:rPr>
          <w:noProof/>
        </w:rPr>
        <w:t>, 349(6245), 261–66.</w:t>
      </w:r>
    </w:p>
    <w:p w14:paraId="27117298" w14:textId="77777777" w:rsidR="0092576A" w:rsidRPr="00133941" w:rsidRDefault="0092576A" w:rsidP="0092576A">
      <w:pPr>
        <w:widowControl w:val="0"/>
        <w:autoSpaceDE w:val="0"/>
        <w:autoSpaceDN w:val="0"/>
        <w:adjustRightInd w:val="0"/>
        <w:spacing w:before="100" w:after="100"/>
        <w:ind w:left="480" w:hanging="480"/>
        <w:rPr>
          <w:noProof/>
        </w:rPr>
      </w:pPr>
      <w:r w:rsidRPr="00133941">
        <w:rPr>
          <w:noProof/>
        </w:rPr>
        <w:t xml:space="preserve">Landis, Geoffrey A. (2014), “Future Tense: The Chatbot and the Drone,” </w:t>
      </w:r>
      <w:r w:rsidRPr="00133941">
        <w:rPr>
          <w:i/>
          <w:iCs/>
          <w:noProof/>
        </w:rPr>
        <w:t>Communications of the ACM</w:t>
      </w:r>
      <w:r w:rsidRPr="00133941">
        <w:rPr>
          <w:noProof/>
        </w:rPr>
        <w:t>, 57(7), 112–ff.</w:t>
      </w:r>
    </w:p>
    <w:p w14:paraId="6365F10E" w14:textId="77777777" w:rsidR="0092576A" w:rsidRPr="00133941" w:rsidRDefault="0092576A" w:rsidP="0092576A">
      <w:pPr>
        <w:widowControl w:val="0"/>
        <w:autoSpaceDE w:val="0"/>
        <w:autoSpaceDN w:val="0"/>
        <w:adjustRightInd w:val="0"/>
        <w:spacing w:before="100" w:after="100"/>
        <w:ind w:left="480" w:hanging="480"/>
        <w:rPr>
          <w:noProof/>
        </w:rPr>
      </w:pPr>
      <w:r w:rsidRPr="00133941">
        <w:rPr>
          <w:noProof/>
        </w:rPr>
        <w:t xml:space="preserve">Lokman, Abbas Saliimi and Jasni Mohamad Zain (2010), “Extension and Prerequisite: An Algorithm to Enable Relations between Responses in Chatbot Technology,” </w:t>
      </w:r>
      <w:r w:rsidRPr="00133941">
        <w:rPr>
          <w:i/>
          <w:iCs/>
          <w:noProof/>
        </w:rPr>
        <w:t>Journal of Computer Science</w:t>
      </w:r>
      <w:r w:rsidRPr="00133941">
        <w:rPr>
          <w:noProof/>
        </w:rPr>
        <w:t>, 6(10), 1212–18.</w:t>
      </w:r>
    </w:p>
    <w:p w14:paraId="58DD9CFF" w14:textId="77777777" w:rsidR="0092576A" w:rsidRPr="00133941" w:rsidRDefault="0092576A" w:rsidP="0092576A">
      <w:pPr>
        <w:widowControl w:val="0"/>
        <w:autoSpaceDE w:val="0"/>
        <w:autoSpaceDN w:val="0"/>
        <w:adjustRightInd w:val="0"/>
        <w:spacing w:before="100" w:after="100"/>
        <w:ind w:left="480" w:hanging="480"/>
        <w:rPr>
          <w:noProof/>
        </w:rPr>
      </w:pPr>
      <w:r w:rsidRPr="00133941">
        <w:rPr>
          <w:noProof/>
        </w:rPr>
        <w:t xml:space="preserve">Ludwig, Stephan, Ko de Ruyter, Mike Friedman, Elisabeth C. Brüggen, Martin Wetzels, and Gerard Pfann (2013), “More Than Words : The Influence of Affective Content and Linguistic Style Matches in Online Reviews on Conversion Rates,” </w:t>
      </w:r>
      <w:r w:rsidRPr="00133941">
        <w:rPr>
          <w:i/>
          <w:iCs/>
          <w:noProof/>
        </w:rPr>
        <w:t>Journal of Marketing</w:t>
      </w:r>
      <w:r w:rsidRPr="00133941">
        <w:rPr>
          <w:noProof/>
        </w:rPr>
        <w:t>, 77, 87–103.</w:t>
      </w:r>
    </w:p>
    <w:p w14:paraId="48DCC697" w14:textId="77777777" w:rsidR="0092576A" w:rsidRPr="00133941" w:rsidRDefault="0092576A" w:rsidP="0092576A">
      <w:pPr>
        <w:widowControl w:val="0"/>
        <w:autoSpaceDE w:val="0"/>
        <w:autoSpaceDN w:val="0"/>
        <w:adjustRightInd w:val="0"/>
        <w:spacing w:before="100" w:after="100"/>
        <w:ind w:left="480" w:hanging="480"/>
        <w:rPr>
          <w:noProof/>
        </w:rPr>
      </w:pPr>
      <w:r w:rsidRPr="00133941">
        <w:rPr>
          <w:noProof/>
        </w:rPr>
        <w:t xml:space="preserve">Serban, Iulian V., Chinnadhurai Sankar, Mathieu Germain, Saizheng Zhang, Zhouhan Lin, Sandeep Subramanian, Taesup Kim, Michael Pieper, Sarath Chandar, Nan Rosemary Ke, Sai Rajeshwar, Alexandre de Brebisson, Jose M. R. Sotelo, Dendi Suhubdy, Vincent Michalski, Alexandre Nguyen, Joelle Pineau, and Yoshua Bengio (2017), “A Deep Reinforcement Learning Chatbot,” </w:t>
      </w:r>
      <w:r w:rsidRPr="00133941">
        <w:rPr>
          <w:i/>
          <w:iCs/>
          <w:noProof/>
        </w:rPr>
        <w:t>ArXiv preprint</w:t>
      </w:r>
      <w:r w:rsidRPr="00133941">
        <w:rPr>
          <w:noProof/>
        </w:rPr>
        <w:t>, 1–34.</w:t>
      </w:r>
    </w:p>
    <w:p w14:paraId="58BB7488" w14:textId="77777777" w:rsidR="0092576A" w:rsidRPr="00133941" w:rsidRDefault="0092576A" w:rsidP="0092576A">
      <w:pPr>
        <w:widowControl w:val="0"/>
        <w:autoSpaceDE w:val="0"/>
        <w:autoSpaceDN w:val="0"/>
        <w:adjustRightInd w:val="0"/>
        <w:spacing w:before="100" w:after="100"/>
        <w:ind w:left="480" w:hanging="480"/>
        <w:rPr>
          <w:noProof/>
        </w:rPr>
      </w:pPr>
      <w:r w:rsidRPr="00133941">
        <w:rPr>
          <w:noProof/>
        </w:rPr>
        <w:t xml:space="preserve">Suri, Vipin K., Marianne Elia, and Jos van Hillegersberg (2017), “Software Bots -The next Frontier for Shared Services and Functional Excellence,” in </w:t>
      </w:r>
      <w:r w:rsidRPr="00133941">
        <w:rPr>
          <w:i/>
          <w:iCs/>
          <w:noProof/>
        </w:rPr>
        <w:t>Global Sourcing of Digital Services: Micro and Macro Perspectives</w:t>
      </w:r>
      <w:r w:rsidRPr="00133941">
        <w:rPr>
          <w:noProof/>
        </w:rPr>
        <w:t>, ed. I. Oshri, J. Kotlarsky, and L. Willcocks, Springer Cham, 81–94.</w:t>
      </w:r>
    </w:p>
    <w:p w14:paraId="2A7271E7" w14:textId="77777777" w:rsidR="0092576A" w:rsidRPr="00133941" w:rsidRDefault="0092576A" w:rsidP="0092576A">
      <w:pPr>
        <w:widowControl w:val="0"/>
        <w:autoSpaceDE w:val="0"/>
        <w:autoSpaceDN w:val="0"/>
        <w:adjustRightInd w:val="0"/>
        <w:spacing w:before="100" w:after="100"/>
        <w:ind w:left="480" w:hanging="480"/>
        <w:rPr>
          <w:noProof/>
        </w:rPr>
      </w:pPr>
      <w:r w:rsidRPr="00133941">
        <w:rPr>
          <w:noProof/>
        </w:rPr>
        <w:t xml:space="preserve">Tang, Chuanyi and Lin Guo (2013), “Digging for Gold with a Simple Tool: Validating Text Mining in Studying Electronic Word-of-Mouth (EWOM) Communication,” </w:t>
      </w:r>
      <w:r w:rsidRPr="00133941">
        <w:rPr>
          <w:i/>
          <w:iCs/>
          <w:noProof/>
        </w:rPr>
        <w:t>Marketing Letters</w:t>
      </w:r>
      <w:r w:rsidRPr="00133941">
        <w:rPr>
          <w:noProof/>
        </w:rPr>
        <w:t>, 26(1), 67–80.</w:t>
      </w:r>
    </w:p>
    <w:p w14:paraId="4FABF23E" w14:textId="0388855C" w:rsidR="00505C0D" w:rsidRDefault="0092576A" w:rsidP="0092576A">
      <w:r w:rsidRPr="00133941">
        <w:rPr>
          <w:noProof/>
        </w:rPr>
        <w:t xml:space="preserve">The Economist (2016), “Bots , the next Frontier,” </w:t>
      </w:r>
      <w:r w:rsidRPr="00133941">
        <w:rPr>
          <w:i/>
          <w:iCs/>
          <w:noProof/>
        </w:rPr>
        <w:t>The Economist</w:t>
      </w:r>
      <w:r w:rsidRPr="00133941">
        <w:rPr>
          <w:noProof/>
        </w:rPr>
        <w:t>, https://www.economist.com/business/2016/04/09/bots-the-next-frontier.</w:t>
      </w:r>
      <w:r>
        <w:fldChar w:fldCharType="end"/>
      </w:r>
      <w:bookmarkStart w:id="0" w:name="_GoBack"/>
      <w:bookmarkEnd w:id="0"/>
    </w:p>
    <w:sectPr w:rsidR="00505C0D">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34A992B" w14:textId="77777777" w:rsidR="0092576A" w:rsidRDefault="0092576A" w:rsidP="0092576A">
      <w:r>
        <w:separator/>
      </w:r>
    </w:p>
  </w:endnote>
  <w:endnote w:type="continuationSeparator" w:id="0">
    <w:p w14:paraId="5A1089C6" w14:textId="77777777" w:rsidR="0092576A" w:rsidRDefault="0092576A" w:rsidP="009257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Palatino Linotype">
    <w:panose1 w:val="02040502050505030304"/>
    <w:charset w:val="00"/>
    <w:family w:val="roman"/>
    <w:pitch w:val="variable"/>
    <w:sig w:usb0="E0000287" w:usb1="40000013"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3" w:usb2="00000009" w:usb3="00000000" w:csb0="000001FF" w:csb1="00000000"/>
  </w:font>
  <w:font w:name="Arial">
    <w:altName w:val="Arial"/>
    <w:panose1 w:val="020B0604020202020204"/>
    <w:charset w:val="00"/>
    <w:family w:val="swiss"/>
    <w:pitch w:val="variable"/>
    <w:sig w:usb0="E0002AFF" w:usb1="C0007843" w:usb2="00000009" w:usb3="00000000" w:csb0="000001FF" w:csb1="00000000"/>
  </w:font>
  <w:font w:name="SimHei">
    <w:altName w:val="黑体"/>
    <w:panose1 w:val="02010609060101010101"/>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4000ACFF" w:usb2="00000001"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54B6BDC" w14:textId="77777777" w:rsidR="0092576A" w:rsidRDefault="0092576A" w:rsidP="0092576A">
      <w:r>
        <w:separator/>
      </w:r>
    </w:p>
  </w:footnote>
  <w:footnote w:type="continuationSeparator" w:id="0">
    <w:p w14:paraId="0D4EBB36" w14:textId="77777777" w:rsidR="0092576A" w:rsidRDefault="0092576A" w:rsidP="0092576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576A"/>
    <w:rsid w:val="003C7E37"/>
    <w:rsid w:val="004A6C14"/>
    <w:rsid w:val="00505C0D"/>
    <w:rsid w:val="0092576A"/>
    <w:rsid w:val="00E062EC"/>
  </w:rsids>
  <m:mathPr>
    <m:mathFont m:val="Cambria Math"/>
    <m:brkBin m:val="before"/>
    <m:brkBinSub m:val="--"/>
    <m:smallFrac m:val="0"/>
    <m:dispDef/>
    <m:lMargin m:val="0"/>
    <m:rMargin m:val="0"/>
    <m:defJc m:val="centerGroup"/>
    <m:wrapIndent m:val="1440"/>
    <m:intLim m:val="subSup"/>
    <m:naryLim m:val="undOvr"/>
  </m:mathPr>
  <w:themeFontLang w:val="de-CH"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C4AD360"/>
  <w15:chartTrackingRefBased/>
  <w15:docId w15:val="{427AFDE1-DFB1-4378-98E4-B95CEA56C9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de-CH"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576A"/>
    <w:pPr>
      <w:spacing w:after="0" w:line="240" w:lineRule="auto"/>
    </w:pPr>
    <w:rPr>
      <w:rFonts w:ascii="Times New Roman" w:eastAsia="Times New Roman" w:hAnsi="Times New Roman" w:cs="Times New Roman"/>
      <w:sz w:val="24"/>
      <w:szCs w:val="24"/>
      <w:lang w:val="en-US" w:eastAsia="en-US"/>
    </w:rPr>
  </w:style>
  <w:style w:type="paragraph" w:styleId="Heading1">
    <w:name w:val="heading 1"/>
    <w:basedOn w:val="Normal"/>
    <w:next w:val="Normal"/>
    <w:link w:val="Heading1Char"/>
    <w:uiPriority w:val="9"/>
    <w:qFormat/>
    <w:rsid w:val="003C7E37"/>
    <w:pPr>
      <w:keepNext/>
      <w:keepLines/>
      <w:spacing w:before="240" w:line="276" w:lineRule="auto"/>
      <w:outlineLvl w:val="0"/>
    </w:pPr>
    <w:rPr>
      <w:rFonts w:asciiTheme="majorHAnsi" w:eastAsiaTheme="majorEastAsia" w:hAnsiTheme="majorHAnsi" w:cstheme="majorBidi"/>
      <w:color w:val="365F91" w:themeColor="accent1" w:themeShade="BF"/>
      <w:sz w:val="32"/>
      <w:szCs w:val="32"/>
      <w:lang w:val="de-CH"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C7E37"/>
    <w:rPr>
      <w:rFonts w:asciiTheme="majorHAnsi" w:eastAsiaTheme="majorEastAsia" w:hAnsiTheme="majorHAnsi" w:cstheme="majorBidi"/>
      <w:color w:val="365F91" w:themeColor="accent1" w:themeShade="BF"/>
      <w:sz w:val="32"/>
      <w:szCs w:val="32"/>
    </w:rPr>
  </w:style>
  <w:style w:type="paragraph" w:customStyle="1" w:styleId="JMRMainText">
    <w:name w:val="JMR_MainText"/>
    <w:basedOn w:val="Normal"/>
    <w:link w:val="JMRMainTextZchn"/>
    <w:qFormat/>
    <w:rsid w:val="0092576A"/>
    <w:pPr>
      <w:spacing w:line="480" w:lineRule="auto"/>
      <w:ind w:firstLine="567"/>
    </w:pPr>
    <w:rPr>
      <w:rFonts w:eastAsia="Palatino Linotype"/>
    </w:rPr>
  </w:style>
  <w:style w:type="character" w:customStyle="1" w:styleId="JMRMainTextZchn">
    <w:name w:val="JMR_MainText Zchn"/>
    <w:link w:val="JMRMainText"/>
    <w:rsid w:val="0092576A"/>
    <w:rPr>
      <w:rFonts w:ascii="Times New Roman" w:eastAsia="Palatino Linotype" w:hAnsi="Times New Roman" w:cs="Times New Roman"/>
      <w:sz w:val="24"/>
      <w:szCs w:val="24"/>
      <w:lang w:val="en-US" w:eastAsia="en-US"/>
    </w:rPr>
  </w:style>
  <w:style w:type="paragraph" w:styleId="BalloonText">
    <w:name w:val="Balloon Text"/>
    <w:basedOn w:val="Normal"/>
    <w:link w:val="BalloonTextChar"/>
    <w:uiPriority w:val="99"/>
    <w:semiHidden/>
    <w:unhideWhenUsed/>
    <w:rsid w:val="0092576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2576A"/>
    <w:rPr>
      <w:rFonts w:ascii="Segoe UI" w:eastAsia="Times New Roman" w:hAnsi="Segoe UI" w:cs="Segoe UI"/>
      <w:sz w:val="18"/>
      <w:szCs w:val="1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UNISG CD Arial-Palatino">
      <a:majorFont>
        <a:latin typeface="Arial"/>
        <a:ea typeface=""/>
        <a:cs typeface=""/>
      </a:majorFont>
      <a:minorFont>
        <a:latin typeface="Palatino Linotype"/>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5421</Words>
  <Characters>30904</Characters>
  <Application>Microsoft Office Word</Application>
  <DocSecurity>0</DocSecurity>
  <Lines>257</Lines>
  <Paragraphs>72</Paragraphs>
  <ScaleCrop>false</ScaleCrop>
  <HeadingPairs>
    <vt:vector size="2" baseType="variant">
      <vt:variant>
        <vt:lpstr>Title</vt:lpstr>
      </vt:variant>
      <vt:variant>
        <vt:i4>1</vt:i4>
      </vt:variant>
    </vt:vector>
  </HeadingPairs>
  <TitlesOfParts>
    <vt:vector size="1" baseType="lpstr">
      <vt:lpstr/>
    </vt:vector>
  </TitlesOfParts>
  <Company>Universitaet Sankt Gallen</Company>
  <LinksUpToDate>false</LinksUpToDate>
  <CharactersWithSpaces>36253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Bergner, Anouk</dc:creator>
  <cp:keywords/>
  <dc:description/>
  <cp:lastModifiedBy>Bergner, Anouk</cp:lastModifiedBy>
  <cp:revision>1</cp:revision>
  <dcterms:created xsi:type="dcterms:W3CDTF">2019-10-29T09:14:00Z</dcterms:created>
  <dcterms:modified xsi:type="dcterms:W3CDTF">2019-10-29T09:14:00Z</dcterms:modified>
</cp:coreProperties>
</file>